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3543.xml.htm"/>
      <w:bookmarkStart w:id="1" w:name="kswkform4_17842335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Barnes Wendy Lynn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GOODRX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OLYMPIC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MONICA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GoodRx Holdings, Inc.</w:t>
              </w:r>
            </w:hyperlink>
            <w:r>
              <w:rPr/>
              <w:t xml:space="preserve"> [ </w:t>
            </w:r>
            <w:r>
              <w:rPr>
                <w:rFonts w:ascii="Times;serif" w:hAnsi="Times;serif"/>
                <w:color w:val="0000FF"/>
                <w:sz w:val="24"/>
                <w:shd w:fill="FFFFFF" w:val="clear"/>
              </w:rPr>
              <w:t>GDRX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115,148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699,973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50,021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649,952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701,129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22,232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678,897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110,963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789,860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48,203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741,657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1,151,484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51,177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110,963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1,109,631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 award will vest as to 25% of the underlying shares on January 15, 2026 with the remaining 75% to vest in approximately equal quarterly installments thereafter for 12 quarters.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 award will vest as to 50% of the underlying shares on January 15, 2026 with the remaining 50% to vest in approximately equal quarterly installments thereafter for 4 quarters.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will vest ratably in 12 equal quarterly installments, with the first vesting occurring on April 15, 2026, and subject to continued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and President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Gracye Cheng, Attorney-in-Fact for Wendy Lynn Barnes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585" TargetMode="External"/><Relationship Id="rId5" Type="http://schemas.openxmlformats.org/officeDocument/2006/relationships/hyperlink" Target="http://www.sec.gov/cgi-bin/browse-edgar?action=getcompany&amp;CIK=00018095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4215</Characters>
  <CharactersWithSpaces>4883</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