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6569931.xml.htm"/>
      <w:bookmarkStart w:id="1" w:name="kswkform4_178656993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Fengler Justin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GOODRX HOLDINGS,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2701 OLYMPIC BOULEVARD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SANTA MONICA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90404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GoodRx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GDRX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See Remarks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18"/>
        <w:gridCol w:w="904"/>
        <w:gridCol w:w="773"/>
        <w:gridCol w:w="601"/>
        <w:gridCol w:w="354"/>
        <w:gridCol w:w="823"/>
        <w:gridCol w:w="468"/>
        <w:gridCol w:w="631"/>
        <w:gridCol w:w="1187"/>
        <w:gridCol w:w="1015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1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2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1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1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23,651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41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816"/>
        <w:gridCol w:w="276"/>
        <w:gridCol w:w="906"/>
        <w:gridCol w:w="801"/>
        <w:gridCol w:w="891"/>
        <w:gridCol w:w="92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41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0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81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190,204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190,204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190,204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stock unit represents a contingent right to receive one share of Class A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This restricted stock units award vests with respect to 1/12 of the award in quarterly installments on November 15, 2026 and on each quarterly anniversary thereafter, subject to the Reporting Person's continued service through each applicable vesting date.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Chief Financial Officer and Chief Strategy &amp; Operations Officer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Gracye Cheng, Attorney-in-Fact for Justin Fengler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49552" TargetMode="External"/><Relationship Id="rId5" Type="http://schemas.openxmlformats.org/officeDocument/2006/relationships/hyperlink" Target="http://www.sec.gov/cgi-bin/browse-edgar?action=getcompany&amp;CIK=000180951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649</Words>
  <Characters>3536</Characters>
  <CharactersWithSpaces>4107</CharactersWithSpaces>
  <Paragraphs>106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