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3498.xml.htm"/>
      <w:bookmarkStart w:id="1" w:name="kswkform4_17842334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Thomas (TC)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GOODRX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2701 OLYMPIC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GoodRx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5,792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2,947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8,580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57,925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units award vests with respect to 1/12 of the award in quarterly installments on April 15, 2026 and on each quarterly anniversary thereafter, subject to the Reporting Person's continued service through each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Gracye Cheng, Attorney-in-Fact for Thomas (TC) 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829" TargetMode="External"/><Relationship Id="rId5" Type="http://schemas.openxmlformats.org/officeDocument/2006/relationships/hyperlink" Target="http://www.sec.gov/cgi-bin/browse-edgar?action=getcompany&amp;CIK=0001809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3532</Characters>
  <CharactersWithSpaces>4108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