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FRANCISCO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GoodRx Holdings, Inc.</w:t>
              </w:r>
            </w:hyperlink>
            <w:r>
              <w:rPr/>
              <w:t xml:space="preserve"> [ </w:t>
            </w:r>
            <w:r>
              <w:rPr>
                <w:rFonts w:ascii="Times;serif" w:hAnsi="Times;serif"/>
                <w:color w:val="0000FF"/>
                <w:sz w:val="24"/>
                <w:shd w:fill="FFFFFF" w:val="clear"/>
              </w:rPr>
              <w:t>GDRX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96"/>
        <w:gridCol w:w="427"/>
        <w:gridCol w:w="878"/>
        <w:gridCol w:w="1151"/>
        <w:gridCol w:w="96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72,309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3.462</w:t>
            </w:r>
            <w:r>
              <w:rPr>
                <w:rFonts w:ascii="Times;serif" w:hAnsi="Times;serif"/>
                <w:color w:val="008000"/>
                <w:position w:val="7"/>
                <w:sz w:val="16"/>
                <w:sz w:val="20"/>
                <w:shd w:fill="FFFFFF" w:val="clear"/>
              </w:rPr>
              <w:t>(1)</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716,801</w:t>
            </w:r>
            <w:r>
              <w:rPr>
                <w:rFonts w:ascii="Times;serif" w:hAnsi="Times;serif"/>
                <w:color w:val="008000"/>
                <w:position w:val="7"/>
                <w:sz w:val="16"/>
                <w:sz w:val="20"/>
                <w:shd w:fill="FFFFFF" w:val="clear"/>
              </w:rPr>
              <w:t>(2)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(3)</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71,285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3.462</w:t>
            </w:r>
            <w:r>
              <w:rPr>
                <w:rFonts w:ascii="Times;serif" w:hAnsi="Times;serif"/>
                <w:color w:val="008000"/>
                <w:position w:val="7"/>
                <w:sz w:val="16"/>
                <w:sz w:val="20"/>
                <w:shd w:fill="FFFFFF" w:val="clear"/>
              </w:rPr>
              <w:t>(1)</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706,649</w:t>
            </w:r>
            <w:r>
              <w:rPr>
                <w:rFonts w:ascii="Times;serif" w:hAnsi="Times;serif"/>
                <w:color w:val="008000"/>
                <w:position w:val="7"/>
                <w:sz w:val="16"/>
                <w:sz w:val="20"/>
                <w:shd w:fill="FFFFFF" w:val="clear"/>
              </w:rPr>
              <w:t>(2)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(3)</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64,090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3.4449</w:t>
            </w:r>
            <w:r>
              <w:rPr>
                <w:rFonts w:ascii="Times;serif" w:hAnsi="Times;serif"/>
                <w:color w:val="008000"/>
                <w:position w:val="7"/>
                <w:sz w:val="16"/>
                <w:sz w:val="20"/>
                <w:shd w:fill="FFFFFF" w:val="clear"/>
              </w:rPr>
              <w:t>(4)</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652,711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(3)</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63,183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3.4449</w:t>
            </w:r>
            <w:r>
              <w:rPr>
                <w:rFonts w:ascii="Times;serif" w:hAnsi="Times;serif"/>
                <w:color w:val="008000"/>
                <w:position w:val="7"/>
                <w:sz w:val="16"/>
                <w:sz w:val="20"/>
                <w:shd w:fill="FFFFFF" w:val="clear"/>
              </w:rPr>
              <w:t>(4)</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643,466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(3)</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213,401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3.5125</w:t>
            </w:r>
            <w:r>
              <w:rPr>
                <w:rFonts w:ascii="Times;serif" w:hAnsi="Times;serif"/>
                <w:color w:val="008000"/>
                <w:position w:val="7"/>
                <w:sz w:val="16"/>
                <w:sz w:val="20"/>
                <w:shd w:fill="FFFFFF" w:val="clear"/>
              </w:rPr>
              <w:t>(5)</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439,310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(3)</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210,378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3.5125</w:t>
            </w:r>
            <w:r>
              <w:rPr>
                <w:rFonts w:ascii="Times;serif" w:hAnsi="Times;serif"/>
                <w:color w:val="008000"/>
                <w:position w:val="7"/>
                <w:sz w:val="16"/>
                <w:sz w:val="20"/>
                <w:shd w:fill="FFFFFF" w:val="clear"/>
              </w:rPr>
              <w:t>(5)</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433,088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(3)</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439,310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 L.P.</w:t>
            </w:r>
            <w:r>
              <w:rPr>
                <w:rFonts w:ascii="Times;serif" w:hAnsi="Times;serif"/>
                <w:color w:val="008000"/>
                <w:position w:val="7"/>
                <w:sz w:val="16"/>
                <w:sz w:val="20"/>
                <w:shd w:fill="FFFFFF" w:val="clear"/>
              </w:rPr>
              <w:t>(3)</w:t>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433,088</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Francisco Partners IV-A, L.P.</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FRANCISCO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FRANCISCO PARTNERS IV-A,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Francisco Partners GP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Francisco Partners GP IV Management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Francisco Partners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on 8/24/2026 at prices ranging from $3.425 to $3.5 per share, inclusive. The Reporting Persons undertake to provide to the Issuer, any security holder,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amount has been adjusted by 721 shares to reflect the sale of such shares by Francisco Partners IV-A, L.P. on August 20, 2026, which were inadvertently reported on a Form 4 filed by the reporting persons on August 21, 2026, as being sold by Francisco Partners IV,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Francisco Partners GP IV, L.P. is the general partner of each of Francisco Partners IV, L.P. and Francisco Partners IV-A, L.P. Francisco Partners GP IV Management Limited is the general partner of Francisco Partners GP IV, L.P. Francisco Partners Management, L.P. serves as the investment manager for each of Francisco Partners IV, L.P. and Francisco Partners IV-A, L.P. Voting and disposition decisions at Francisco Partners Management, L.P. with respect to the shares of Class B common stock held by Francisco Partners IV, L.P. and Francisco Partners IV-A, L.P. are made by an investment committee. Each of Francisco Partners Management, L.P., Francisco Partners GP IV Management Limited, and Francisco Partners GP IV, L.P. may be deemed to share voting and dispositive power over the shares of Class B common stock held, but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on 8/25/2026 at prices ranging from $3.415 to $3.48 per share, inclusive. The Reporting Persons undertake to provide to the Issuer, any security holder,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on 8/26/2026 at prices ranging from $3.44 to $3.545 per share, inclusive. The Reporting Persons undertake to provide to the Issuer, any security holder,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IV, L.P., By: Francisco Partners GP IV, L.P., its general partner, By: Francisco Partners GP IV Management Limited, its general partner,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IV-A, L.P., By: Francisco Partners GP IV, L.P., its general partner, By: Francisco Partners GP IV Management Limited, its general partner,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GP IV, L.P., By: Francisco Partners GP IV Management Limited, its general partner,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GP IV Management Limited,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Francisco Partners Management, L.P., By: /s/ Steve Eisner, Name: Steve Eisner, Title: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902" TargetMode="External"/><Relationship Id="rId5" Type="http://schemas.openxmlformats.org/officeDocument/2006/relationships/hyperlink" Target="http://www.sec.gov/cgi-bin/browse-edgar?action=getcompany&amp;CIK=00018095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22902" TargetMode="External"/><Relationship Id="rId9" Type="http://schemas.openxmlformats.org/officeDocument/2006/relationships/hyperlink" Target="http://www.sec.gov/cgi-bin/browse-edgar?action=getcompany&amp;CIK=0001622908" TargetMode="External"/><Relationship Id="rId10" Type="http://schemas.openxmlformats.org/officeDocument/2006/relationships/hyperlink" Target="http://www.sec.gov/cgi-bin/browse-edgar?action=getcompany&amp;CIK=0001674067" TargetMode="External"/><Relationship Id="rId11" Type="http://schemas.openxmlformats.org/officeDocument/2006/relationships/hyperlink" Target="http://www.sec.gov/cgi-bin/browse-edgar?action=getcompany&amp;CIK=0001673966" TargetMode="External"/><Relationship Id="rId12" Type="http://schemas.openxmlformats.org/officeDocument/2006/relationships/hyperlink" Target="http://www.sec.gov/cgi-bin/browse-edgar?action=getcompany&amp;CIK=000119785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1361</Words>
  <Characters>7323</Characters>
  <CharactersWithSpaces>8471</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