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95625.xml.htm"/>
      <w:bookmarkStart w:id="1" w:name="kswkform4_17920956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Barnes Wendy Lynn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GOODRX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OLYMPIC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GoodRx Holdings, Inc.</w:t>
              </w:r>
            </w:hyperlink>
            <w:r>
              <w:rPr/>
              <w:t xml:space="preserve"> [ </w:t>
            </w:r>
            <w:r>
              <w:rPr>
                <w:rFonts w:ascii="Times;serif" w:hAnsi="Times;serif"/>
                <w:color w:val="0000FF"/>
                <w:sz w:val="24"/>
                <w:shd w:fill="FFFFFF" w:val="clear"/>
              </w:rPr>
              <w:t>GDRX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115,149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856,806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50,021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806,785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857,962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22,232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835,730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110,963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946,693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48,203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898,490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1,036,335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998,668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 award will vest as to 25% of the underlying shares on January 15, 2026 with the remaining 75% to vest in approximately equal quarterly installments thereafter for 12 quarters.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 award will vest as to 50% of the underlying shares on January 15, 2026 with the remaining 50% to vest in approximately equal quarterly installments thereafter for 4 quarters.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will vest ratably in 12 equal quarterly installments, with the first vesting occurring on April 15, 2026, and subject to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and President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Gracye Cheng, Attorney-in-Fact for Wendy Lynn Barnes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585" TargetMode="External"/><Relationship Id="rId5" Type="http://schemas.openxmlformats.org/officeDocument/2006/relationships/hyperlink" Target="http://www.sec.gov/cgi-bin/browse-edgar?action=getcompany&amp;CIK=0001809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4232</Characters>
  <CharactersWithSpaces>4885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