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6569870.xml.htm"/>
      <w:bookmarkStart w:id="1" w:name="kswkform3_178656987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Fengler Justin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GOODRX HOLDINGS,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OLYMPIC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MONICA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GoodRx Holdings, Inc.</w:t>
              </w:r>
            </w:hyperlink>
            <w:r>
              <w:rPr/>
              <w:t xml:space="preserve"> [ </w:t>
            </w:r>
            <w:r>
              <w:rPr>
                <w:rFonts w:ascii="Times;serif" w:hAnsi="Times;serif"/>
                <w:color w:val="0000FF"/>
                <w:sz w:val="24"/>
                <w:shd w:fill="FFFFFF" w:val="clear"/>
              </w:rPr>
              <w:t>GDRX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23,651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4"/>
        <w:gridCol w:w="1221"/>
        <w:gridCol w:w="1127"/>
        <w:gridCol w:w="1336"/>
        <w:gridCol w:w="976"/>
        <w:gridCol w:w="1263"/>
        <w:gridCol w:w="1225"/>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10,149</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25,695</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16,341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70,311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76,703</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9,775</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324,900</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05/22/2028</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01/30/2030</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219,375</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5.9405</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12/20/2031</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64,324</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33.69</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09/21/2032</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264,137</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05/23/2033</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146,575</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03/05/2034</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48,776</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7.61</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03/04/2035</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163,126</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(16)</w:t>
            </w:r>
          </w:p>
        </w:tc>
        <w:tc>
          <w:tcPr>
            <w:tcW w:w="11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09/03/2035</w:t>
            </w:r>
          </w:p>
        </w:tc>
        <w:tc>
          <w:tcPr>
            <w:tcW w:w="1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17,622</w:t>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w:t>
            </w:r>
          </w:p>
        </w:tc>
        <w:tc>
          <w:tcPr>
            <w:tcW w:w="12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restricted stock units award vests with respect to 1/16 of the award in quarterly installments on November 15, 2022 and on each quarterly anniversary thereafter,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restricted stock units award vests with respect to 1/16 of the award in quarterly installments on August 15, 2023 and on each quarterly anniversary thereafter,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restricted stock units award vests with respect to 1/16 of the award in quarterly installments on June 15, 2024 and on each quarterly anniversary thereafter,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restricted stock units award vests with respect to 1/16 of the award in quarterly installments on May 15, 2025 and on each quarterly anniversary thereafter,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restricted stock units award vests with respect to 1/8 of the award in quarterly installments on May 15, 2025 and on each quarterly anniversary thereafter,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restricted stock units award vests with respect to 1/16 of the award in quarterly installments on December 15, 2025 and on each quarterly anniversary thereafter,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restricted stock units award vests with respect to 1/12 of the award in quarterly installments on April 15, 2026 and on each quarterly anniversary thereafter,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option fully vested on May 1,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option fully vested on July 1,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This option fully vested on October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This option vests and became exercisable with respect to 1/16 of the total number of shares underlying the option in quarterly installments on November 15, 2022 and on each quarterly anniversary thereafter,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This option vests and became exercisable with respect to 1/16 of the total number of shares underlying the option in quarterly installments on August 15, 2023 and on each quarterly anniversary thereafter,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This option vests and became exercisable with respect to 1/16 of the total number of shares underlying the option in quarterly installments on June 15, 2024 and on each quarterly anniversary thereafter,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This option vests and became exercisable with respect to 1/16 of the total number of shares underlying the option in quarterly installments on May 15, 2025 and on each quarterly anniversary thereafter,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This option vests and became exercisable with respect to 1/16 of the total number of shares underlying the option in quarterly installments on December 15, 2025 and on each quarterly anniversary thereafter, subject to the Reporting Person's continued service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 and Chief Strategy &amp; Operations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Gracye Cheng, Attorney-in-Fact for Justin Fengler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exhibit24_poaxfengler.htm"/>
      <w:bookmarkStart w:id="3" w:name="ksexhibit24_poaxfengler"/>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24 POWER OF ATTORNEY With respect to holdings of and transactions in securities issued by GoodRx Holdings, Inc. (the “Company”), the undersigned hereby constitutes and appoints the individual or individuals named on Schedule A attached hereto and as may be amended from time to time, or any of them signing singly, with full power of substitution and resubstitution, to act as the undersigned’s true and lawful attorney-in-fact to: 1. 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 2. execute for and on behalf of the undersigned, Forms 3, 4, and 5 in accordance with Section 16 of the Securities Exchange Act of 1934, as amended, and the rules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10th day of August, 2026. By: /s/ Justin Fengler Name: Justin Fengler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Schedule A Individuals Appointed as Attorney-in-Fact with Full Power of Substitution and Resubstitution 1. Gracye Cheng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552" TargetMode="External"/><Relationship Id="rId3" Type="http://schemas.openxmlformats.org/officeDocument/2006/relationships/hyperlink" Target="http://www.sec.gov/cgi-bin/browse-edgar?action=getcompany&amp;CIK=000180951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1708</Words>
  <Characters>9061</Characters>
  <CharactersWithSpaces>10603</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exhibit24_poaxfengler</dc:title>
</cp:coreProperties>
</file>