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878280.xml.htm"/>
      <w:bookmarkStart w:id="1" w:name="kswkform4_17788782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 Thomas (TC)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GOODRX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2701 OLYMPIC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GoodRx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2.49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2,637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4,251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2.49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2,909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4,595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2.49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3,737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1,252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2,637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29,003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1,686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6,745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restricted stock units award vests with respect to 1/16 of the award in quarterly installments on November 15, 2022 and on each quarterly anniversary thereafter, subject to the Reporting Person's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restricted stock units award vests with respect to 1/16 of the award in quarterly installments on May 15, 2025 and on each quarterly anniversary thereafter, subject to the Reporting Person's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restricted stock units award vests with respect to 1/16 of the award in quarterly installments on August 15, 2023 and on each quarterly anniversary thereafter, subject to the Reporting Person's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Gracye Cheng, Attorney-in-Fact for Thomas (TC) Chan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1829" TargetMode="External"/><Relationship Id="rId5" Type="http://schemas.openxmlformats.org/officeDocument/2006/relationships/hyperlink" Target="http://www.sec.gov/cgi-bin/browse-edgar?action=getcompany&amp;CIK=00018095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812</Words>
  <Characters>4289</Characters>
  <CharactersWithSpaces>4971</CharactersWithSpaces>
  <Paragraphs>176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