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444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446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26"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Barnes Wendy Lynn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GOODRX HOLDINGS,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OLYMPIC BOULEVARD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GoodRx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GDRX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153"/>
        <w:spacing w:after="0"/>
        <w:rPr>
          <w:sz w:val="20"/>
          <w:szCs w:val="20"/>
          <w:color w:val="auto"/>
        </w:rPr>
      </w:pPr>
      <w:r>
        <w:rPr>
          <w:rFonts w:ascii="Times New Roman" w:cs="Times New Roman" w:eastAsia="Times New Roman" w:hAnsi="Times New Roman"/>
          <w:sz w:val="17"/>
          <w:szCs w:val="17"/>
          <w:color w:val="0000FF"/>
        </w:rPr>
        <w:t>See Remarks</w:t>
      </w:r>
    </w:p>
    <w:p>
      <w:pPr>
        <w:spacing w:after="0" w:line="434" w:lineRule="exact"/>
        <w:rPr>
          <w:sz w:val="24"/>
          <w:szCs w:val="24"/>
          <w:color w:val="auto"/>
        </w:rPr>
      </w:pPr>
    </w:p>
    <w:p>
      <w:pPr>
        <w:sectPr>
          <w:pgSz w:w="11900" w:h="16838" w:orient="portrait"/>
          <w:cols w:equalWidth="0" w:num="3">
            <w:col w:w="3180" w:space="720"/>
            <w:col w:w="3107" w:space="720"/>
            <w:col w:w="3353"/>
          </w:cols>
          <w:pgMar w:left="460" w:top="216" w:right="359" w:bottom="126"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280"/>
              <w:spacing w:after="0" w:line="146"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9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0000FF"/>
              </w:rPr>
              <w:t>SANTA</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90404</w:t>
            </w:r>
          </w:p>
        </w:tc>
        <w:tc>
          <w:tcPr>
            <w:tcW w:w="674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MONICA</w:t>
            </w:r>
          </w:p>
        </w:tc>
        <w:tc>
          <w:tcPr>
            <w:tcW w:w="108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40" w:type="dxa"/>
            <w:vAlign w:val="bottom"/>
          </w:tcPr>
          <w:p>
            <w:pPr>
              <w:ind w:left="4520"/>
              <w:spacing w:after="0" w:line="141"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9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4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5"/>
        </w:trPr>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69"/>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04/15/2026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4"/>
              </w:rPr>
              <w:t>115,148</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center"/>
              <w:ind w:left="15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543,141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04/15/2026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4"/>
              </w:rPr>
              <w:t>50,021</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left="15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2.23</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493,120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04/15/2026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4"/>
              </w:rPr>
              <w:t>51,177</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center"/>
              <w:ind w:left="15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544,297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04/15/2026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4"/>
              </w:rPr>
              <w:t>22,232</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left="15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2.23</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522,065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04/15/2026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4"/>
              </w:rPr>
              <w:t>110,963</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center"/>
              <w:ind w:left="15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633,028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04/15/2026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4"/>
              </w:rPr>
              <w:t>48,203</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left="15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2.23</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584,825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115,148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04/15/2026</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4"/>
              </w:rPr>
              <w:t>115,148</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1,266,632</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right="12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51,177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04/15/2026</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rPr>
              <w:t>51,177</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153,531</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right="12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110,963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04/15/2026</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4"/>
              </w:rPr>
              <w:t>110,963</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1,220,594</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right="12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-2440305</wp:posOffset>
            </wp:positionV>
            <wp:extent cx="28575" cy="2446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460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 award will vest as to 25% of the underlying shares on January 15, 2026 with the remaining 75% to vest in approximately equal quarterly installments thereafter for 12 quarters.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 award will vest as to 50% of the underlying shares on January 15, 2026 with the remaining 50% to vest in approximately equal quarterly installments thereafter for 4 quarters.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ratably in 12 equal quarterly installments, with the first vesting occurring on April 15, 2026, and subject to continued service through each applicable vesting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and President</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Gracye Cheng,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04/15/2026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Wendy Lynn Barnes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9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9"/>
              </w:rPr>
              <w:t>** Signature of Reporting Person</w:t>
            </w:r>
          </w:p>
        </w:tc>
        <w:tc>
          <w:tcPr>
            <w:tcW w:w="30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585" TargetMode="External"/><Relationship Id="rId14"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2026-04-15T16:55:28Z</dcterms:created>
  <dcterms:modified xsi:type="dcterms:W3CDTF">2026-04-15T16:55:28Z</dcterms:modified>
</cp:coreProperties>
</file>