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September 14, 2020</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333-248465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114935</wp:posOffset>
            </wp:positionH>
            <wp:positionV relativeFrom="paragraph">
              <wp:posOffset>54610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97155</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8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142875</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8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Amendment No. 1 to</w:t>
      </w:r>
    </w:p>
    <w:p>
      <w:pPr>
        <w:spacing w:after="0" w:line="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FORM S-1</w:t>
      </w:r>
    </w:p>
    <w:p>
      <w:pPr>
        <w:spacing w:after="0" w:line="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REGISTRATION STATEMENT</w:t>
      </w:r>
    </w:p>
    <w:p>
      <w:pPr>
        <w:spacing w:after="0" w:line="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5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142875</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7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9"/>
          <w:szCs w:val="39"/>
          <w:b w:val="1"/>
          <w:bCs w:val="1"/>
          <w:color w:val="auto"/>
        </w:rPr>
        <w:t>GoodRx Holdings, Inc.</w:t>
      </w:r>
    </w:p>
    <w:p>
      <w:pPr>
        <w:spacing w:after="0" w:line="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151765</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377" w:lineRule="exact"/>
        <w:rPr>
          <w:sz w:val="24"/>
          <w:szCs w:val="24"/>
          <w:color w:val="auto"/>
        </w:rPr>
      </w:pPr>
    </w:p>
    <w:tbl>
      <w:tblPr>
        <w:tblLayout w:type="fixed"/>
        <w:tblInd w:w="1100" w:type="dxa"/>
        <w:tblCellMar>
          <w:top w:w="0" w:type="dxa"/>
          <w:left w:w="0" w:type="dxa"/>
          <w:bottom w:w="0" w:type="dxa"/>
          <w:right w:w="0" w:type="dxa"/>
        </w:tblCellMar>
      </w:tblPr>
      <w:tr>
        <w:trPr>
          <w:trHeight w:val="192"/>
        </w:trPr>
        <w:tc>
          <w:tcPr>
            <w:tcW w:w="2800" w:type="dxa"/>
            <w:vAlign w:val="bottom"/>
          </w:tcPr>
          <w:p>
            <w:pPr>
              <w:jc w:val="center"/>
              <w:ind w:right="886"/>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80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w w:val="99"/>
              </w:rPr>
              <w:t>7389</w:t>
            </w:r>
          </w:p>
        </w:tc>
        <w:tc>
          <w:tcPr>
            <w:tcW w:w="2180" w:type="dxa"/>
            <w:vAlign w:val="bottom"/>
          </w:tcPr>
          <w:p>
            <w:pPr>
              <w:jc w:val="center"/>
              <w:ind w:left="1006"/>
              <w:spacing w:after="0"/>
              <w:rPr>
                <w:sz w:val="20"/>
                <w:szCs w:val="20"/>
                <w:color w:val="auto"/>
              </w:rPr>
            </w:pPr>
            <w:r>
              <w:rPr>
                <w:rFonts w:ascii="Times New Roman" w:cs="Times New Roman" w:eastAsia="Times New Roman" w:hAnsi="Times New Roman"/>
                <w:sz w:val="16"/>
                <w:szCs w:val="16"/>
                <w:b w:val="1"/>
                <w:bCs w:val="1"/>
                <w:color w:val="auto"/>
              </w:rPr>
              <w:t>47-5104396</w:t>
            </w:r>
          </w:p>
        </w:tc>
      </w:tr>
      <w:tr>
        <w:trPr>
          <w:trHeight w:val="147"/>
        </w:trPr>
        <w:tc>
          <w:tcPr>
            <w:tcW w:w="2800" w:type="dxa"/>
            <w:vAlign w:val="bottom"/>
          </w:tcPr>
          <w:p>
            <w:pPr>
              <w:jc w:val="center"/>
              <w:ind w:right="866"/>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00" w:type="dxa"/>
            <w:vAlign w:val="bottom"/>
          </w:tcPr>
          <w:p>
            <w:pPr>
              <w:jc w:val="center"/>
              <w:ind w:right="46"/>
              <w:spacing w:after="0" w:line="147"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180" w:type="dxa"/>
            <w:vAlign w:val="bottom"/>
          </w:tcPr>
          <w:p>
            <w:pPr>
              <w:jc w:val="center"/>
              <w:ind w:left="1006"/>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2800" w:type="dxa"/>
            <w:vAlign w:val="bottom"/>
          </w:tcPr>
          <w:p>
            <w:pPr>
              <w:jc w:val="center"/>
              <w:ind w:right="86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0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180" w:type="dxa"/>
            <w:vAlign w:val="bottom"/>
          </w:tcPr>
          <w:p>
            <w:pPr>
              <w:jc w:val="center"/>
              <w:ind w:left="1006"/>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233 Wilshire Blvd., Suite 990</w:t>
      </w:r>
    </w:p>
    <w:p>
      <w:pPr>
        <w:jc w:val="center"/>
        <w:ind w:right="-159"/>
        <w:spacing w:after="0" w:line="224" w:lineRule="auto"/>
        <w:rPr>
          <w:sz w:val="20"/>
          <w:szCs w:val="20"/>
          <w:color w:val="auto"/>
        </w:rPr>
      </w:pPr>
      <w:r>
        <w:rPr>
          <w:rFonts w:ascii="Times New Roman" w:cs="Times New Roman" w:eastAsia="Times New Roman" w:hAnsi="Times New Roman"/>
          <w:sz w:val="14"/>
          <w:szCs w:val="14"/>
          <w:b w:val="1"/>
          <w:bCs w:val="1"/>
          <w:color w:val="auto"/>
        </w:rPr>
        <w:t>Santa Monica, CA 90401</w:t>
      </w:r>
    </w:p>
    <w:p>
      <w:pPr>
        <w:jc w:val="center"/>
        <w:ind w:right="-159"/>
        <w:spacing w:after="0" w:line="231" w:lineRule="auto"/>
        <w:rPr>
          <w:sz w:val="20"/>
          <w:szCs w:val="20"/>
          <w:color w:val="auto"/>
        </w:rPr>
      </w:pPr>
      <w:r>
        <w:rPr>
          <w:rFonts w:ascii="Times New Roman" w:cs="Times New Roman" w:eastAsia="Times New Roman" w:hAnsi="Times New Roman"/>
          <w:sz w:val="14"/>
          <w:szCs w:val="14"/>
          <w:b w:val="1"/>
          <w:bCs w:val="1"/>
          <w:color w:val="auto"/>
        </w:rPr>
        <w:t>(855) 268-2822</w:t>
      </w: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141605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9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Karsten Voermann</w:t>
      </w:r>
    </w:p>
    <w:p>
      <w:pPr>
        <w:jc w:val="center"/>
        <w:ind w:right="-159"/>
        <w:spacing w:after="0" w:line="224"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ind w:right="-159"/>
        <w:spacing w:after="0" w:line="220" w:lineRule="auto"/>
        <w:rPr>
          <w:sz w:val="20"/>
          <w:szCs w:val="20"/>
          <w:color w:val="auto"/>
        </w:rPr>
      </w:pPr>
      <w:r>
        <w:rPr>
          <w:rFonts w:ascii="Times New Roman" w:cs="Times New Roman" w:eastAsia="Times New Roman" w:hAnsi="Times New Roman"/>
          <w:sz w:val="14"/>
          <w:szCs w:val="14"/>
          <w:b w:val="1"/>
          <w:bCs w:val="1"/>
          <w:color w:val="auto"/>
        </w:rPr>
        <w:t>233 Wilshire Blvd., Suite 990</w:t>
      </w:r>
    </w:p>
    <w:p>
      <w:pPr>
        <w:jc w:val="center"/>
        <w:ind w:right="-159"/>
        <w:spacing w:after="0" w:line="219" w:lineRule="auto"/>
        <w:rPr>
          <w:sz w:val="20"/>
          <w:szCs w:val="20"/>
          <w:color w:val="auto"/>
        </w:rPr>
      </w:pPr>
      <w:r>
        <w:rPr>
          <w:rFonts w:ascii="Times New Roman" w:cs="Times New Roman" w:eastAsia="Times New Roman" w:hAnsi="Times New Roman"/>
          <w:sz w:val="14"/>
          <w:szCs w:val="14"/>
          <w:b w:val="1"/>
          <w:bCs w:val="1"/>
          <w:color w:val="auto"/>
        </w:rPr>
        <w:t>Santa Monica, CA 90401</w:t>
      </w:r>
    </w:p>
    <w:p>
      <w:pPr>
        <w:jc w:val="center"/>
        <w:ind w:right="-159"/>
        <w:spacing w:after="0" w:line="230" w:lineRule="auto"/>
        <w:rPr>
          <w:sz w:val="20"/>
          <w:szCs w:val="20"/>
          <w:color w:val="auto"/>
        </w:rPr>
      </w:pPr>
      <w:r>
        <w:rPr>
          <w:rFonts w:ascii="Times New Roman" w:cs="Times New Roman" w:eastAsia="Times New Roman" w:hAnsi="Times New Roman"/>
          <w:sz w:val="14"/>
          <w:szCs w:val="14"/>
          <w:b w:val="1"/>
          <w:bCs w:val="1"/>
          <w:color w:val="auto"/>
        </w:rPr>
        <w:t>(855) 268-2822</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150495</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310" w:lineRule="exact"/>
        <w:rPr>
          <w:sz w:val="24"/>
          <w:szCs w:val="24"/>
          <w:color w:val="auto"/>
        </w:rPr>
      </w:pPr>
    </w:p>
    <w:tbl>
      <w:tblPr>
        <w:tblLayout w:type="fixed"/>
        <w:tblInd w:w="218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48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227"/>
        </w:trPr>
        <w:tc>
          <w:tcPr>
            <w:tcW w:w="2320" w:type="dxa"/>
            <w:vAlign w:val="bottom"/>
          </w:tcPr>
          <w:p>
            <w:pPr>
              <w:jc w:val="center"/>
              <w:ind w:right="769"/>
              <w:spacing w:after="0"/>
              <w:rPr>
                <w:sz w:val="20"/>
                <w:szCs w:val="20"/>
                <w:color w:val="auto"/>
              </w:rPr>
            </w:pPr>
            <w:r>
              <w:rPr>
                <w:rFonts w:ascii="Times New Roman" w:cs="Times New Roman" w:eastAsia="Times New Roman" w:hAnsi="Times New Roman"/>
                <w:sz w:val="14"/>
                <w:szCs w:val="14"/>
                <w:b w:val="1"/>
                <w:bCs w:val="1"/>
                <w:color w:val="auto"/>
              </w:rPr>
              <w:t>Marc D. Jaffe</w:t>
            </w:r>
          </w:p>
        </w:tc>
        <w:tc>
          <w:tcPr>
            <w:tcW w:w="4800" w:type="dxa"/>
            <w:vAlign w:val="bottom"/>
          </w:tcPr>
          <w:p>
            <w:pPr>
              <w:jc w:val="center"/>
              <w:ind w:left="2989"/>
              <w:spacing w:after="0"/>
              <w:rPr>
                <w:sz w:val="20"/>
                <w:szCs w:val="20"/>
                <w:color w:val="auto"/>
              </w:rPr>
            </w:pPr>
            <w:r>
              <w:rPr>
                <w:rFonts w:ascii="Times New Roman" w:cs="Times New Roman" w:eastAsia="Times New Roman" w:hAnsi="Times New Roman"/>
                <w:sz w:val="14"/>
                <w:szCs w:val="14"/>
                <w:b w:val="1"/>
                <w:bCs w:val="1"/>
                <w:color w:val="auto"/>
              </w:rPr>
              <w:t>Alan F. Denenberg</w:t>
            </w:r>
          </w:p>
        </w:tc>
      </w:tr>
      <w:tr>
        <w:trPr>
          <w:trHeight w:val="147"/>
        </w:trPr>
        <w:tc>
          <w:tcPr>
            <w:tcW w:w="2320" w:type="dxa"/>
            <w:vAlign w:val="bottom"/>
          </w:tcPr>
          <w:p>
            <w:pPr>
              <w:jc w:val="center"/>
              <w:ind w:right="769"/>
              <w:spacing w:after="0" w:line="147" w:lineRule="exact"/>
              <w:rPr>
                <w:sz w:val="20"/>
                <w:szCs w:val="20"/>
                <w:color w:val="auto"/>
              </w:rPr>
            </w:pPr>
            <w:r>
              <w:rPr>
                <w:rFonts w:ascii="Times New Roman" w:cs="Times New Roman" w:eastAsia="Times New Roman" w:hAnsi="Times New Roman"/>
                <w:sz w:val="14"/>
                <w:szCs w:val="14"/>
                <w:b w:val="1"/>
                <w:bCs w:val="1"/>
                <w:color w:val="auto"/>
              </w:rPr>
              <w:t>Brian J. Cuneo</w:t>
            </w:r>
          </w:p>
        </w:tc>
        <w:tc>
          <w:tcPr>
            <w:tcW w:w="4800" w:type="dxa"/>
            <w:vAlign w:val="bottom"/>
          </w:tcPr>
          <w:p>
            <w:pPr>
              <w:jc w:val="center"/>
              <w:ind w:left="2989"/>
              <w:spacing w:after="0" w:line="147" w:lineRule="exact"/>
              <w:rPr>
                <w:sz w:val="20"/>
                <w:szCs w:val="20"/>
                <w:color w:val="auto"/>
              </w:rPr>
            </w:pPr>
            <w:r>
              <w:rPr>
                <w:rFonts w:ascii="Times New Roman" w:cs="Times New Roman" w:eastAsia="Times New Roman" w:hAnsi="Times New Roman"/>
                <w:sz w:val="14"/>
                <w:szCs w:val="14"/>
                <w:b w:val="1"/>
                <w:bCs w:val="1"/>
                <w:color w:val="auto"/>
              </w:rPr>
              <w:t>Stephen Salmon</w:t>
            </w:r>
          </w:p>
        </w:tc>
      </w:tr>
      <w:tr>
        <w:trPr>
          <w:trHeight w:val="147"/>
        </w:trPr>
        <w:tc>
          <w:tcPr>
            <w:tcW w:w="2320" w:type="dxa"/>
            <w:vAlign w:val="bottom"/>
          </w:tcPr>
          <w:p>
            <w:pPr>
              <w:jc w:val="center"/>
              <w:ind w:right="769"/>
              <w:spacing w:after="0" w:line="147" w:lineRule="exact"/>
              <w:rPr>
                <w:sz w:val="20"/>
                <w:szCs w:val="20"/>
                <w:color w:val="auto"/>
              </w:rPr>
            </w:pPr>
            <w:r>
              <w:rPr>
                <w:rFonts w:ascii="Times New Roman" w:cs="Times New Roman" w:eastAsia="Times New Roman" w:hAnsi="Times New Roman"/>
                <w:sz w:val="14"/>
                <w:szCs w:val="14"/>
                <w:b w:val="1"/>
                <w:bCs w:val="1"/>
                <w:color w:val="auto"/>
              </w:rPr>
              <w:t>Benjamin J. Cohen</w:t>
            </w:r>
          </w:p>
        </w:tc>
        <w:tc>
          <w:tcPr>
            <w:tcW w:w="4800" w:type="dxa"/>
            <w:vAlign w:val="bottom"/>
          </w:tcPr>
          <w:p>
            <w:pPr>
              <w:jc w:val="center"/>
              <w:ind w:left="2989"/>
              <w:spacing w:after="0" w:line="147" w:lineRule="exact"/>
              <w:rPr>
                <w:sz w:val="20"/>
                <w:szCs w:val="20"/>
                <w:color w:val="auto"/>
              </w:rPr>
            </w:pPr>
            <w:r>
              <w:rPr>
                <w:rFonts w:ascii="Times New Roman" w:cs="Times New Roman" w:eastAsia="Times New Roman" w:hAnsi="Times New Roman"/>
                <w:sz w:val="14"/>
                <w:szCs w:val="14"/>
                <w:b w:val="1"/>
                <w:bCs w:val="1"/>
                <w:color w:val="auto"/>
              </w:rPr>
              <w:t>Davis Polk &amp; Wardwell LLP</w:t>
            </w:r>
          </w:p>
        </w:tc>
      </w:tr>
      <w:tr>
        <w:trPr>
          <w:trHeight w:val="147"/>
        </w:trPr>
        <w:tc>
          <w:tcPr>
            <w:tcW w:w="2320" w:type="dxa"/>
            <w:vAlign w:val="bottom"/>
          </w:tcPr>
          <w:p>
            <w:pPr>
              <w:jc w:val="center"/>
              <w:ind w:right="749"/>
              <w:spacing w:after="0" w:line="147" w:lineRule="exact"/>
              <w:rPr>
                <w:sz w:val="20"/>
                <w:szCs w:val="20"/>
                <w:color w:val="auto"/>
              </w:rPr>
            </w:pPr>
            <w:r>
              <w:rPr>
                <w:rFonts w:ascii="Times New Roman" w:cs="Times New Roman" w:eastAsia="Times New Roman" w:hAnsi="Times New Roman"/>
                <w:sz w:val="14"/>
                <w:szCs w:val="14"/>
                <w:b w:val="1"/>
                <w:bCs w:val="1"/>
                <w:color w:val="auto"/>
              </w:rPr>
              <w:t>Latham &amp; Watkins LLP</w:t>
            </w:r>
          </w:p>
        </w:tc>
        <w:tc>
          <w:tcPr>
            <w:tcW w:w="4800" w:type="dxa"/>
            <w:vAlign w:val="bottom"/>
          </w:tcPr>
          <w:p>
            <w:pPr>
              <w:jc w:val="center"/>
              <w:ind w:left="2989"/>
              <w:spacing w:after="0" w:line="147" w:lineRule="exact"/>
              <w:rPr>
                <w:sz w:val="20"/>
                <w:szCs w:val="20"/>
                <w:color w:val="auto"/>
              </w:rPr>
            </w:pPr>
            <w:r>
              <w:rPr>
                <w:rFonts w:ascii="Times New Roman" w:cs="Times New Roman" w:eastAsia="Times New Roman" w:hAnsi="Times New Roman"/>
                <w:sz w:val="14"/>
                <w:szCs w:val="14"/>
                <w:b w:val="1"/>
                <w:bCs w:val="1"/>
                <w:color w:val="auto"/>
              </w:rPr>
              <w:t>1600 El Camino Real</w:t>
            </w:r>
          </w:p>
        </w:tc>
      </w:tr>
      <w:tr>
        <w:trPr>
          <w:trHeight w:val="147"/>
        </w:trPr>
        <w:tc>
          <w:tcPr>
            <w:tcW w:w="2320" w:type="dxa"/>
            <w:vAlign w:val="bottom"/>
          </w:tcPr>
          <w:p>
            <w:pPr>
              <w:jc w:val="center"/>
              <w:ind w:right="749"/>
              <w:spacing w:after="0" w:line="147" w:lineRule="exact"/>
              <w:rPr>
                <w:sz w:val="20"/>
                <w:szCs w:val="20"/>
                <w:color w:val="auto"/>
              </w:rPr>
            </w:pPr>
            <w:r>
              <w:rPr>
                <w:rFonts w:ascii="Times New Roman" w:cs="Times New Roman" w:eastAsia="Times New Roman" w:hAnsi="Times New Roman"/>
                <w:sz w:val="14"/>
                <w:szCs w:val="14"/>
                <w:b w:val="1"/>
                <w:bCs w:val="1"/>
                <w:color w:val="auto"/>
              </w:rPr>
              <w:t>885 Third Avenue</w:t>
            </w:r>
          </w:p>
        </w:tc>
        <w:tc>
          <w:tcPr>
            <w:tcW w:w="4800" w:type="dxa"/>
            <w:vAlign w:val="bottom"/>
          </w:tcPr>
          <w:p>
            <w:pPr>
              <w:jc w:val="center"/>
              <w:ind w:left="2989"/>
              <w:spacing w:after="0" w:line="147" w:lineRule="exact"/>
              <w:rPr>
                <w:sz w:val="20"/>
                <w:szCs w:val="20"/>
                <w:color w:val="auto"/>
              </w:rPr>
            </w:pPr>
            <w:r>
              <w:rPr>
                <w:rFonts w:ascii="Times New Roman" w:cs="Times New Roman" w:eastAsia="Times New Roman" w:hAnsi="Times New Roman"/>
                <w:sz w:val="14"/>
                <w:szCs w:val="14"/>
                <w:b w:val="1"/>
                <w:bCs w:val="1"/>
                <w:color w:val="auto"/>
              </w:rPr>
              <w:t>Menlo Park, CA 94025</w:t>
            </w:r>
          </w:p>
        </w:tc>
      </w:tr>
      <w:tr>
        <w:trPr>
          <w:trHeight w:val="147"/>
        </w:trPr>
        <w:tc>
          <w:tcPr>
            <w:tcW w:w="2320" w:type="dxa"/>
            <w:vAlign w:val="bottom"/>
          </w:tcPr>
          <w:p>
            <w:pPr>
              <w:jc w:val="center"/>
              <w:ind w:right="769"/>
              <w:spacing w:after="0" w:line="147" w:lineRule="exact"/>
              <w:rPr>
                <w:sz w:val="20"/>
                <w:szCs w:val="20"/>
                <w:color w:val="auto"/>
              </w:rPr>
            </w:pPr>
            <w:r>
              <w:rPr>
                <w:rFonts w:ascii="Times New Roman" w:cs="Times New Roman" w:eastAsia="Times New Roman" w:hAnsi="Times New Roman"/>
                <w:sz w:val="14"/>
                <w:szCs w:val="14"/>
                <w:b w:val="1"/>
                <w:bCs w:val="1"/>
                <w:color w:val="auto"/>
              </w:rPr>
              <w:t>New York, NY 10022</w:t>
            </w:r>
          </w:p>
        </w:tc>
        <w:tc>
          <w:tcPr>
            <w:tcW w:w="4800" w:type="dxa"/>
            <w:vAlign w:val="bottom"/>
          </w:tcPr>
          <w:p>
            <w:pPr>
              <w:jc w:val="center"/>
              <w:ind w:left="2989"/>
              <w:spacing w:after="0" w:line="147" w:lineRule="exact"/>
              <w:rPr>
                <w:sz w:val="20"/>
                <w:szCs w:val="20"/>
                <w:color w:val="auto"/>
              </w:rPr>
            </w:pPr>
            <w:r>
              <w:rPr>
                <w:rFonts w:ascii="Times New Roman" w:cs="Times New Roman" w:eastAsia="Times New Roman" w:hAnsi="Times New Roman"/>
                <w:sz w:val="14"/>
                <w:szCs w:val="14"/>
                <w:b w:val="1"/>
                <w:bCs w:val="1"/>
                <w:color w:val="auto"/>
              </w:rPr>
              <w:t>(650) 752-2000</w:t>
            </w:r>
          </w:p>
        </w:tc>
      </w:tr>
      <w:tr>
        <w:trPr>
          <w:trHeight w:val="187"/>
        </w:trPr>
        <w:tc>
          <w:tcPr>
            <w:tcW w:w="2320" w:type="dxa"/>
            <w:vAlign w:val="bottom"/>
          </w:tcPr>
          <w:p>
            <w:pPr>
              <w:jc w:val="center"/>
              <w:ind w:right="749"/>
              <w:spacing w:after="0"/>
              <w:rPr>
                <w:sz w:val="20"/>
                <w:szCs w:val="20"/>
                <w:color w:val="auto"/>
              </w:rPr>
            </w:pPr>
            <w:r>
              <w:rPr>
                <w:rFonts w:ascii="Times New Roman" w:cs="Times New Roman" w:eastAsia="Times New Roman" w:hAnsi="Times New Roman"/>
                <w:sz w:val="14"/>
                <w:szCs w:val="14"/>
                <w:b w:val="1"/>
                <w:bCs w:val="1"/>
                <w:color w:val="auto"/>
              </w:rPr>
              <w:t>(212) 906-1200</w:t>
            </w:r>
          </w:p>
        </w:tc>
        <w:tc>
          <w:tcPr>
            <w:tcW w:w="4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142875</wp:posOffset>
            </wp:positionV>
            <wp:extent cx="1450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301"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the effective date of this Registration Statement.</w:t>
      </w:r>
    </w:p>
    <w:p>
      <w:pPr>
        <w:spacing w:after="0" w:line="95" w:lineRule="exact"/>
        <w:rPr>
          <w:sz w:val="24"/>
          <w:szCs w:val="24"/>
          <w:color w:val="auto"/>
        </w:rPr>
      </w:pPr>
    </w:p>
    <w:p>
      <w:pPr>
        <w:ind w:left="180" w:right="320" w:firstLine="436"/>
        <w:spacing w:after="0" w:line="18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67" w:lineRule="exact"/>
        <w:rPr>
          <w:sz w:val="24"/>
          <w:szCs w:val="24"/>
          <w:color w:val="auto"/>
        </w:rPr>
      </w:pPr>
    </w:p>
    <w:p>
      <w:pPr>
        <w:ind w:left="180" w:right="580" w:firstLine="436"/>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7" w:lineRule="exact"/>
        <w:rPr>
          <w:sz w:val="24"/>
          <w:szCs w:val="24"/>
          <w:color w:val="auto"/>
        </w:rPr>
      </w:pPr>
    </w:p>
    <w:p>
      <w:pPr>
        <w:ind w:left="180" w:right="120" w:firstLine="436"/>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7" w:lineRule="exact"/>
        <w:rPr>
          <w:sz w:val="24"/>
          <w:szCs w:val="24"/>
          <w:color w:val="auto"/>
        </w:rPr>
      </w:pPr>
    </w:p>
    <w:p>
      <w:pPr>
        <w:ind w:left="180" w:right="120" w:firstLine="436"/>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7" w:lineRule="exact"/>
        <w:rPr>
          <w:sz w:val="24"/>
          <w:szCs w:val="24"/>
          <w:color w:val="auto"/>
        </w:rPr>
      </w:pPr>
    </w:p>
    <w:p>
      <w:pPr>
        <w:ind w:left="180" w:right="20" w:firstLine="436"/>
        <w:spacing w:after="0" w:line="25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180" w:type="dxa"/>
        <w:tblCellMar>
          <w:top w:w="0" w:type="dxa"/>
          <w:left w:w="0" w:type="dxa"/>
          <w:bottom w:w="0" w:type="dxa"/>
          <w:right w:w="0" w:type="dxa"/>
        </w:tblCellMar>
      </w:tblPr>
      <w:tr>
        <w:trPr>
          <w:trHeight w:val="224"/>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420"/>
              <w:spacing w:after="0"/>
              <w:rPr>
                <w:sz w:val="20"/>
                <w:szCs w:val="20"/>
                <w:color w:val="auto"/>
              </w:rPr>
            </w:pPr>
            <w:r>
              <w:rPr>
                <w:rFonts w:ascii="Times New Roman" w:cs="Times New Roman" w:eastAsia="Times New Roman" w:hAnsi="Times New Roman"/>
                <w:sz w:val="14"/>
                <w:szCs w:val="14"/>
                <w:color w:val="auto"/>
              </w:rPr>
              <w:t>Accelerated filer</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7"/>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4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7"/>
        </w:trPr>
        <w:tc>
          <w:tcPr>
            <w:tcW w:w="14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240" w:type="dxa"/>
            <w:vAlign w:val="bottom"/>
          </w:tcPr>
          <w:p>
            <w:pPr>
              <w:ind w:left="3420"/>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6" w:lineRule="exact"/>
        <w:rPr>
          <w:sz w:val="24"/>
          <w:szCs w:val="24"/>
          <w:color w:val="auto"/>
        </w:rPr>
      </w:pPr>
    </w:p>
    <w:p>
      <w:pPr>
        <w:ind w:left="180" w:right="360"/>
        <w:spacing w:after="0" w:line="18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132715</wp:posOffset>
            </wp:positionV>
            <wp:extent cx="1450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CALCULATION OF REGISTRATION FEE</w:t>
      </w:r>
    </w:p>
    <w:p>
      <w:pPr>
        <w:spacing w:after="0" w:line="92" w:lineRule="exact"/>
        <w:rPr>
          <w:sz w:val="24"/>
          <w:szCs w:val="24"/>
          <w:color w:val="auto"/>
        </w:rPr>
      </w:pPr>
    </w:p>
    <w:tbl>
      <w:tblPr>
        <w:tblLayout w:type="fixed"/>
        <w:tblInd w:w="1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26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260" w:type="dxa"/>
            <w:vAlign w:val="bottom"/>
            <w:tcBorders>
              <w:right w:val="single" w:sz="8" w:color="auto"/>
            </w:tcBorders>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Proposed Maximum</w:t>
            </w:r>
          </w:p>
        </w:tc>
        <w:tc>
          <w:tcPr>
            <w:tcW w:w="1740" w:type="dxa"/>
            <w:vAlign w:val="bottom"/>
            <w:tcBorders>
              <w:right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6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Shares to be</w:t>
            </w:r>
          </w:p>
        </w:tc>
        <w:tc>
          <w:tcPr>
            <w:tcW w:w="172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Aggregate</w:t>
            </w:r>
          </w:p>
        </w:tc>
        <w:tc>
          <w:tcPr>
            <w:tcW w:w="174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26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Offering Price</w:t>
            </w:r>
          </w:p>
        </w:tc>
        <w:tc>
          <w:tcPr>
            <w:tcW w:w="1740" w:type="dxa"/>
            <w:vAlign w:val="bottom"/>
            <w:tcBorders>
              <w:right w:val="single" w:sz="8" w:color="auto"/>
            </w:tcBorders>
          </w:tcPr>
          <w:p>
            <w:pPr>
              <w:jc w:val="center"/>
              <w:ind w:left="13"/>
              <w:spacing w:after="0" w:line="127" w:lineRule="exact"/>
              <w:rPr>
                <w:sz w:val="20"/>
                <w:szCs w:val="20"/>
                <w:color w:val="auto"/>
              </w:rPr>
            </w:pPr>
            <w:r>
              <w:rPr>
                <w:rFonts w:ascii="Times New Roman" w:cs="Times New Roman" w:eastAsia="Times New Roman" w:hAnsi="Times New Roman"/>
                <w:sz w:val="12"/>
                <w:szCs w:val="12"/>
                <w:b w:val="1"/>
                <w:bCs w:val="1"/>
                <w:color w:val="auto"/>
              </w:rPr>
              <w:t>Aggregate</w:t>
            </w:r>
          </w:p>
        </w:tc>
        <w:tc>
          <w:tcPr>
            <w:tcW w:w="1720" w:type="dxa"/>
            <w:vAlign w:val="bottom"/>
          </w:tcPr>
          <w:p>
            <w:pPr>
              <w:jc w:val="center"/>
              <w:ind w:left="12"/>
              <w:spacing w:after="0" w:line="127" w:lineRule="exact"/>
              <w:rPr>
                <w:sz w:val="20"/>
                <w:szCs w:val="20"/>
                <w:color w:val="auto"/>
              </w:rPr>
            </w:pPr>
            <w:r>
              <w:rPr>
                <w:rFonts w:ascii="Times New Roman" w:cs="Times New Roman" w:eastAsia="Times New Roman" w:hAnsi="Times New Roman"/>
                <w:sz w:val="12"/>
                <w:szCs w:val="12"/>
                <w:b w:val="1"/>
                <w:bCs w:val="1"/>
                <w:color w:val="auto"/>
              </w:rPr>
              <w:t>Amount of</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60" w:type="dxa"/>
            <w:vAlign w:val="bottom"/>
            <w:tcBorders>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2"/>
                <w:szCs w:val="12"/>
                <w:b w:val="1"/>
                <w:bCs w:val="1"/>
                <w:color w:val="auto"/>
              </w:rPr>
              <w:t>Title of Each Class of Securities To Be Registered</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Registered (1)</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per Share (2)</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Offering Price (1)(2)</w:t>
            </w:r>
          </w:p>
        </w:tc>
        <w:tc>
          <w:tcPr>
            <w:tcW w:w="172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2"/>
                <w:szCs w:val="12"/>
                <w:b w:val="1"/>
                <w:bCs w:val="1"/>
                <w:color w:val="auto"/>
              </w:rPr>
              <w:t>Registration Fee (3)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Class A common stock, $0.0001 par value per share</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39,807,691</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$28.00</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$1,114,615,348</w:t>
            </w:r>
          </w:p>
        </w:tc>
        <w:tc>
          <w:tcPr>
            <w:tcW w:w="172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6"/>
                <w:szCs w:val="16"/>
                <w:color w:val="auto"/>
                <w:w w:val="99"/>
              </w:rPr>
              <w:t>$144,678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0" w:hanging="426"/>
        <w:spacing w:after="0" w:line="229" w:lineRule="auto"/>
        <w:tabs>
          <w:tab w:leader="none" w:pos="6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 additional 5,192,307 shares of Class A common stock that the underwriters have the option to purchase.</w:t>
      </w:r>
    </w:p>
    <w:p>
      <w:pPr>
        <w:ind w:left="600" w:hanging="426"/>
        <w:spacing w:after="0" w:line="219" w:lineRule="auto"/>
        <w:tabs>
          <w:tab w:leader="none" w:pos="6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pursuant to Rule 457(a) under the Securities Act of 1933, as amended.</w:t>
      </w:r>
    </w:p>
    <w:p>
      <w:pPr>
        <w:ind w:left="600" w:hanging="426"/>
        <w:spacing w:after="0"/>
        <w:tabs>
          <w:tab w:leader="none" w:pos="6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previously paid $12,980 of this amount in connection with a prior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147955</wp:posOffset>
            </wp:positionV>
            <wp:extent cx="14503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309" w:lineRule="exact"/>
        <w:rPr>
          <w:sz w:val="24"/>
          <w:szCs w:val="24"/>
          <w:color w:val="auto"/>
        </w:rPr>
      </w:pPr>
    </w:p>
    <w:p>
      <w:pPr>
        <w:ind w:left="180" w:right="340" w:firstLine="436"/>
        <w:spacing w:after="0" w:line="238"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114935</wp:posOffset>
            </wp:positionH>
            <wp:positionV relativeFrom="paragraph">
              <wp:posOffset>50800</wp:posOffset>
            </wp:positionV>
            <wp:extent cx="6921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93345</wp:posOffset>
            </wp:positionV>
            <wp:extent cx="6921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1080"/>
          </w:cols>
          <w:pgMar w:left="320" w:top="227" w:right="499" w:bottom="278"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right="20"/>
        <w:spacing w:after="0" w:line="265" w:lineRule="auto"/>
        <w:rPr>
          <w:sz w:val="20"/>
          <w:szCs w:val="20"/>
          <w:color w:val="auto"/>
        </w:rPr>
      </w:pPr>
      <w:r>
        <w:rPr>
          <w:rFonts w:ascii="Times New Roman" w:cs="Times New Roman" w:eastAsia="Times New Roman" w:hAnsi="Times New Roman"/>
          <w:sz w:val="18"/>
          <w:szCs w:val="18"/>
          <w:b w:val="1"/>
          <w:bCs w:val="1"/>
          <w:color w:val="EB0029"/>
        </w:rPr>
        <w:t>The information in this prospectus is not complete and may be changed. We and the selling stockholders may not sell these securities until the registration statement filed with the Securities and Exchange Commission is effective. This prospectus is not an offer to sell these securities, and we and the selling stockholders are not soliciting offers to buy these securities in any jurisdiction where the offer or sale is not permitted.</w:t>
      </w:r>
    </w:p>
    <w:p>
      <w:pPr>
        <w:spacing w:after="0" w:line="1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EB0029"/>
        </w:rPr>
        <w:t>Subject to Completion. Dated September 14, 2020.</w:t>
      </w:r>
    </w:p>
    <w:p>
      <w:pPr>
        <w:spacing w:after="0" w:line="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8"/>
          <w:szCs w:val="28"/>
          <w:b w:val="1"/>
          <w:bCs w:val="1"/>
          <w:color w:val="auto"/>
        </w:rPr>
        <w:t>34,615,384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82550</wp:posOffset>
            </wp:positionV>
            <wp:extent cx="2578735" cy="6870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8735" cy="687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163195</wp:posOffset>
            </wp:positionV>
            <wp:extent cx="14503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344" w:lineRule="exact"/>
        <w:rPr>
          <w:sz w:val="20"/>
          <w:szCs w:val="20"/>
          <w:color w:val="auto"/>
        </w:rPr>
      </w:pPr>
    </w:p>
    <w:p>
      <w:pPr>
        <w:jc w:val="both"/>
        <w:ind w:left="180" w:right="20" w:firstLine="436"/>
        <w:spacing w:after="0" w:line="277" w:lineRule="auto"/>
        <w:rPr>
          <w:sz w:val="20"/>
          <w:szCs w:val="20"/>
          <w:color w:val="auto"/>
        </w:rPr>
      </w:pPr>
      <w:r>
        <w:rPr>
          <w:rFonts w:ascii="Times New Roman" w:cs="Times New Roman" w:eastAsia="Times New Roman" w:hAnsi="Times New Roman"/>
          <w:sz w:val="16"/>
          <w:szCs w:val="16"/>
          <w:color w:val="auto"/>
        </w:rPr>
        <w:t>This is the initial public offering of shares of Class A common stock of GoodRx Holdings, Inc. We are selling 23,422,727 shares of our Class A common stock and the selling stockholders named in this prospectus are selling 11,192,657 shares of our Class A common stock. We will not receive any proceeds from the sale of shares of our Class A common stock to be offered by the selling stockholders.</w:t>
      </w:r>
    </w:p>
    <w:p>
      <w:pPr>
        <w:spacing w:after="0" w:line="71" w:lineRule="exact"/>
        <w:rPr>
          <w:sz w:val="20"/>
          <w:szCs w:val="20"/>
          <w:color w:val="auto"/>
        </w:rPr>
      </w:pPr>
    </w:p>
    <w:p>
      <w:pPr>
        <w:ind w:left="180" w:right="80" w:firstLine="436"/>
        <w:spacing w:after="0" w:line="293" w:lineRule="auto"/>
        <w:rPr>
          <w:sz w:val="20"/>
          <w:szCs w:val="20"/>
          <w:color w:val="auto"/>
        </w:rPr>
      </w:pPr>
      <w:r>
        <w:rPr>
          <w:rFonts w:ascii="Times New Roman" w:cs="Times New Roman" w:eastAsia="Times New Roman" w:hAnsi="Times New Roman"/>
          <w:sz w:val="16"/>
          <w:szCs w:val="16"/>
          <w:color w:val="auto"/>
        </w:rPr>
        <w:t>Prior to this offering, there has been no public market for our Class A common stock. The initial public offering price of our Class A common stock is expected to be between $24.00 and $28.00 per share. We have applied to list our Class A common stock on the Nasdaq Global Select Market under the symbol “GDRX.”</w:t>
      </w:r>
    </w:p>
    <w:p>
      <w:pPr>
        <w:spacing w:after="0" w:line="58" w:lineRule="exact"/>
        <w:rPr>
          <w:sz w:val="20"/>
          <w:szCs w:val="20"/>
          <w:color w:val="auto"/>
        </w:rPr>
      </w:pPr>
    </w:p>
    <w:p>
      <w:pPr>
        <w:ind w:left="180" w:right="160" w:firstLine="436"/>
        <w:spacing w:after="0" w:line="269" w:lineRule="auto"/>
        <w:rPr>
          <w:sz w:val="20"/>
          <w:szCs w:val="20"/>
          <w:color w:val="auto"/>
        </w:rPr>
      </w:pPr>
      <w:r>
        <w:rPr>
          <w:rFonts w:ascii="Times New Roman" w:cs="Times New Roman" w:eastAsia="Times New Roman" w:hAnsi="Times New Roman"/>
          <w:sz w:val="16"/>
          <w:szCs w:val="16"/>
          <w:color w:val="auto"/>
        </w:rPr>
        <w:t>Following this offering, we will have two classes of authorized common stock: Class A common stock and Class B common stock. The rights of the holders of Class A common stock and Class B common stock are identical, except with respect to voting and conversion rights. Each share of Class A common stock is entitled to one vote. Each share of Class B common stock is entitled to 10 votes and is convertible into one share of Class A common stock. Following the completion of this offering and the private placement (as defined below), outstanding shares of Class B common stock will represent approximately 98.9% of the voting power of our outstanding capital stock, assuming no exercise of the underwriters’ option to purchase additional shares.</w:t>
      </w:r>
    </w:p>
    <w:p>
      <w:pPr>
        <w:spacing w:after="0" w:line="78" w:lineRule="exact"/>
        <w:rPr>
          <w:sz w:val="20"/>
          <w:szCs w:val="20"/>
          <w:color w:val="auto"/>
        </w:rPr>
      </w:pPr>
    </w:p>
    <w:p>
      <w:pPr>
        <w:ind w:left="180" w:right="100" w:firstLine="436"/>
        <w:spacing w:after="0" w:line="272" w:lineRule="auto"/>
        <w:rPr>
          <w:sz w:val="20"/>
          <w:szCs w:val="20"/>
          <w:color w:val="auto"/>
        </w:rPr>
      </w:pPr>
      <w:r>
        <w:rPr>
          <w:rFonts w:ascii="Times New Roman" w:cs="Times New Roman" w:eastAsia="Times New Roman" w:hAnsi="Times New Roman"/>
          <w:sz w:val="16"/>
          <w:szCs w:val="16"/>
          <w:color w:val="auto"/>
        </w:rPr>
        <w:t>Silver Lake (as defined herein) has agreed to purchase, subject to customary closing conditions, $100.0 million of our Class A common stock in a private placement at a purchase price per share equal to the initial public offering price per share at which our Class A common stock is sold to the public in this offering, which we refer to as the private placement. The sale of such shares will not be registered under the Securities Act of 1933, as amended. The closing of this offering is not conditioned upon the closing of the private placement.</w:t>
      </w:r>
    </w:p>
    <w:p>
      <w:pPr>
        <w:spacing w:after="0" w:line="74" w:lineRule="exact"/>
        <w:rPr>
          <w:sz w:val="20"/>
          <w:szCs w:val="20"/>
          <w:color w:val="auto"/>
        </w:rPr>
      </w:pPr>
    </w:p>
    <w:p>
      <w:pPr>
        <w:ind w:left="180" w:right="120" w:firstLine="436"/>
        <w:spacing w:after="0" w:line="293" w:lineRule="auto"/>
        <w:rPr>
          <w:sz w:val="20"/>
          <w:szCs w:val="20"/>
          <w:color w:val="auto"/>
        </w:rPr>
      </w:pPr>
      <w:r>
        <w:rPr>
          <w:rFonts w:ascii="Times New Roman" w:cs="Times New Roman" w:eastAsia="Times New Roman" w:hAnsi="Times New Roman"/>
          <w:sz w:val="16"/>
          <w:szCs w:val="16"/>
          <w:color w:val="auto"/>
        </w:rPr>
        <w:t>Following this offering and the private placement, we will be a “controlled company” within the meaning of the corporate governance rules of The Nasdaq Stock Market.</w:t>
      </w:r>
    </w:p>
    <w:p>
      <w:pPr>
        <w:spacing w:after="0" w:line="58" w:lineRule="exact"/>
        <w:rPr>
          <w:sz w:val="20"/>
          <w:szCs w:val="20"/>
          <w:color w:val="auto"/>
        </w:rPr>
      </w:pPr>
    </w:p>
    <w:p>
      <w:pPr>
        <w:ind w:left="180" w:right="20" w:firstLine="436"/>
        <w:spacing w:after="0" w:line="293" w:lineRule="auto"/>
        <w:rPr>
          <w:sz w:val="20"/>
          <w:szCs w:val="20"/>
          <w:color w:val="auto"/>
        </w:rPr>
      </w:pPr>
      <w:r>
        <w:rPr>
          <w:rFonts w:ascii="Times New Roman" w:cs="Times New Roman" w:eastAsia="Times New Roman" w:hAnsi="Times New Roman"/>
          <w:sz w:val="16"/>
          <w:szCs w:val="16"/>
          <w:color w:val="auto"/>
        </w:rPr>
        <w:t>We are an “emerging growth company” under the federal securities laws and, as such, may elect to comply with certain reduced public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130810</wp:posOffset>
            </wp:positionV>
            <wp:extent cx="14503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90" w:lineRule="exact"/>
        <w:rPr>
          <w:sz w:val="20"/>
          <w:szCs w:val="20"/>
          <w:color w:val="auto"/>
        </w:rPr>
      </w:pPr>
    </w:p>
    <w:p>
      <w:pPr>
        <w:ind w:left="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See the section titled “</w:t>
      </w:r>
      <w:hyperlink w:anchor="page29">
        <w:r>
          <w:rPr>
            <w:rFonts w:ascii="Times New Roman" w:cs="Times New Roman" w:eastAsia="Times New Roman" w:hAnsi="Times New Roman"/>
            <w:sz w:val="16"/>
            <w:szCs w:val="16"/>
            <w:b w:val="1"/>
            <w:bCs w:val="1"/>
            <w:u w:val="single" w:color="auto"/>
            <w:color w:val="0000EE"/>
          </w:rPr>
          <w:t>Risk Factors</w:t>
        </w:r>
      </w:hyperlink>
      <w:r>
        <w:rPr>
          <w:rFonts w:ascii="Times New Roman" w:cs="Times New Roman" w:eastAsia="Times New Roman" w:hAnsi="Times New Roman"/>
          <w:sz w:val="16"/>
          <w:szCs w:val="16"/>
          <w:b w:val="1"/>
          <w:bCs w:val="1"/>
          <w:color w:val="auto"/>
        </w:rPr>
        <w:t>” beginning on page 19 to read about the factors you should consider before buying shares of our Class A common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stock.</w:t>
      </w:r>
    </w:p>
    <w:p>
      <w:pPr>
        <w:spacing w:after="0" w:line="113" w:lineRule="exact"/>
        <w:rPr>
          <w:sz w:val="20"/>
          <w:szCs w:val="20"/>
          <w:color w:val="auto"/>
        </w:rPr>
      </w:pPr>
    </w:p>
    <w:p>
      <w:pPr>
        <w:ind w:left="180" w:right="380" w:firstLine="436"/>
        <w:spacing w:after="0" w:line="296"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44450</wp:posOffset>
            </wp:positionV>
            <wp:extent cx="14503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199"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5020" w:type="dxa"/>
            <w:vAlign w:val="bottom"/>
          </w:tcPr>
          <w:p>
            <w:pPr>
              <w:spacing w:after="0"/>
              <w:rPr>
                <w:sz w:val="14"/>
                <w:szCs w:val="14"/>
                <w:color w:val="auto"/>
              </w:rPr>
            </w:pPr>
          </w:p>
        </w:tc>
        <w:tc>
          <w:tcPr>
            <w:tcW w:w="2180" w:type="dxa"/>
            <w:vAlign w:val="bottom"/>
            <w:gridSpan w:val="2"/>
          </w:tcPr>
          <w:p>
            <w:pPr>
              <w:ind w:left="158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620" w:type="dxa"/>
            <w:vAlign w:val="bottom"/>
          </w:tcPr>
          <w:p>
            <w:pPr>
              <w:spacing w:after="0"/>
              <w:rPr>
                <w:sz w:val="14"/>
                <w:szCs w:val="14"/>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4"/>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public offering price</w:t>
            </w:r>
          </w:p>
        </w:tc>
        <w:tc>
          <w:tcPr>
            <w:tcW w:w="15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CCEEFF"/>
            </w:tcBorders>
            <w:shd w:val="clear" w:color="auto" w:fill="CCEEFF"/>
          </w:tcPr>
          <w:p>
            <w:pPr>
              <w:spacing w:after="0"/>
              <w:rPr>
                <w:sz w:val="16"/>
                <w:szCs w:val="16"/>
                <w:color w:val="auto"/>
              </w:rPr>
            </w:pPr>
          </w:p>
        </w:tc>
      </w:tr>
      <w:tr>
        <w:trPr>
          <w:trHeight w:val="200"/>
        </w:trPr>
        <w:tc>
          <w:tcPr>
            <w:tcW w:w="5020" w:type="dxa"/>
            <w:vAlign w:val="bottom"/>
          </w:tcPr>
          <w:p>
            <w:pPr>
              <w:spacing w:after="0" w:line="200" w:lineRule="exact"/>
              <w:rPr>
                <w:sz w:val="20"/>
                <w:szCs w:val="20"/>
                <w:color w:val="auto"/>
              </w:rPr>
            </w:pPr>
            <w:r>
              <w:rPr>
                <w:rFonts w:ascii="Times New Roman" w:cs="Times New Roman" w:eastAsia="Times New Roman" w:hAnsi="Times New Roman"/>
                <w:sz w:val="14"/>
                <w:szCs w:val="14"/>
                <w:color w:val="auto"/>
              </w:rPr>
              <w:t xml:space="preserve">Underwriting discounts and commissions </w:t>
            </w:r>
            <w:r>
              <w:rPr>
                <w:rFonts w:ascii="Times New Roman" w:cs="Times New Roman" w:eastAsia="Times New Roman" w:hAnsi="Times New Roman"/>
                <w:sz w:val="23"/>
                <w:szCs w:val="23"/>
                <w:color w:val="auto"/>
                <w:vertAlign w:val="superscript"/>
              </w:rPr>
              <w:t>(1)</w:t>
            </w:r>
          </w:p>
        </w:tc>
        <w:tc>
          <w:tcPr>
            <w:tcW w:w="2180" w:type="dxa"/>
            <w:vAlign w:val="bottom"/>
            <w:gridSpan w:val="2"/>
          </w:tcPr>
          <w:p>
            <w:pPr>
              <w:ind w:left="15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317"/>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us</w:t>
            </w:r>
          </w:p>
        </w:tc>
        <w:tc>
          <w:tcPr>
            <w:tcW w:w="218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317"/>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r>
      <w:tr>
        <w:trPr>
          <w:trHeight w:val="209"/>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Proceeds, before expenses, to the selling stockholders</w:t>
            </w:r>
          </w:p>
        </w:tc>
        <w:tc>
          <w:tcPr>
            <w:tcW w:w="2180" w:type="dxa"/>
            <w:vAlign w:val="bottom"/>
            <w:gridSpan w:val="2"/>
          </w:tcPr>
          <w:p>
            <w:pPr>
              <w:ind w:left="15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317"/>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79375</wp:posOffset>
            </wp:positionV>
            <wp:extent cx="755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23" w:lineRule="exact"/>
        <w:rPr>
          <w:sz w:val="20"/>
          <w:szCs w:val="20"/>
          <w:color w:val="auto"/>
        </w:rPr>
      </w:pPr>
    </w:p>
    <w:p>
      <w:pPr>
        <w:ind w:left="600" w:hanging="426"/>
        <w:spacing w:after="0"/>
        <w:tabs>
          <w:tab w:leader="none" w:pos="6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“Underwriters” for a description of the compensation payable to the underwriters.</w:t>
      </w:r>
    </w:p>
    <w:p>
      <w:pPr>
        <w:spacing w:after="0" w:line="102" w:lineRule="exact"/>
        <w:rPr>
          <w:sz w:val="20"/>
          <w:szCs w:val="20"/>
          <w:color w:val="auto"/>
        </w:rPr>
      </w:pPr>
    </w:p>
    <w:p>
      <w:pPr>
        <w:ind w:left="180" w:right="300" w:firstLine="436"/>
        <w:spacing w:after="0" w:line="293" w:lineRule="auto"/>
        <w:rPr>
          <w:sz w:val="20"/>
          <w:szCs w:val="20"/>
          <w:color w:val="auto"/>
        </w:rPr>
      </w:pPr>
      <w:r>
        <w:rPr>
          <w:rFonts w:ascii="Times New Roman" w:cs="Times New Roman" w:eastAsia="Times New Roman" w:hAnsi="Times New Roman"/>
          <w:sz w:val="16"/>
          <w:szCs w:val="16"/>
          <w:color w:val="auto"/>
        </w:rPr>
        <w:t>At our request, the underwriters have reserved up to 5% of the shares of Class A common stock offered by this prospectus for sale, at the initial public offering price, to certain individuals associated with us. See the section titled “Underwriting—Directed Share Program.”</w:t>
      </w:r>
    </w:p>
    <w:p>
      <w:pPr>
        <w:spacing w:after="0" w:line="58" w:lineRule="exact"/>
        <w:rPr>
          <w:sz w:val="20"/>
          <w:szCs w:val="20"/>
          <w:color w:val="auto"/>
        </w:rPr>
      </w:pPr>
    </w:p>
    <w:p>
      <w:pPr>
        <w:ind w:left="180" w:right="80" w:firstLine="436"/>
        <w:spacing w:after="0" w:line="293" w:lineRule="auto"/>
        <w:rPr>
          <w:sz w:val="20"/>
          <w:szCs w:val="20"/>
          <w:color w:val="auto"/>
        </w:rPr>
      </w:pPr>
      <w:r>
        <w:rPr>
          <w:rFonts w:ascii="Times New Roman" w:cs="Times New Roman" w:eastAsia="Times New Roman" w:hAnsi="Times New Roman"/>
          <w:sz w:val="16"/>
          <w:szCs w:val="16"/>
          <w:color w:val="auto"/>
        </w:rPr>
        <w:t>To the extent that the underwriters sell more than 34,615,384 shares of Class A common stock, we have granted the underwriters an option for a period of 30 days to purchase up to 5,192,307 additional shares at the initial public offering price less underwriting discounts and commissions.</w:t>
      </w:r>
    </w:p>
    <w:p>
      <w:pPr>
        <w:spacing w:after="0" w:line="58"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Delivery of the shares of Class A common stock will be made on or about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121920</wp:posOffset>
            </wp:positionV>
            <wp:extent cx="14503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301" w:lineRule="exact"/>
        <w:rPr>
          <w:sz w:val="20"/>
          <w:szCs w:val="20"/>
          <w:color w:val="auto"/>
        </w:rPr>
      </w:pPr>
    </w:p>
    <w:p>
      <w:pPr>
        <w:ind w:left="180"/>
        <w:spacing w:after="0"/>
        <w:tabs>
          <w:tab w:leader="none" w:pos="3380" w:val="left"/>
          <w:tab w:leader="none" w:pos="7620" w:val="left"/>
          <w:tab w:leader="none" w:pos="10260" w:val="left"/>
        </w:tabs>
        <w:rPr>
          <w:sz w:val="20"/>
          <w:szCs w:val="20"/>
          <w:color w:val="auto"/>
        </w:rPr>
      </w:pPr>
      <w:r>
        <w:rPr>
          <w:rFonts w:ascii="Times New Roman" w:cs="Times New Roman" w:eastAsia="Times New Roman" w:hAnsi="Times New Roman"/>
          <w:sz w:val="21"/>
          <w:szCs w:val="21"/>
          <w:b w:val="1"/>
          <w:bCs w:val="1"/>
          <w:color w:val="auto"/>
        </w:rPr>
        <w:t>Morgan Stanley</w:t>
      </w:r>
      <w:r>
        <w:rPr>
          <w:sz w:val="20"/>
          <w:szCs w:val="20"/>
          <w:color w:val="auto"/>
        </w:rPr>
        <w:tab/>
      </w:r>
      <w:r>
        <w:rPr>
          <w:rFonts w:ascii="Times New Roman" w:cs="Times New Roman" w:eastAsia="Times New Roman" w:hAnsi="Times New Roman"/>
          <w:sz w:val="21"/>
          <w:szCs w:val="21"/>
          <w:b w:val="1"/>
          <w:bCs w:val="1"/>
          <w:color w:val="auto"/>
        </w:rPr>
        <w:t>Goldman Sachs &amp; Co. LLC</w:t>
      </w:r>
      <w:r>
        <w:rPr>
          <w:sz w:val="20"/>
          <w:szCs w:val="20"/>
          <w:color w:val="auto"/>
        </w:rPr>
        <w:tab/>
      </w:r>
      <w:r>
        <w:rPr>
          <w:rFonts w:ascii="Times New Roman" w:cs="Times New Roman" w:eastAsia="Times New Roman" w:hAnsi="Times New Roman"/>
          <w:sz w:val="21"/>
          <w:szCs w:val="21"/>
          <w:b w:val="1"/>
          <w:bCs w:val="1"/>
          <w:color w:val="auto"/>
        </w:rPr>
        <w:t>J.P. Morgan</w:t>
      </w:r>
      <w:r>
        <w:rPr>
          <w:sz w:val="20"/>
          <w:szCs w:val="20"/>
          <w:color w:val="auto"/>
        </w:rPr>
        <w:tab/>
      </w:r>
      <w:r>
        <w:rPr>
          <w:rFonts w:ascii="Times New Roman" w:cs="Times New Roman" w:eastAsia="Times New Roman" w:hAnsi="Times New Roman"/>
          <w:sz w:val="21"/>
          <w:szCs w:val="21"/>
          <w:b w:val="1"/>
          <w:bCs w:val="1"/>
          <w:color w:val="auto"/>
        </w:rPr>
        <w:t>Barclays</w:t>
      </w:r>
    </w:p>
    <w:p>
      <w:pPr>
        <w:spacing w:after="0" w:line="128" w:lineRule="exact"/>
        <w:rPr>
          <w:sz w:val="20"/>
          <w:szCs w:val="20"/>
          <w:color w:val="auto"/>
        </w:rPr>
      </w:pPr>
    </w:p>
    <w:p>
      <w:pPr>
        <w:ind w:left="360"/>
        <w:spacing w:after="0"/>
        <w:tabs>
          <w:tab w:leader="none" w:pos="1220" w:val="left"/>
          <w:tab w:leader="none" w:pos="2460" w:val="left"/>
          <w:tab w:leader="none" w:pos="3340" w:val="left"/>
          <w:tab w:leader="none" w:pos="5340" w:val="left"/>
          <w:tab w:leader="none" w:pos="7440" w:val="left"/>
          <w:tab w:leader="none" w:pos="8540" w:val="left"/>
          <w:tab w:leader="none" w:pos="10080" w:val="left"/>
        </w:tabs>
        <w:rPr>
          <w:sz w:val="20"/>
          <w:szCs w:val="20"/>
          <w:color w:val="auto"/>
        </w:rPr>
      </w:pPr>
      <w:r>
        <w:rPr>
          <w:rFonts w:ascii="Times New Roman" w:cs="Times New Roman" w:eastAsia="Times New Roman" w:hAnsi="Times New Roman"/>
          <w:sz w:val="18"/>
          <w:szCs w:val="18"/>
          <w:b w:val="1"/>
          <w:bCs w:val="1"/>
          <w:color w:val="auto"/>
        </w:rPr>
        <w:t>BofA</w:t>
      </w:r>
      <w:r>
        <w:rPr>
          <w:sz w:val="20"/>
          <w:szCs w:val="20"/>
          <w:color w:val="auto"/>
        </w:rPr>
        <w:tab/>
      </w:r>
      <w:r>
        <w:rPr>
          <w:rFonts w:ascii="Times New Roman" w:cs="Times New Roman" w:eastAsia="Times New Roman" w:hAnsi="Times New Roman"/>
          <w:sz w:val="18"/>
          <w:szCs w:val="18"/>
          <w:b w:val="1"/>
          <w:bCs w:val="1"/>
          <w:color w:val="auto"/>
        </w:rPr>
        <w:t>Citigroup</w:t>
      </w:r>
      <w:r>
        <w:rPr>
          <w:sz w:val="20"/>
          <w:szCs w:val="20"/>
          <w:color w:val="auto"/>
        </w:rPr>
        <w:tab/>
      </w:r>
      <w:r>
        <w:rPr>
          <w:rFonts w:ascii="Times New Roman" w:cs="Times New Roman" w:eastAsia="Times New Roman" w:hAnsi="Times New Roman"/>
          <w:sz w:val="18"/>
          <w:szCs w:val="18"/>
          <w:b w:val="1"/>
          <w:bCs w:val="1"/>
          <w:color w:val="auto"/>
        </w:rPr>
        <w:t>Credit</w:t>
      </w:r>
      <w:r>
        <w:rPr>
          <w:sz w:val="20"/>
          <w:szCs w:val="20"/>
          <w:color w:val="auto"/>
        </w:rPr>
        <w:tab/>
      </w:r>
      <w:r>
        <w:rPr>
          <w:rFonts w:ascii="Times New Roman" w:cs="Times New Roman" w:eastAsia="Times New Roman" w:hAnsi="Times New Roman"/>
          <w:sz w:val="18"/>
          <w:szCs w:val="18"/>
          <w:b w:val="1"/>
          <w:bCs w:val="1"/>
          <w:color w:val="auto"/>
        </w:rPr>
        <w:t>RBC Capital Markets</w:t>
      </w:r>
      <w:r>
        <w:rPr>
          <w:sz w:val="20"/>
          <w:szCs w:val="20"/>
          <w:color w:val="auto"/>
        </w:rPr>
        <w:tab/>
      </w:r>
      <w:r>
        <w:rPr>
          <w:rFonts w:ascii="Times New Roman" w:cs="Times New Roman" w:eastAsia="Times New Roman" w:hAnsi="Times New Roman"/>
          <w:sz w:val="18"/>
          <w:szCs w:val="18"/>
          <w:b w:val="1"/>
          <w:bCs w:val="1"/>
          <w:color w:val="auto"/>
        </w:rPr>
        <w:t>UBS Investment Bank</w:t>
      </w:r>
      <w:r>
        <w:rPr>
          <w:sz w:val="20"/>
          <w:szCs w:val="20"/>
          <w:color w:val="auto"/>
        </w:rPr>
        <w:tab/>
      </w:r>
      <w:r>
        <w:rPr>
          <w:rFonts w:ascii="Times New Roman" w:cs="Times New Roman" w:eastAsia="Times New Roman" w:hAnsi="Times New Roman"/>
          <w:sz w:val="18"/>
          <w:szCs w:val="18"/>
          <w:b w:val="1"/>
          <w:bCs w:val="1"/>
          <w:color w:val="auto"/>
        </w:rPr>
        <w:t>Cowen</w:t>
      </w:r>
      <w:r>
        <w:rPr>
          <w:sz w:val="20"/>
          <w:szCs w:val="20"/>
          <w:color w:val="auto"/>
        </w:rPr>
        <w:tab/>
      </w:r>
      <w:r>
        <w:rPr>
          <w:rFonts w:ascii="Times New Roman" w:cs="Times New Roman" w:eastAsia="Times New Roman" w:hAnsi="Times New Roman"/>
          <w:sz w:val="18"/>
          <w:szCs w:val="18"/>
          <w:b w:val="1"/>
          <w:bCs w:val="1"/>
          <w:color w:val="auto"/>
        </w:rPr>
        <w:t>Deutsche Bank</w:t>
      </w:r>
      <w:r>
        <w:rPr>
          <w:sz w:val="20"/>
          <w:szCs w:val="20"/>
          <w:color w:val="auto"/>
        </w:rPr>
        <w:tab/>
      </w:r>
      <w:r>
        <w:rPr>
          <w:rFonts w:ascii="Times New Roman" w:cs="Times New Roman" w:eastAsia="Times New Roman" w:hAnsi="Times New Roman"/>
          <w:sz w:val="17"/>
          <w:szCs w:val="17"/>
          <w:b w:val="1"/>
          <w:bCs w:val="1"/>
          <w:color w:val="auto"/>
        </w:rPr>
        <w:t>Evercore ISI</w:t>
      </w:r>
    </w:p>
    <w:p>
      <w:pPr>
        <w:spacing w:after="0" w:line="30" w:lineRule="exact"/>
        <w:rPr>
          <w:sz w:val="20"/>
          <w:szCs w:val="20"/>
          <w:color w:val="auto"/>
        </w:rPr>
      </w:pPr>
    </w:p>
    <w:p>
      <w:pPr>
        <w:ind w:left="180"/>
        <w:spacing w:after="0"/>
        <w:tabs>
          <w:tab w:leader="none" w:pos="2480" w:val="left"/>
          <w:tab w:leader="none" w:pos="8740" w:val="left"/>
        </w:tabs>
        <w:rPr>
          <w:sz w:val="20"/>
          <w:szCs w:val="20"/>
          <w:color w:val="auto"/>
        </w:rPr>
      </w:pPr>
      <w:r>
        <w:rPr>
          <w:rFonts w:ascii="Times New Roman" w:cs="Times New Roman" w:eastAsia="Times New Roman" w:hAnsi="Times New Roman"/>
          <w:sz w:val="18"/>
          <w:szCs w:val="18"/>
          <w:b w:val="1"/>
          <w:bCs w:val="1"/>
          <w:color w:val="auto"/>
        </w:rPr>
        <w:t>Securities</w:t>
      </w:r>
      <w:r>
        <w:rPr>
          <w:sz w:val="20"/>
          <w:szCs w:val="20"/>
          <w:color w:val="auto"/>
        </w:rPr>
        <w:tab/>
      </w:r>
      <w:r>
        <w:rPr>
          <w:rFonts w:ascii="Times New Roman" w:cs="Times New Roman" w:eastAsia="Times New Roman" w:hAnsi="Times New Roman"/>
          <w:sz w:val="18"/>
          <w:szCs w:val="18"/>
          <w:b w:val="1"/>
          <w:bCs w:val="1"/>
          <w:color w:val="auto"/>
        </w:rPr>
        <w:t>Suisse</w:t>
      </w:r>
      <w:r>
        <w:rPr>
          <w:sz w:val="20"/>
          <w:szCs w:val="20"/>
          <w:color w:val="auto"/>
        </w:rPr>
        <w:tab/>
      </w:r>
      <w:r>
        <w:rPr>
          <w:rFonts w:ascii="Times New Roman" w:cs="Times New Roman" w:eastAsia="Times New Roman" w:hAnsi="Times New Roman"/>
          <w:sz w:val="17"/>
          <w:szCs w:val="17"/>
          <w:b w:val="1"/>
          <w:bCs w:val="1"/>
          <w:color w:val="auto"/>
        </w:rPr>
        <w:t>Securities</w:t>
      </w:r>
    </w:p>
    <w:p>
      <w:pPr>
        <w:spacing w:after="0" w:line="102" w:lineRule="exact"/>
        <w:rPr>
          <w:sz w:val="20"/>
          <w:szCs w:val="20"/>
          <w:color w:val="auto"/>
        </w:rPr>
      </w:pPr>
    </w:p>
    <w:p>
      <w:pPr>
        <w:ind w:left="180"/>
        <w:spacing w:after="0"/>
        <w:tabs>
          <w:tab w:leader="none" w:pos="1440" w:val="left"/>
          <w:tab w:leader="none" w:pos="2340" w:val="left"/>
          <w:tab w:leader="none" w:pos="3300" w:val="left"/>
          <w:tab w:leader="none" w:pos="4760" w:val="left"/>
          <w:tab w:leader="none" w:pos="6220" w:val="left"/>
          <w:tab w:leader="none" w:pos="7180" w:val="left"/>
          <w:tab w:leader="none" w:pos="9020" w:val="left"/>
          <w:tab w:leader="none" w:pos="10300" w:val="left"/>
        </w:tabs>
        <w:rPr>
          <w:sz w:val="20"/>
          <w:szCs w:val="20"/>
          <w:color w:val="auto"/>
        </w:rPr>
      </w:pPr>
      <w:r>
        <w:rPr>
          <w:rFonts w:ascii="Times New Roman" w:cs="Times New Roman" w:eastAsia="Times New Roman" w:hAnsi="Times New Roman"/>
          <w:sz w:val="14"/>
          <w:szCs w:val="14"/>
          <w:b w:val="1"/>
          <w:bCs w:val="1"/>
          <w:color w:val="auto"/>
        </w:rPr>
        <w:t>Citizens Capital</w:t>
      </w:r>
      <w:r>
        <w:rPr>
          <w:sz w:val="20"/>
          <w:szCs w:val="20"/>
          <w:color w:val="auto"/>
        </w:rPr>
        <w:tab/>
      </w:r>
      <w:r>
        <w:rPr>
          <w:rFonts w:ascii="Times New Roman" w:cs="Times New Roman" w:eastAsia="Times New Roman" w:hAnsi="Times New Roman"/>
          <w:sz w:val="14"/>
          <w:szCs w:val="14"/>
          <w:b w:val="1"/>
          <w:bCs w:val="1"/>
          <w:color w:val="auto"/>
        </w:rPr>
        <w:t>KKR</w:t>
      </w:r>
      <w:r>
        <w:rPr>
          <w:sz w:val="20"/>
          <w:szCs w:val="20"/>
          <w:color w:val="auto"/>
        </w:rPr>
        <w:tab/>
      </w:r>
      <w:r>
        <w:rPr>
          <w:rFonts w:ascii="Times New Roman" w:cs="Times New Roman" w:eastAsia="Times New Roman" w:hAnsi="Times New Roman"/>
          <w:sz w:val="14"/>
          <w:szCs w:val="14"/>
          <w:b w:val="1"/>
          <w:bCs w:val="1"/>
          <w:color w:val="auto"/>
        </w:rPr>
        <w:t>LionTree</w:t>
      </w:r>
      <w:r>
        <w:rPr>
          <w:sz w:val="20"/>
          <w:szCs w:val="20"/>
          <w:color w:val="auto"/>
        </w:rPr>
        <w:tab/>
      </w:r>
      <w:r>
        <w:rPr>
          <w:rFonts w:ascii="Times New Roman" w:cs="Times New Roman" w:eastAsia="Times New Roman" w:hAnsi="Times New Roman"/>
          <w:sz w:val="14"/>
          <w:szCs w:val="14"/>
          <w:b w:val="1"/>
          <w:bCs w:val="1"/>
          <w:color w:val="auto"/>
        </w:rPr>
        <w:t>Raymond James</w:t>
      </w:r>
      <w:r>
        <w:rPr>
          <w:sz w:val="20"/>
          <w:szCs w:val="20"/>
          <w:color w:val="auto"/>
        </w:rPr>
        <w:tab/>
      </w:r>
      <w:r>
        <w:rPr>
          <w:rFonts w:ascii="Times New Roman" w:cs="Times New Roman" w:eastAsia="Times New Roman" w:hAnsi="Times New Roman"/>
          <w:sz w:val="14"/>
          <w:szCs w:val="14"/>
          <w:b w:val="1"/>
          <w:bCs w:val="1"/>
          <w:color w:val="auto"/>
        </w:rPr>
        <w:t>SVB Leerink</w:t>
      </w:r>
      <w:r>
        <w:rPr>
          <w:sz w:val="20"/>
          <w:szCs w:val="20"/>
          <w:color w:val="auto"/>
        </w:rPr>
        <w:tab/>
      </w:r>
      <w:r>
        <w:rPr>
          <w:rFonts w:ascii="Times New Roman" w:cs="Times New Roman" w:eastAsia="Times New Roman" w:hAnsi="Times New Roman"/>
          <w:sz w:val="14"/>
          <w:szCs w:val="14"/>
          <w:b w:val="1"/>
          <w:bCs w:val="1"/>
          <w:color w:val="auto"/>
        </w:rPr>
        <w:t>Academy</w:t>
      </w:r>
      <w:r>
        <w:rPr>
          <w:sz w:val="20"/>
          <w:szCs w:val="20"/>
          <w:color w:val="auto"/>
        </w:rPr>
        <w:tab/>
      </w:r>
      <w:r>
        <w:rPr>
          <w:rFonts w:ascii="Times New Roman" w:cs="Times New Roman" w:eastAsia="Times New Roman" w:hAnsi="Times New Roman"/>
          <w:sz w:val="14"/>
          <w:szCs w:val="14"/>
          <w:b w:val="1"/>
          <w:bCs w:val="1"/>
          <w:color w:val="auto"/>
        </w:rPr>
        <w:t>Loop Capital Markets</w:t>
      </w:r>
      <w:r>
        <w:rPr>
          <w:sz w:val="20"/>
          <w:szCs w:val="20"/>
          <w:color w:val="auto"/>
        </w:rPr>
        <w:tab/>
      </w:r>
      <w:r>
        <w:rPr>
          <w:rFonts w:ascii="Times New Roman" w:cs="Times New Roman" w:eastAsia="Times New Roman" w:hAnsi="Times New Roman"/>
          <w:sz w:val="14"/>
          <w:szCs w:val="14"/>
          <w:b w:val="1"/>
          <w:bCs w:val="1"/>
          <w:color w:val="auto"/>
        </w:rPr>
        <w:t>R. Seelaus</w:t>
      </w:r>
      <w:r>
        <w:rPr>
          <w:sz w:val="20"/>
          <w:szCs w:val="20"/>
          <w:color w:val="auto"/>
        </w:rPr>
        <w:tab/>
      </w:r>
      <w:r>
        <w:rPr>
          <w:rFonts w:ascii="Times New Roman" w:cs="Times New Roman" w:eastAsia="Times New Roman" w:hAnsi="Times New Roman"/>
          <w:sz w:val="14"/>
          <w:szCs w:val="14"/>
          <w:b w:val="1"/>
          <w:bCs w:val="1"/>
          <w:color w:val="auto"/>
        </w:rPr>
        <w:t>Ramirez</w:t>
      </w:r>
    </w:p>
    <w:p>
      <w:pPr>
        <w:spacing w:after="0" w:line="4" w:lineRule="exact"/>
        <w:rPr>
          <w:sz w:val="20"/>
          <w:szCs w:val="20"/>
          <w:color w:val="auto"/>
        </w:rPr>
      </w:pPr>
    </w:p>
    <w:p>
      <w:pPr>
        <w:ind w:left="420"/>
        <w:spacing w:after="0"/>
        <w:tabs>
          <w:tab w:leader="none" w:pos="6200" w:val="left"/>
          <w:tab w:leader="none" w:pos="8960" w:val="left"/>
          <w:tab w:leader="none" w:pos="10240" w:val="left"/>
        </w:tabs>
        <w:rPr>
          <w:sz w:val="20"/>
          <w:szCs w:val="20"/>
          <w:color w:val="auto"/>
        </w:rPr>
      </w:pPr>
      <w:r>
        <w:rPr>
          <w:rFonts w:ascii="Times New Roman" w:cs="Times New Roman" w:eastAsia="Times New Roman" w:hAnsi="Times New Roman"/>
          <w:sz w:val="14"/>
          <w:szCs w:val="14"/>
          <w:b w:val="1"/>
          <w:bCs w:val="1"/>
          <w:color w:val="auto"/>
        </w:rPr>
        <w:t>Markets</w:t>
      </w:r>
      <w:r>
        <w:rPr>
          <w:sz w:val="20"/>
          <w:szCs w:val="20"/>
          <w:color w:val="auto"/>
        </w:rPr>
        <w:tab/>
      </w:r>
      <w:r>
        <w:rPr>
          <w:rFonts w:ascii="Times New Roman" w:cs="Times New Roman" w:eastAsia="Times New Roman" w:hAnsi="Times New Roman"/>
          <w:sz w:val="14"/>
          <w:szCs w:val="14"/>
          <w:b w:val="1"/>
          <w:bCs w:val="1"/>
          <w:color w:val="auto"/>
        </w:rPr>
        <w:t>Securities</w:t>
      </w:r>
      <w:r>
        <w:rPr>
          <w:sz w:val="20"/>
          <w:szCs w:val="20"/>
          <w:color w:val="auto"/>
        </w:rPr>
        <w:tab/>
      </w:r>
      <w:r>
        <w:rPr>
          <w:rFonts w:ascii="Times New Roman" w:cs="Times New Roman" w:eastAsia="Times New Roman" w:hAnsi="Times New Roman"/>
          <w:sz w:val="14"/>
          <w:szCs w:val="14"/>
          <w:b w:val="1"/>
          <w:bCs w:val="1"/>
          <w:color w:val="auto"/>
        </w:rPr>
        <w:t>&amp; Co., LLC</w:t>
      </w:r>
      <w:r>
        <w:rPr>
          <w:sz w:val="20"/>
          <w:szCs w:val="20"/>
          <w:color w:val="auto"/>
        </w:rPr>
        <w:tab/>
      </w:r>
      <w:r>
        <w:rPr>
          <w:rFonts w:ascii="Times New Roman" w:cs="Times New Roman" w:eastAsia="Times New Roman" w:hAnsi="Times New Roman"/>
          <w:sz w:val="14"/>
          <w:szCs w:val="14"/>
          <w:b w:val="1"/>
          <w:bCs w:val="1"/>
          <w:color w:val="auto"/>
        </w:rPr>
        <w:t>&amp; Co., Inc.</w:t>
      </w:r>
    </w:p>
    <w:p>
      <w:pPr>
        <w:sectPr>
          <w:pgSz w:w="11900" w:h="16838" w:orient="portrait"/>
          <w:cols w:equalWidth="0" w:num="1">
            <w:col w:w="11080"/>
          </w:cols>
          <w:pgMar w:left="320" w:top="454" w:right="499" w:bottom="1440" w:gutter="0" w:footer="0" w:header="0"/>
        </w:sectPr>
      </w:pPr>
    </w:p>
    <w:p>
      <w:pPr>
        <w:spacing w:after="0" w:line="99" w:lineRule="exact"/>
        <w:rPr>
          <w:sz w:val="20"/>
          <w:szCs w:val="20"/>
          <w:color w:val="auto"/>
        </w:rPr>
      </w:pPr>
    </w:p>
    <w:p>
      <w:pPr>
        <w:ind w:left="4140"/>
        <w:spacing w:after="0"/>
        <w:tabs>
          <w:tab w:leader="none" w:pos="6640" w:val="left"/>
        </w:tabs>
        <w:rPr>
          <w:sz w:val="20"/>
          <w:szCs w:val="20"/>
          <w:color w:val="auto"/>
        </w:rPr>
      </w:pPr>
      <w:r>
        <w:rPr>
          <w:rFonts w:ascii="Times New Roman" w:cs="Times New Roman" w:eastAsia="Times New Roman" w:hAnsi="Times New Roman"/>
          <w:sz w:val="16"/>
          <w:szCs w:val="16"/>
          <w:color w:val="auto"/>
        </w:rPr>
        <w:t>The date of this prospectus is</w:t>
      </w:r>
      <w:r>
        <w:rPr>
          <w:sz w:val="20"/>
          <w:szCs w:val="20"/>
          <w:color w:val="auto"/>
        </w:rPr>
        <w:tab/>
      </w:r>
      <w:r>
        <w:rPr>
          <w:rFonts w:ascii="Times New Roman" w:cs="Times New Roman" w:eastAsia="Times New Roman" w:hAnsi="Times New Roman"/>
          <w:sz w:val="15"/>
          <w:szCs w:val="15"/>
          <w:color w:val="auto"/>
        </w:rPr>
        <w:t>, 2020.</w:t>
      </w:r>
    </w:p>
    <w:p>
      <w:pPr>
        <w:sectPr>
          <w:pgSz w:w="11900" w:h="16838" w:orient="portrait"/>
          <w:cols w:equalWidth="0" w:num="1">
            <w:col w:w="11080"/>
          </w:cols>
          <w:pgMar w:left="320" w:top="454" w:right="499" w:bottom="1440" w:gutter="0" w:footer="0" w:header="0"/>
          <w:type w:val="continuous"/>
        </w:sectPr>
      </w:pPr>
    </w:p>
    <w:bookmarkStart w:id="2" w:name="page3"/>
    <w:bookmarkEnd w:id="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0139"/>
          </w:cols>
          <w:pgMar w:left="320" w:top="454" w:right="1440" w:bottom="1440" w:gutter="0" w:footer="0" w:header="0"/>
        </w:sectPr>
      </w:pPr>
    </w:p>
    <w:bookmarkStart w:id="3" w:name="page4"/>
    <w:bookmarkEnd w:id="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210820</wp:posOffset>
            </wp:positionV>
            <wp:extent cx="7085965" cy="9161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5965" cy="916114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4" w:name="page5"/>
    <w:bookmarkEnd w:id="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210820</wp:posOffset>
            </wp:positionV>
            <wp:extent cx="7085965" cy="9161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5965" cy="916114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5" w:name="page6"/>
    <w:bookmarkEnd w:id="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261620</wp:posOffset>
            </wp:positionV>
            <wp:extent cx="7085965" cy="9161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5965" cy="916114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180" w:type="dxa"/>
        <w:tblCellMar>
          <w:top w:w="0" w:type="dxa"/>
          <w:left w:w="0" w:type="dxa"/>
          <w:bottom w:w="0" w:type="dxa"/>
          <w:right w:w="0" w:type="dxa"/>
        </w:tblCellMar>
      </w:tblPr>
      <w:tr>
        <w:trPr>
          <w:trHeight w:val="237"/>
        </w:trPr>
        <w:tc>
          <w:tcPr>
            <w:tcW w:w="1052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052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General Information</w:t>
              </w:r>
            </w:hyperlink>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89"/>
        </w:trPr>
        <w:tc>
          <w:tcPr>
            <w:tcW w:w="10520" w:type="dxa"/>
            <w:vAlign w:val="bottom"/>
            <w:vMerge w:val="continue"/>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Prospectus Summary</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Risk Factors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Special Note Regarding Forward-Looking Statements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Use of Proceeds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Dividend Policy</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Capitalization</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Dilution</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Selected Consolidated Financial and Operating Data</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7"/>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127">
              <w:r>
                <w:rPr>
                  <w:rFonts w:ascii="Times New Roman" w:cs="Times New Roman" w:eastAsia="Times New Roman" w:hAnsi="Times New Roman"/>
                  <w:sz w:val="18"/>
                  <w:szCs w:val="18"/>
                  <w:u w:val="single" w:color="auto"/>
                  <w:color w:val="0000EE"/>
                </w:rPr>
                <w:t>An Introduction from Doug Hirsch and Trevor Bezdek</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130">
              <w:r>
                <w:rPr>
                  <w:rFonts w:ascii="Times New Roman" w:cs="Times New Roman" w:eastAsia="Times New Roman" w:hAnsi="Times New Roman"/>
                  <w:sz w:val="18"/>
                  <w:szCs w:val="18"/>
                  <w:u w:val="single" w:color="auto"/>
                  <w:color w:val="0000EE"/>
                </w:rPr>
                <w:t>Business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155">
              <w:r>
                <w:rPr>
                  <w:rFonts w:ascii="Times New Roman" w:cs="Times New Roman" w:eastAsia="Times New Roman" w:hAnsi="Times New Roman"/>
                  <w:sz w:val="18"/>
                  <w:szCs w:val="18"/>
                  <w:u w:val="single" w:color="auto"/>
                  <w:color w:val="0000EE"/>
                </w:rPr>
                <w:t>Management</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163">
              <w:r>
                <w:rPr>
                  <w:rFonts w:ascii="Times New Roman" w:cs="Times New Roman" w:eastAsia="Times New Roman" w:hAnsi="Times New Roman"/>
                  <w:sz w:val="18"/>
                  <w:szCs w:val="18"/>
                  <w:u w:val="single" w:color="auto"/>
                  <w:color w:val="0000EE"/>
                </w:rPr>
                <w:t>Executive and Director Compensation</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178">
              <w:r>
                <w:rPr>
                  <w:rFonts w:ascii="Times New Roman" w:cs="Times New Roman" w:eastAsia="Times New Roman" w:hAnsi="Times New Roman"/>
                  <w:sz w:val="18"/>
                  <w:szCs w:val="18"/>
                  <w:u w:val="single" w:color="auto"/>
                  <w:color w:val="0000EE"/>
                </w:rPr>
                <w:t>Certain Relationships and Related Party Transactions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182">
              <w:r>
                <w:rPr>
                  <w:rFonts w:ascii="Times New Roman" w:cs="Times New Roman" w:eastAsia="Times New Roman" w:hAnsi="Times New Roman"/>
                  <w:sz w:val="18"/>
                  <w:szCs w:val="18"/>
                  <w:u w:val="single" w:color="auto"/>
                  <w:color w:val="0000EE"/>
                </w:rPr>
                <w:t>Principal and Selling Stockholders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186">
              <w:r>
                <w:rPr>
                  <w:rFonts w:ascii="Times New Roman" w:cs="Times New Roman" w:eastAsia="Times New Roman" w:hAnsi="Times New Roman"/>
                  <w:sz w:val="18"/>
                  <w:szCs w:val="18"/>
                  <w:u w:val="single" w:color="auto"/>
                  <w:color w:val="0000EE"/>
                </w:rPr>
                <w:t>Description of Capital Stock</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195">
              <w:r>
                <w:rPr>
                  <w:rFonts w:ascii="Times New Roman" w:cs="Times New Roman" w:eastAsia="Times New Roman" w:hAnsi="Times New Roman"/>
                  <w:sz w:val="18"/>
                  <w:szCs w:val="18"/>
                  <w:u w:val="single" w:color="auto"/>
                  <w:color w:val="0000EE"/>
                </w:rPr>
                <w:t>Shares Eligible for Future Sale</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198">
              <w:r>
                <w:rPr>
                  <w:rFonts w:ascii="Times New Roman" w:cs="Times New Roman" w:eastAsia="Times New Roman" w:hAnsi="Times New Roman"/>
                  <w:sz w:val="18"/>
                  <w:szCs w:val="18"/>
                  <w:u w:val="single" w:color="auto"/>
                  <w:color w:val="0000EE"/>
                </w:rPr>
                <w:t>Material U.S. Federal Income Tax Consequences to Non-U.S. Holders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202">
              <w:r>
                <w:rPr>
                  <w:rFonts w:ascii="Times New Roman" w:cs="Times New Roman" w:eastAsia="Times New Roman" w:hAnsi="Times New Roman"/>
                  <w:sz w:val="18"/>
                  <w:szCs w:val="18"/>
                  <w:u w:val="single" w:color="auto"/>
                  <w:color w:val="0000EE"/>
                </w:rPr>
                <w:t>Underwriters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Legal Matters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Changes in Accountants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Experts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4"/>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Where You Can Find More Information</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3"/>
        </w:trPr>
        <w:tc>
          <w:tcPr>
            <w:tcW w:w="10520" w:type="dxa"/>
            <w:vAlign w:val="bottom"/>
          </w:tcPr>
          <w:p>
            <w:pPr>
              <w:spacing w:after="0"/>
              <w:rPr>
                <w:rFonts w:ascii="Times New Roman" w:cs="Times New Roman" w:eastAsia="Times New Roman" w:hAnsi="Times New Roman"/>
                <w:sz w:val="18"/>
                <w:szCs w:val="18"/>
                <w:u w:val="single" w:color="auto"/>
                <w:color w:val="0000EE"/>
              </w:rPr>
            </w:pPr>
            <w:hyperlink w:anchor="page215">
              <w:r>
                <w:rPr>
                  <w:rFonts w:ascii="Times New Roman" w:cs="Times New Roman" w:eastAsia="Times New Roman" w:hAnsi="Times New Roman"/>
                  <w:sz w:val="18"/>
                  <w:szCs w:val="18"/>
                  <w:u w:val="single" w:color="auto"/>
                  <w:color w:val="0000EE"/>
                </w:rPr>
                <w:t>Index to Financial Statements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228600</wp:posOffset>
            </wp:positionV>
            <wp:extent cx="14503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80" w:right="120" w:firstLine="436"/>
        <w:spacing w:after="0" w:line="253" w:lineRule="auto"/>
        <w:rPr>
          <w:sz w:val="20"/>
          <w:szCs w:val="20"/>
          <w:color w:val="auto"/>
        </w:rPr>
      </w:pPr>
      <w:r>
        <w:rPr>
          <w:rFonts w:ascii="Times New Roman" w:cs="Times New Roman" w:eastAsia="Times New Roman" w:hAnsi="Times New Roman"/>
          <w:sz w:val="18"/>
          <w:szCs w:val="18"/>
          <w:color w:val="auto"/>
        </w:rPr>
        <w:t>We, the selling stockholders and the underwriters have not authorized anyone to provide any information or to make any representations other than those contained in this prospectus or in any free writing prospectuses prepared by or on behalf of us or to which we have referred you. We, the selling stockholders and the underwriters do not take responsibility for, and can provide no assurance as to the reliability of, any other information that others may give you. This prospectus is an offer to sell only the shares of Class A common stock offered hereby, but only under circumstances and in jurisdictions where it is lawful to do so. The information contained in this prospectus is current only as of the date of this prospectus, regardless of the time of delivery of this prospectus or of any sale of shares of our Class A common stock.</w:t>
      </w:r>
    </w:p>
    <w:p>
      <w:pPr>
        <w:spacing w:after="0" w:line="187" w:lineRule="exact"/>
        <w:rPr>
          <w:sz w:val="20"/>
          <w:szCs w:val="20"/>
          <w:color w:val="auto"/>
        </w:rPr>
      </w:pPr>
    </w:p>
    <w:p>
      <w:pPr>
        <w:ind w:left="180" w:right="120" w:firstLine="436"/>
        <w:spacing w:after="0" w:line="257" w:lineRule="auto"/>
        <w:rPr>
          <w:sz w:val="20"/>
          <w:szCs w:val="20"/>
          <w:color w:val="auto"/>
        </w:rPr>
      </w:pPr>
      <w:r>
        <w:rPr>
          <w:rFonts w:ascii="Times New Roman" w:cs="Times New Roman" w:eastAsia="Times New Roman" w:hAnsi="Times New Roman"/>
          <w:sz w:val="18"/>
          <w:szCs w:val="18"/>
          <w:color w:val="auto"/>
        </w:rPr>
        <w:t>For investors outside the United States: We, the selling stockholders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and the distribution of this prospectus outside the United States.</w:t>
      </w:r>
    </w:p>
    <w:p>
      <w:pPr>
        <w:spacing w:after="0" w:line="1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320" w:top="454" w:right="5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Co-Founders</w:t>
      </w:r>
      <w:r>
        <w:rPr>
          <w:rFonts w:ascii="Times New Roman" w:cs="Times New Roman" w:eastAsia="Times New Roman" w:hAnsi="Times New Roman"/>
          <w:sz w:val="18"/>
          <w:szCs w:val="18"/>
          <w:color w:val="auto"/>
        </w:rPr>
        <w:t>” refers to Trevor Bezdek and Douglas Hirsch, our Co-Chief Executive Officers and members of our board of directors.</w:t>
      </w:r>
    </w:p>
    <w:p>
      <w:pPr>
        <w:spacing w:after="0" w:line="220" w:lineRule="exact"/>
        <w:rPr>
          <w:sz w:val="20"/>
          <w:szCs w:val="20"/>
          <w:color w:val="auto"/>
        </w:rPr>
      </w:pPr>
    </w:p>
    <w:p>
      <w:pPr>
        <w:ind w:left="180" w:right="10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consumers”</w:t>
      </w:r>
      <w:r>
        <w:rPr>
          <w:rFonts w:ascii="Times New Roman" w:cs="Times New Roman" w:eastAsia="Times New Roman" w:hAnsi="Times New Roman"/>
          <w:sz w:val="18"/>
          <w:szCs w:val="18"/>
          <w:color w:val="auto"/>
        </w:rPr>
        <w:t xml:space="preserve"> refer to the general population in the United States that uses or otherwise purchases healthcare products and services. References to “</w:t>
      </w:r>
      <w:r>
        <w:rPr>
          <w:rFonts w:ascii="Times New Roman" w:cs="Times New Roman" w:eastAsia="Times New Roman" w:hAnsi="Times New Roman"/>
          <w:sz w:val="18"/>
          <w:szCs w:val="18"/>
          <w:b w:val="1"/>
          <w:bCs w:val="1"/>
          <w:i w:val="1"/>
          <w:iCs w:val="1"/>
          <w:color w:val="auto"/>
        </w:rPr>
        <w:t>our consumers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GoodRx consumers</w:t>
      </w:r>
      <w:r>
        <w:rPr>
          <w:rFonts w:ascii="Times New Roman" w:cs="Times New Roman" w:eastAsia="Times New Roman" w:hAnsi="Times New Roman"/>
          <w:sz w:val="18"/>
          <w:szCs w:val="18"/>
          <w:color w:val="auto"/>
        </w:rPr>
        <w:t>” refer to consumers that have used one or more of our offerings.</w:t>
      </w:r>
    </w:p>
    <w:p>
      <w:pPr>
        <w:spacing w:after="0" w:line="155" w:lineRule="exact"/>
        <w:rPr>
          <w:sz w:val="20"/>
          <w:szCs w:val="20"/>
          <w:color w:val="auto"/>
        </w:rPr>
      </w:pPr>
    </w:p>
    <w:p>
      <w:pPr>
        <w:ind w:left="180" w:right="200" w:firstLine="4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discounted price</w:t>
      </w:r>
      <w:r>
        <w:rPr>
          <w:rFonts w:ascii="Times New Roman" w:cs="Times New Roman" w:eastAsia="Times New Roman" w:hAnsi="Times New Roman"/>
          <w:sz w:val="18"/>
          <w:szCs w:val="18"/>
          <w:color w:val="auto"/>
        </w:rPr>
        <w:t>” refers to a price for a prescription provided on our platform that represents a negotiated rate provided by one of our PBM partners at a retail pharmacy. Through our platform, our discounted prices are free to access for consumers by saving a GoodRx code to their mobile device for their selected prescription and presenting it at the chosen pharmacy. The term “discounted price” excludes prices we may otherwise source, such as prices from patient assistance programs for low-income individuals and Medicare prices, and any negotiated rates offered through our subscription offerings: GoodRx Gold, or Gold, and Kroger Rx Savings Club powered by GoodRx, or Kroger Savings.</w:t>
      </w:r>
    </w:p>
    <w:p>
      <w:pPr>
        <w:spacing w:after="0" w:line="178" w:lineRule="exact"/>
        <w:rPr>
          <w:sz w:val="20"/>
          <w:szCs w:val="20"/>
          <w:color w:val="auto"/>
        </w:rPr>
      </w:pPr>
    </w:p>
    <w:p>
      <w:pPr>
        <w:ind w:left="180" w:right="10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Francisco Partners</w:t>
      </w:r>
      <w:r>
        <w:rPr>
          <w:rFonts w:ascii="Times New Roman" w:cs="Times New Roman" w:eastAsia="Times New Roman" w:hAnsi="Times New Roman"/>
          <w:sz w:val="18"/>
          <w:szCs w:val="18"/>
          <w:color w:val="auto"/>
        </w:rPr>
        <w:t>” refers to investment funds associated with Francisco Partners, including Francisco Partners IV, L.P. and Francisco Partners IV-A, L.P.</w:t>
      </w:r>
    </w:p>
    <w:p>
      <w:pPr>
        <w:spacing w:after="0" w:line="155" w:lineRule="exact"/>
        <w:rPr>
          <w:sz w:val="20"/>
          <w:szCs w:val="20"/>
          <w:color w:val="auto"/>
        </w:rPr>
      </w:pPr>
    </w:p>
    <w:p>
      <w:pPr>
        <w:ind w:left="180" w:right="12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GoodRx code</w:t>
      </w:r>
      <w:r>
        <w:rPr>
          <w:rFonts w:ascii="Times New Roman" w:cs="Times New Roman" w:eastAsia="Times New Roman" w:hAnsi="Times New Roman"/>
          <w:sz w:val="18"/>
          <w:szCs w:val="18"/>
          <w:color w:val="auto"/>
        </w:rPr>
        <w:t>” refers to codes that can be accessed by our consumers through our apps or websites or that can be provided to our consumers directly by healthcare professionals, including physicians and pharmacists, that allow our consumers free access to our discounted prices or a lower list price for their prescriptions when such code is presented at their chosen pharmacy.</w:t>
      </w:r>
    </w:p>
    <w:p>
      <w:pPr>
        <w:spacing w:after="0" w:line="169" w:lineRule="exact"/>
        <w:rPr>
          <w:sz w:val="20"/>
          <w:szCs w:val="20"/>
          <w:color w:val="auto"/>
        </w:rPr>
      </w:pPr>
    </w:p>
    <w:p>
      <w:pPr>
        <w:ind w:left="180" w:right="14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GMV</w:t>
      </w:r>
      <w:r>
        <w:rPr>
          <w:rFonts w:ascii="Times New Roman" w:cs="Times New Roman" w:eastAsia="Times New Roman" w:hAnsi="Times New Roman"/>
          <w:sz w:val="18"/>
          <w:szCs w:val="18"/>
          <w:color w:val="auto"/>
        </w:rPr>
        <w:t>” represents gross merchandise value, which is the aggregate price paid by our consumers who used a GoodRx code available through our platform for their prescriptions during such period. GMV excludes any prices paid by consumers linked to our other offerings, including our subscription offerings.</w:t>
      </w:r>
    </w:p>
    <w:p>
      <w:pPr>
        <w:spacing w:after="0" w:line="169"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Monthly Active Consumers</w:t>
      </w:r>
      <w:r>
        <w:rPr>
          <w:rFonts w:ascii="Times New Roman" w:cs="Times New Roman" w:eastAsia="Times New Roman" w:hAnsi="Times New Roman"/>
          <w:sz w:val="18"/>
          <w:szCs w:val="18"/>
          <w:color w:val="auto"/>
        </w:rPr>
        <w:t>” refers to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pharmaceutical manufacturers solutions offering, or consumers who used our telehealth offerings. When presented for a period longer than a month, Monthly Active Consumers is averaged over the number of calendar months in such period.</w:t>
      </w:r>
    </w:p>
    <w:p>
      <w:pPr>
        <w:spacing w:after="0" w:line="182" w:lineRule="exact"/>
        <w:rPr>
          <w:sz w:val="20"/>
          <w:szCs w:val="20"/>
          <w:color w:val="auto"/>
        </w:rPr>
      </w:pPr>
    </w:p>
    <w:p>
      <w:pPr>
        <w:jc w:val="both"/>
        <w:ind w:left="180" w:right="340" w:firstLine="436"/>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Monthly Visitors</w:t>
      </w:r>
      <w:r>
        <w:rPr>
          <w:rFonts w:ascii="Times New Roman" w:cs="Times New Roman" w:eastAsia="Times New Roman" w:hAnsi="Times New Roman"/>
          <w:sz w:val="17"/>
          <w:szCs w:val="17"/>
          <w:color w:val="auto"/>
        </w:rPr>
        <w:t>” refers to the number of individuals who visited our apps and websites in a given calendar month. Visitors to our apps and websites are counted independently. As a result, a consumer that visits or engages with our platform through both apps and websites will be counted multiple times in calculating Monthly Visitors, while family members who use a single computer to visit our websites will be counted only once.</w:t>
      </w:r>
    </w:p>
    <w:p>
      <w:pPr>
        <w:spacing w:after="0" w:line="2" w:lineRule="exact"/>
        <w:rPr>
          <w:sz w:val="20"/>
          <w:szCs w:val="20"/>
          <w:color w:val="auto"/>
        </w:rPr>
      </w:pPr>
    </w:p>
    <w:p>
      <w:pPr>
        <w:ind w:left="180"/>
        <w:spacing w:after="0" w:line="251" w:lineRule="auto"/>
        <w:rPr>
          <w:sz w:val="20"/>
          <w:szCs w:val="20"/>
          <w:color w:val="auto"/>
        </w:rPr>
      </w:pPr>
      <w:r>
        <w:rPr>
          <w:rFonts w:ascii="Times New Roman" w:cs="Times New Roman" w:eastAsia="Times New Roman" w:hAnsi="Times New Roman"/>
          <w:sz w:val="18"/>
          <w:szCs w:val="18"/>
          <w:color w:val="auto"/>
        </w:rPr>
        <w:t>Additionally, Monthly Active Consumers who use a GoodRx code without accessing our apps or websites (since their GoodRx codes were saved in their profile at the pharmacy), will not be counted as Monthly Visitors. When presented for a period longer than a calendar month, Monthly Visitors is averaged over each calendar month in such period.</w:t>
      </w:r>
    </w:p>
    <w:p>
      <w:pPr>
        <w:spacing w:after="0" w:line="183" w:lineRule="exact"/>
        <w:rPr>
          <w:sz w:val="20"/>
          <w:szCs w:val="20"/>
          <w:color w:val="auto"/>
        </w:rPr>
      </w:pPr>
    </w:p>
    <w:p>
      <w:pPr>
        <w:ind w:left="180" w:right="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promoter score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NPS</w:t>
      </w:r>
      <w:r>
        <w:rPr>
          <w:rFonts w:ascii="Times New Roman" w:cs="Times New Roman" w:eastAsia="Times New Roman" w:hAnsi="Times New Roman"/>
          <w:sz w:val="18"/>
          <w:szCs w:val="18"/>
          <w:color w:val="auto"/>
        </w:rPr>
        <w:t>,” refers to our net promoter score, which is a rating metric, expressed as a numerical value up to a maximum value of 100, that we use to gauge customer satisfaction. Net promoter score</w:t>
      </w:r>
    </w:p>
    <w:p>
      <w:pPr>
        <w:spacing w:after="0" w:line="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60"/>
          </w:cols>
          <w:pgMar w:left="320" w:top="454" w:right="51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80"/>
        <w:spacing w:after="0" w:line="252" w:lineRule="auto"/>
        <w:rPr>
          <w:sz w:val="20"/>
          <w:szCs w:val="20"/>
          <w:color w:val="auto"/>
        </w:rPr>
      </w:pPr>
      <w:r>
        <w:rPr>
          <w:rFonts w:ascii="Times New Roman" w:cs="Times New Roman" w:eastAsia="Times New Roman" w:hAnsi="Times New Roman"/>
          <w:sz w:val="18"/>
          <w:szCs w:val="18"/>
          <w:color w:val="auto"/>
        </w:rPr>
        <w:t>reflects responses to the following question on a scale of zero to ten: “How likely are you to recommend GoodRx to a friend or colleague?” Responses of 9 or 10 are considered “promoters,” responses of 7 or 8 are considered neutral or “passives,” and responses of 6 or less are considered “detractors.” We then subtract the number of respondents who are detractors from the number of respondents who are promoters and divide that number by the total number of respondents. Our methodology of calculating net promoter score for consumers reflects responses from consumers who utilize or otherwise engage with our platform via our websites, report that they used a discounted price found on our platform and choose to respond to the survey question. Our methodology of calculating net promoter score for healthcare professionals reflects responses from individuals who use or otherwise engage with our platform via our websites, report that they are a healthcare professional and choose to respond to the survey question. Net promoter score gives no weight to responses declining to answer the survey question.</w:t>
      </w:r>
    </w:p>
    <w:p>
      <w:pPr>
        <w:spacing w:after="0" w:line="181" w:lineRule="exact"/>
        <w:rPr>
          <w:sz w:val="20"/>
          <w:szCs w:val="20"/>
          <w:color w:val="auto"/>
        </w:rPr>
      </w:pPr>
    </w:p>
    <w:p>
      <w:pPr>
        <w:ind w:left="180" w:right="28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PBM</w:t>
      </w:r>
      <w:r>
        <w:rPr>
          <w:rFonts w:ascii="Times New Roman" w:cs="Times New Roman" w:eastAsia="Times New Roman" w:hAnsi="Times New Roman"/>
          <w:sz w:val="18"/>
          <w:szCs w:val="18"/>
          <w:color w:val="auto"/>
        </w:rPr>
        <w:t>” refers to a pharmacy benefit manager. PBMs aggregate demand to negotiate prescription medication prices with pharmacies and pharmaceutical manufacturers. PBMs find most of their demand through relationships with insurance companies and employers. However, nearly all PBMs also have consumer direct or cash network pricing that they negotiate with pharmacies for consumers who choose to purchase prescriptions outside of insurance.</w:t>
      </w:r>
    </w:p>
    <w:p>
      <w:pPr>
        <w:spacing w:after="0" w:line="175" w:lineRule="exact"/>
        <w:rPr>
          <w:sz w:val="20"/>
          <w:szCs w:val="20"/>
          <w:color w:val="auto"/>
        </w:rPr>
      </w:pPr>
    </w:p>
    <w:p>
      <w:pPr>
        <w:ind w:left="180" w:firstLine="43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savings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saved</w:t>
      </w:r>
      <w:r>
        <w:rPr>
          <w:rFonts w:ascii="Times New Roman" w:cs="Times New Roman" w:eastAsia="Times New Roman" w:hAnsi="Times New Roman"/>
          <w:sz w:val="18"/>
          <w:szCs w:val="18"/>
          <w:color w:val="auto"/>
        </w:rPr>
        <w:t>” and similar references refer to the difference between the list price for a particular prescription at a particular pharmacy and the price paid by the GoodRx consumer for that prescription utilizing a GoodRx code available through our platform at that same pharmacy. In certain circumstances, we may show a list price on our platform when such list price is lower than the negotiated price available using a GoodRx code and, in certain circumstances, a consumer may use a GoodRx code and pay the list price at a pharmacy if such list price is lower than the negotiated price available using a GoodRx code. We do not earn revenue from such transactions, but our savings calculation includes an estimate of the savings achieved by the consumer because our platform has directed the consumer to the pharmacy with the low list price. This estimate of savings when the consumer pays the list price is based on internal data and is calculated as the difference between the average list price across all pharmacies where GoodRx consumers paid the list price and the average list price paid by consumers in the pharmacies to which we directed them. We do not calculate savings based on insurance prices as we do not have information about a consumer’s specific coverage or price. We do not believe savings are representative or indicative of our revenue or results of operations.</w:t>
      </w:r>
    </w:p>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Silver Lake</w:t>
      </w:r>
      <w:r>
        <w:rPr>
          <w:rFonts w:ascii="Times New Roman" w:cs="Times New Roman" w:eastAsia="Times New Roman" w:hAnsi="Times New Roman"/>
          <w:sz w:val="18"/>
          <w:szCs w:val="18"/>
          <w:color w:val="auto"/>
        </w:rPr>
        <w:t>” refers to investment funds associated with Silver Lake, including SLP Geology Aggregator, L.P.</w:t>
      </w:r>
    </w:p>
    <w:p>
      <w:pPr>
        <w:spacing w:after="0" w:line="220" w:lineRule="exact"/>
        <w:rPr>
          <w:sz w:val="20"/>
          <w:szCs w:val="20"/>
          <w:color w:val="auto"/>
        </w:rPr>
      </w:pPr>
    </w:p>
    <w:p>
      <w:pPr>
        <w:ind w:left="180" w:right="76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Spectrum</w:t>
      </w:r>
      <w:r>
        <w:rPr>
          <w:rFonts w:ascii="Times New Roman" w:cs="Times New Roman" w:eastAsia="Times New Roman" w:hAnsi="Times New Roman"/>
          <w:sz w:val="18"/>
          <w:szCs w:val="18"/>
          <w:color w:val="auto"/>
        </w:rPr>
        <w:t>” refers to investment funds associated with Spectrum Equity, including Spectrum Equity VII, L.P., Spectrum VII Investment Managers’ Fund, L.P., Spectrum VII Co-Investment Fund, L.P.</w:t>
      </w:r>
    </w:p>
    <w:p>
      <w:pPr>
        <w:spacing w:after="0" w:line="2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Industry, Market and Other Data</w:t>
      </w:r>
    </w:p>
    <w:p>
      <w:pPr>
        <w:spacing w:after="0" w:line="118" w:lineRule="exact"/>
        <w:rPr>
          <w:sz w:val="20"/>
          <w:szCs w:val="20"/>
          <w:color w:val="auto"/>
        </w:rPr>
      </w:pPr>
    </w:p>
    <w:p>
      <w:pPr>
        <w:ind w:left="180" w:right="80" w:firstLine="436"/>
        <w:spacing w:after="0" w:line="253" w:lineRule="auto"/>
        <w:rPr>
          <w:sz w:val="20"/>
          <w:szCs w:val="20"/>
          <w:color w:val="auto"/>
        </w:rPr>
      </w:pPr>
      <w:r>
        <w:rPr>
          <w:rFonts w:ascii="Times New Roman" w:cs="Times New Roman" w:eastAsia="Times New Roman" w:hAnsi="Times New Roman"/>
          <w:sz w:val="18"/>
          <w:szCs w:val="18"/>
          <w:color w:val="auto"/>
        </w:rPr>
        <w:t>This prospectus contains estimates, projections and information concerning our industry, our business and the market size and growth rates of the markets in which we participate. Some data and statistical and other information are based on independent reports from third parties, as well as industry and general publications and research, surveys and studies conducted by third parties which we have not independently verified. Some data and statistical and other information are based on internal estimates and calculations that are derived from publicly available information, research we conducted, internal surveys, our management’s knowledge of our industry and their assumptions based on such information and knowledge, which we believe to be reasonable.</w:t>
      </w:r>
    </w:p>
    <w:p>
      <w:pPr>
        <w:spacing w:after="0" w:line="187" w:lineRule="exact"/>
        <w:rPr>
          <w:sz w:val="20"/>
          <w:szCs w:val="20"/>
          <w:color w:val="auto"/>
        </w:rPr>
      </w:pPr>
    </w:p>
    <w:p>
      <w:pPr>
        <w:ind w:left="180" w:right="60" w:firstLine="436"/>
        <w:spacing w:after="0" w:line="257" w:lineRule="auto"/>
        <w:rPr>
          <w:sz w:val="20"/>
          <w:szCs w:val="20"/>
          <w:color w:val="auto"/>
        </w:rPr>
      </w:pPr>
      <w:r>
        <w:rPr>
          <w:rFonts w:ascii="Times New Roman" w:cs="Times New Roman" w:eastAsia="Times New Roman" w:hAnsi="Times New Roman"/>
          <w:sz w:val="18"/>
          <w:szCs w:val="18"/>
          <w:color w:val="auto"/>
        </w:rPr>
        <w:t>In each case, this information and data involves a number of assumptions and limitations, and you are cautioned not to give undue weight to such information, estimates or projections. Industry publications and other reports we have obtained from independent parties may state that the data contained in these publications or other reports have been obtained in good faith or from sources considered to be reliable, but they do not guarantee the accuracy or completeness of such data. In addition, projections, assumptions and estimates of the future</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60"/>
          </w:cols>
          <w:pgMar w:left="320" w:top="454" w:right="51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both"/>
        <w:ind w:left="180" w:right="340"/>
        <w:spacing w:after="0" w:line="262" w:lineRule="auto"/>
        <w:rPr>
          <w:sz w:val="20"/>
          <w:szCs w:val="20"/>
          <w:color w:val="auto"/>
        </w:rPr>
      </w:pPr>
      <w:r>
        <w:rPr>
          <w:rFonts w:ascii="Times New Roman" w:cs="Times New Roman" w:eastAsia="Times New Roman" w:hAnsi="Times New Roman"/>
          <w:sz w:val="18"/>
          <w:szCs w:val="18"/>
          <w:color w:val="auto"/>
        </w:rPr>
        <w:t>performance of the industry in which we operate and our future performance are necessarily subject to a high degree of uncertainty and risk due to a variety of factors, including those described in “Risk Factors” and “Special Note Regarding Forward-Looking Statements.” These and other factors could cause our future performance to differ materially from the assumptions and estimates made by third parties and us.</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118" w:lineRule="exact"/>
        <w:rPr>
          <w:sz w:val="20"/>
          <w:szCs w:val="20"/>
          <w:color w:val="auto"/>
        </w:rPr>
      </w:pPr>
    </w:p>
    <w:p>
      <w:pPr>
        <w:ind w:left="180" w:right="140" w:firstLine="436"/>
        <w:spacing w:after="0" w:line="253" w:lineRule="auto"/>
        <w:rPr>
          <w:sz w:val="20"/>
          <w:szCs w:val="20"/>
          <w:color w:val="auto"/>
        </w:rPr>
      </w:pPr>
      <w:r>
        <w:rPr>
          <w:rFonts w:ascii="Times New Roman" w:cs="Times New Roman" w:eastAsia="Times New Roman" w:hAnsi="Times New Roman"/>
          <w:sz w:val="18"/>
          <w:szCs w:val="18"/>
          <w:color w:val="auto"/>
        </w:rPr>
        <w:t xml:space="preserve">GoodRx, our logo and other registered or common law trade names, trademarks or service marks of GoodRx appearing in this prospectus are the property of GoodRx. This prospectus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 names, trademarks and service marks referred to in this prospectus appear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5"/>
          <w:szCs w:val="15"/>
          <w:color w:val="auto"/>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 to these trade names, trademarks and service marks.</w:t>
      </w:r>
    </w:p>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8" w:lineRule="exact"/>
        <w:rPr>
          <w:sz w:val="20"/>
          <w:szCs w:val="20"/>
          <w:color w:val="auto"/>
        </w:rPr>
      </w:pPr>
    </w:p>
    <w:p>
      <w:pPr>
        <w:ind w:left="180" w:firstLine="436"/>
        <w:spacing w:after="0" w:line="255"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elsewhere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 References herein to the “first half of 2020” and the “first half of 2019” refer to the six month periods ended June 30, 2020 and 2019, respectively.</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60"/>
          </w:cols>
          <w:pgMar w:left="320" w:top="454" w:right="51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201295</wp:posOffset>
            </wp:positionV>
            <wp:extent cx="6925945" cy="59162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5945" cy="591629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2" w:lineRule="exact"/>
        <w:rPr>
          <w:sz w:val="20"/>
          <w:szCs w:val="20"/>
          <w:color w:val="auto"/>
        </w:rPr>
      </w:pPr>
    </w:p>
    <w:p>
      <w:pPr>
        <w:ind w:left="360" w:right="20" w:firstLine="421"/>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in more detail elsewhere in this prospectus. This summary does not contain all of the information you should consider before investing in our Class A common stock. You should carefully read this prospectus in its entirety before investing in our Class A common stock, including the sections titled “Risk Factors,” “Management’s Discussion and Analysis of Financial Condition and Results of Operations” and “Special Note Regarding Forward-Looking Statements,” and our financial statements and the accompanying notes thereto included elsewhere in this prospectus. Unless the context otherwise requires, the terms “we,” “us,” “our,” the “Company,” “GoodRx” and similar references in this prospectus refer to GoodRx Holdings, Inc. and its consolidated subsidiaries.</w:t>
      </w:r>
    </w:p>
    <w:p>
      <w:pPr>
        <w:spacing w:after="0" w:line="28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ind w:left="360" w:right="640" w:firstLine="421"/>
        <w:spacing w:after="0" w:line="277" w:lineRule="auto"/>
        <w:rPr>
          <w:sz w:val="20"/>
          <w:szCs w:val="20"/>
          <w:color w:val="auto"/>
        </w:rPr>
      </w:pPr>
      <w:r>
        <w:rPr>
          <w:rFonts w:ascii="Times New Roman" w:cs="Times New Roman" w:eastAsia="Times New Roman" w:hAnsi="Times New Roman"/>
          <w:sz w:val="18"/>
          <w:szCs w:val="18"/>
          <w:color w:val="auto"/>
        </w:rPr>
        <w:t>Our mission is to help Americans get the healthcare they need at a price they can afford. To achieve this, we are building the leading, consumer-focused digital healthcare platform in the United States.</w:t>
      </w:r>
    </w:p>
    <w:p>
      <w:pPr>
        <w:spacing w:after="0" w:line="163" w:lineRule="exact"/>
        <w:rPr>
          <w:sz w:val="20"/>
          <w:szCs w:val="20"/>
          <w:color w:val="auto"/>
        </w:rPr>
      </w:pPr>
    </w:p>
    <w:p>
      <w:pPr>
        <w:ind w:left="360" w:right="40" w:firstLine="421"/>
        <w:spacing w:after="0" w:line="257" w:lineRule="auto"/>
        <w:rPr>
          <w:sz w:val="20"/>
          <w:szCs w:val="20"/>
          <w:color w:val="auto"/>
        </w:rPr>
      </w:pPr>
      <w:r>
        <w:rPr>
          <w:rFonts w:ascii="Times New Roman" w:cs="Times New Roman" w:eastAsia="Times New Roman" w:hAnsi="Times New Roman"/>
          <w:sz w:val="18"/>
          <w:szCs w:val="18"/>
          <w:color w:val="auto"/>
        </w:rPr>
        <w:t>Healthcare consumers in the United States face an increasing number of challenges. Consumers are bearing more of the cost of care and have more restrictions imposed on their care. The rising cost of insurance and higher deductibles have led to an increase in the percentage of underinsured Americans. Additionally, the number of uninsured consumers in the United States has increased in recent years. These developments have occurred at a time when the majority of Americans have less than $1,000 in savings.</w:t>
      </w:r>
    </w:p>
    <w:p>
      <w:pPr>
        <w:spacing w:after="0" w:line="182" w:lineRule="exact"/>
        <w:rPr>
          <w:sz w:val="20"/>
          <w:szCs w:val="20"/>
          <w:color w:val="auto"/>
        </w:rPr>
      </w:pPr>
    </w:p>
    <w:p>
      <w:pPr>
        <w:ind w:left="360" w:firstLine="421"/>
        <w:spacing w:after="0" w:line="250" w:lineRule="auto"/>
        <w:rPr>
          <w:sz w:val="20"/>
          <w:szCs w:val="20"/>
          <w:color w:val="auto"/>
        </w:rPr>
      </w:pPr>
      <w:r>
        <w:rPr>
          <w:rFonts w:ascii="Times New Roman" w:cs="Times New Roman" w:eastAsia="Times New Roman" w:hAnsi="Times New Roman"/>
          <w:sz w:val="18"/>
          <w:szCs w:val="18"/>
          <w:color w:val="auto"/>
        </w:rPr>
        <w:t>Lack of affordability in healthcare is a contributing reason why 20% to 30% of prescriptions are left at the pharmacy counter. Non-adherence has a significant impact on American health: someone dies every four minutes in the United States from not taking their prescribed medication at all or as directed, according to a report in the American Journal of Health-System Pharmacy. Even for those who can afford care, access to physicians is limited. The average wait time for a new patient appointment in 15 large metropolitan markets in the United States was 24 days in 2017, and may extend up to 56 days in mid-sized markets, according to a Merritt Hawkins survey. This has placed additional strain on hospital emergency departments across the country – an estimated 30% of emergency department visits occur for health issues that could have been treated in primary or other care settings. Healthcare professionals, who are motivated by and whose success is increasingly judged on patient outcomes and satisfaction, are growing frustrated and need resources to help them. Part of the problem is that the healthcare market – one of the largest markets in the United States by spending and projected to reach $4.0 trillion in 2020 – has had no widely accepted, consumer-focused, tech-enabled solution through which consumers can easily shop for and access healthcare, unlike those found in other industries for things like airline tickets, rental homes and cars.</w:t>
      </w:r>
    </w:p>
    <w:p>
      <w:pPr>
        <w:spacing w:after="0" w:line="193" w:lineRule="exact"/>
        <w:rPr>
          <w:sz w:val="20"/>
          <w:szCs w:val="20"/>
          <w:color w:val="auto"/>
        </w:rPr>
      </w:pPr>
    </w:p>
    <w:p>
      <w:pPr>
        <w:ind w:left="360" w:firstLine="421"/>
        <w:spacing w:after="0" w:line="251" w:lineRule="auto"/>
        <w:rPr>
          <w:sz w:val="20"/>
          <w:szCs w:val="20"/>
          <w:color w:val="auto"/>
        </w:rPr>
      </w:pPr>
      <w:r>
        <w:rPr>
          <w:rFonts w:ascii="Times New Roman" w:cs="Times New Roman" w:eastAsia="Times New Roman" w:hAnsi="Times New Roman"/>
          <w:sz w:val="18"/>
          <w:szCs w:val="18"/>
          <w:color w:val="auto"/>
        </w:rPr>
        <w:t>GoodRx was founded to solve the challenges that consumers face in understanding, accessing, and affording healthcare. We started with a price comparison tool for prescriptions, offering consumers free access to lower prices on their medication. We wanted to help ensure that no parent had to choose between their child’s next meal and their life-saving medication. Today, we believe our expanded platform improves the health and financial well-being of American families by providing easy access to price transparency and affordability solutions for generic and brand medications, affordable and convenient medical provider consultations via telehealth and additional healthcare services and information. Based on our research, from inception through June 30, 2020, we estimate that approximately 18 million of our consumers could not have afforded to fill their prescriptions without the savings provided by GoodRx. Furthermore, a July 2020 survey we commissioned from Lab42 Research LLC found that 68% of healthcare providers surveyed have recommended GoodRx to patients. In addition to reducing the costs of healthcare for consumers, we believe that our offerings can help drive greater medication adherence, faster treatment and better patient outcomes. These all contribute to a healthier, happier society.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0880"/>
          </w:cols>
          <w:pgMar w:left="320" w:top="454" w:right="6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201295</wp:posOffset>
            </wp:positionV>
            <wp:extent cx="6925945" cy="51701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5945" cy="517017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60" w:right="260" w:firstLine="421"/>
        <w:spacing w:after="0" w:line="257" w:lineRule="auto"/>
        <w:rPr>
          <w:sz w:val="20"/>
          <w:szCs w:val="20"/>
          <w:color w:val="auto"/>
        </w:rPr>
      </w:pPr>
      <w:r>
        <w:rPr>
          <w:rFonts w:ascii="Times New Roman" w:cs="Times New Roman" w:eastAsia="Times New Roman" w:hAnsi="Times New Roman"/>
          <w:sz w:val="18"/>
          <w:szCs w:val="18"/>
          <w:color w:val="auto"/>
        </w:rPr>
        <w:t>We see exciting growth potential as we continue to attract new consumers through our existing offerings, launch new offerings to address more of the needs of healthcare consumers, and improve healthcare affordability and access for all Americans. As we extend our platform, we believe that we can create multiple monetization opportunities at different stages of the consumer healthcare journey, enabling us to drive higher expected consumer lifetime value without significant additional consumer acquisition costs.</w:t>
      </w:r>
    </w:p>
    <w:p>
      <w:pPr>
        <w:spacing w:after="0" w:line="182" w:lineRule="exact"/>
        <w:rPr>
          <w:sz w:val="20"/>
          <w:szCs w:val="20"/>
          <w:color w:val="auto"/>
        </w:rPr>
      </w:pPr>
    </w:p>
    <w:p>
      <w:pPr>
        <w:ind w:left="360" w:firstLine="421"/>
        <w:spacing w:after="0" w:line="255" w:lineRule="auto"/>
        <w:rPr>
          <w:sz w:val="20"/>
          <w:szCs w:val="20"/>
          <w:color w:val="auto"/>
        </w:rPr>
      </w:pPr>
      <w:r>
        <w:rPr>
          <w:rFonts w:ascii="Times New Roman" w:cs="Times New Roman" w:eastAsia="Times New Roman" w:hAnsi="Times New Roman"/>
          <w:sz w:val="18"/>
          <w:szCs w:val="18"/>
          <w:color w:val="auto"/>
        </w:rPr>
        <w:t>Our business model has facilitated the rapid growth and expansion of our platform. We have been focused on capital efficiency and delivering on a cash generative monetization model since inception, and we have been able to reinvest our cash flows in our business. As a result, our consumers can now access an increasingly broad platform with a variety of integrated offerings that provide healthcare affordability, access and convenience. Whether a consumer is insured or uninsured, young or old, or suffers from an acute or a chronic ailment, we strive to be at the consumer’s side throughout their healthcare journey.</w:t>
      </w:r>
    </w:p>
    <w:p>
      <w:pPr>
        <w:spacing w:after="0" w:line="183" w:lineRule="exact"/>
        <w:rPr>
          <w:sz w:val="20"/>
          <w:szCs w:val="20"/>
          <w:color w:val="auto"/>
        </w:rPr>
      </w:pPr>
    </w:p>
    <w:p>
      <w:pPr>
        <w:ind w:left="360" w:right="160" w:firstLine="421"/>
        <w:spacing w:after="0" w:line="270" w:lineRule="auto"/>
        <w:rPr>
          <w:sz w:val="20"/>
          <w:szCs w:val="20"/>
          <w:color w:val="auto"/>
        </w:rPr>
      </w:pPr>
      <w:r>
        <w:rPr>
          <w:rFonts w:ascii="Times New Roman" w:cs="Times New Roman" w:eastAsia="Times New Roman" w:hAnsi="Times New Roman"/>
          <w:sz w:val="17"/>
          <w:szCs w:val="17"/>
          <w:color w:val="auto"/>
        </w:rPr>
        <w:t>Our platform has been effective because we positively impact key stakeholders in the healthcare ecosystem. Benefits to participants in the healthcare ecosystem include: achieving better outcomes by increasing medication adherence; providing fast access to preventative care to reduce the strain on hospitals and emergency departments; increasing access to affordable prescriptions that otherwise may not have been filled; and enhancing consumer satisfaction and engagement. We believe that consumers, healthcare providers, pharmacy benefit managers, or PBMs, pharmacies, pharmaceutical manufacturers and telehealth providers all win with GoodRx. Our partnerships across the healthcare ecosystem, scale and strong consumer brand create a deep competitive moat that is reinforced by our proprietary technology platform, which processes over 150 billion pricing data points every day and integrates that data into an interface that is convenient and easy to use for consumers.</w:t>
      </w:r>
    </w:p>
    <w:p>
      <w:pPr>
        <w:spacing w:after="0" w:line="170" w:lineRule="exact"/>
        <w:rPr>
          <w:sz w:val="20"/>
          <w:szCs w:val="20"/>
          <w:color w:val="auto"/>
        </w:rPr>
      </w:pPr>
    </w:p>
    <w:p>
      <w:pPr>
        <w:ind w:left="360" w:firstLine="421"/>
        <w:spacing w:after="0" w:line="253" w:lineRule="auto"/>
        <w:rPr>
          <w:sz w:val="20"/>
          <w:szCs w:val="20"/>
          <w:color w:val="auto"/>
        </w:rPr>
      </w:pPr>
      <w:r>
        <w:rPr>
          <w:rFonts w:ascii="Times New Roman" w:cs="Times New Roman" w:eastAsia="Times New Roman" w:hAnsi="Times New Roman"/>
          <w:sz w:val="18"/>
          <w:szCs w:val="18"/>
          <w:color w:val="auto"/>
        </w:rPr>
        <w:t>Our success is demonstrated by our 4.4 million Monthly Active Consumers for the second quarter of 2020, the 15 million Monthly Visitors for the second quarter of 2020, the approximately $20 billion of cumulative consumer savings generated for GoodRx consumers through June 30, 2020 and our consumer and healthcare professional NPS scores of 90 and 86, respectively, as of February 2020. On average, we have been the most downloaded medical app on the Apple App Store and Google Play App Store for the last three years. Our GoodRx app had a rating of 4.8 out of 5.0 stars in the Apple App Store and 4.7 out of 5.0 stars in the Google Play App Store, with over 700,000 combined reviews as of June 30, 2020. In both app stores, our HeyDoctor app had a rating of 5.0 out of 5.0 stars, with over 8,000 combined reviews as of June 30, 2020.</w:t>
      </w:r>
    </w:p>
    <w:p>
      <w:pPr>
        <w:spacing w:after="0" w:line="187" w:lineRule="exact"/>
        <w:rPr>
          <w:sz w:val="20"/>
          <w:szCs w:val="20"/>
          <w:color w:val="auto"/>
        </w:rPr>
      </w:pPr>
    </w:p>
    <w:p>
      <w:pPr>
        <w:ind w:left="360" w:right="280" w:firstLine="421"/>
        <w:spacing w:after="0" w:line="255" w:lineRule="auto"/>
        <w:rPr>
          <w:sz w:val="20"/>
          <w:szCs w:val="20"/>
          <w:color w:val="auto"/>
        </w:rPr>
      </w:pPr>
      <w:r>
        <w:rPr>
          <w:rFonts w:ascii="Times New Roman" w:cs="Times New Roman" w:eastAsia="Times New Roman" w:hAnsi="Times New Roman"/>
          <w:sz w:val="18"/>
          <w:szCs w:val="18"/>
          <w:color w:val="auto"/>
        </w:rPr>
        <w:t>We believe our financial results reflect the significant market demand for our offerings and the value that we provide to the broader healthcare ecosystem. The GMV generated by our prescription offering, which accounts for the vast majority of our revenue, was $2.5 billion in 2019. Our revenue has grown at a compound annual growth rate, or CAGR, of 57% since 2016, and reached $388 million in 2019, up from</w:t>
      </w:r>
    </w:p>
    <w:p>
      <w:pPr>
        <w:ind w:left="360" w:right="40"/>
        <w:spacing w:after="0" w:line="249" w:lineRule="auto"/>
        <w:rPr>
          <w:sz w:val="20"/>
          <w:szCs w:val="20"/>
          <w:color w:val="auto"/>
        </w:rPr>
      </w:pPr>
      <w:r>
        <w:rPr>
          <w:rFonts w:ascii="Times New Roman" w:cs="Times New Roman" w:eastAsia="Times New Roman" w:hAnsi="Times New Roman"/>
          <w:sz w:val="18"/>
          <w:szCs w:val="18"/>
          <w:color w:val="auto"/>
        </w:rPr>
        <w:t>$250 million in 2018. Our net income was $66 million in 2019, up from $44 million in 2018, and our Adjusted EBITDA was $160 million in 2019, up from $128 million in 2018. Our revenue grew 48% in the first half of 2020 to $257 million, up from $173 million in the first half of 2019. Our net income was $55 million in the first half of 2020, up from $31 million in the first half of 2019, and our Adjusted EBITDA was $101 million in the first half of 2020, up from $75 million in the first half of 2019. Adjusted EBITDA is a non-GAAP financial measure. For a reconciliation of Adjusted EBITDA to the most directly comparable GAAP financial measure, information about why we consider Adjusted EBITDA useful and a discussion of the material risks and limitations of these measures, please see “Prospectus Summary—Summary Consolidated Financial and Operating Data—Key Financial and Operating Metrics—Non-GAAP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00"/>
          </w:cols>
          <w:pgMar w:left="320" w:top="454" w:right="6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201295</wp:posOffset>
            </wp:positionV>
            <wp:extent cx="6925945" cy="6102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5945" cy="610298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Industry Challenges</w:t>
      </w:r>
    </w:p>
    <w:p>
      <w:pPr>
        <w:spacing w:after="0" w:line="118" w:lineRule="exact"/>
        <w:rPr>
          <w:sz w:val="20"/>
          <w:szCs w:val="20"/>
          <w:color w:val="auto"/>
        </w:rPr>
      </w:pPr>
    </w:p>
    <w:p>
      <w:pPr>
        <w:ind w:left="360" w:right="140" w:firstLine="421"/>
        <w:spacing w:after="0" w:line="277" w:lineRule="auto"/>
        <w:rPr>
          <w:sz w:val="20"/>
          <w:szCs w:val="20"/>
          <w:color w:val="auto"/>
        </w:rPr>
      </w:pPr>
      <w:r>
        <w:rPr>
          <w:rFonts w:ascii="Times New Roman" w:cs="Times New Roman" w:eastAsia="Times New Roman" w:hAnsi="Times New Roman"/>
          <w:sz w:val="18"/>
          <w:szCs w:val="18"/>
          <w:color w:val="auto"/>
        </w:rPr>
        <w:t>Healthcare consumers in the United States face a number of challenges that have been increasing for decades, while the solutions to combat these issues have remained largely absent:</w:t>
      </w:r>
    </w:p>
    <w:p>
      <w:pPr>
        <w:spacing w:after="0" w:line="66" w:lineRule="exact"/>
        <w:rPr>
          <w:sz w:val="20"/>
          <w:szCs w:val="20"/>
          <w:color w:val="auto"/>
        </w:rPr>
      </w:pPr>
    </w:p>
    <w:p>
      <w:pPr>
        <w:ind w:left="1280" w:hanging="405"/>
        <w:spacing w:after="0" w:line="265"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Lack of Consumer-Focused Solutions: </w:t>
      </w:r>
      <w:r>
        <w:rPr>
          <w:rFonts w:ascii="Times New Roman" w:cs="Times New Roman" w:eastAsia="Times New Roman" w:hAnsi="Times New Roman"/>
          <w:sz w:val="18"/>
          <w:szCs w:val="18"/>
          <w:color w:val="auto"/>
        </w:rPr>
        <w:t>Health is the most essential aspect of peoples’ lives. However, healthcare has remained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largely unaffected by the market and technology-driven forces that have improved many other facets of life. Technology similar to that which has been deployed to help consumers buy airline tickets, rent homes or hail cars is lacking in healthcare.</w:t>
      </w:r>
    </w:p>
    <w:p>
      <w:pPr>
        <w:spacing w:after="0" w:line="75" w:lineRule="exact"/>
        <w:rPr>
          <w:rFonts w:ascii="Times New Roman" w:cs="Times New Roman" w:eastAsia="Times New Roman" w:hAnsi="Times New Roman"/>
          <w:sz w:val="18"/>
          <w:szCs w:val="18"/>
          <w:color w:val="auto"/>
        </w:rPr>
      </w:pPr>
    </w:p>
    <w:p>
      <w:pPr>
        <w:ind w:left="1280" w:right="240" w:hanging="405"/>
        <w:spacing w:after="0" w:line="259"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Lack of Affordability: </w:t>
      </w:r>
      <w:r>
        <w:rPr>
          <w:rFonts w:ascii="Times New Roman" w:cs="Times New Roman" w:eastAsia="Times New Roman" w:hAnsi="Times New Roman"/>
          <w:sz w:val="18"/>
          <w:szCs w:val="18"/>
          <w:color w:val="auto"/>
        </w:rPr>
        <w:t>Americans spent twice as much per capita on healthcare compared to citizens from other OECD countries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however, the United States has one of the lowest quality of care rankings among these countries. Insurance companies and employers in the United States have shifted an increasing amount of the financial burden of healthcare onto their members and employees through higher deductibles and increasing co-pays and co-insurance.</w:t>
      </w:r>
    </w:p>
    <w:p>
      <w:pPr>
        <w:spacing w:after="0" w:line="81" w:lineRule="exact"/>
        <w:rPr>
          <w:rFonts w:ascii="Times New Roman" w:cs="Times New Roman" w:eastAsia="Times New Roman" w:hAnsi="Times New Roman"/>
          <w:sz w:val="18"/>
          <w:szCs w:val="18"/>
          <w:color w:val="auto"/>
        </w:rPr>
      </w:pPr>
    </w:p>
    <w:p>
      <w:pPr>
        <w:ind w:left="1280" w:right="300" w:hanging="405"/>
        <w:spacing w:after="0" w:line="265"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Lack of Transparency: </w:t>
      </w:r>
      <w:r>
        <w:rPr>
          <w:rFonts w:ascii="Times New Roman" w:cs="Times New Roman" w:eastAsia="Times New Roman" w:hAnsi="Times New Roman"/>
          <w:sz w:val="18"/>
          <w:szCs w:val="18"/>
          <w:color w:val="auto"/>
        </w:rPr>
        <w:t>The healthcare system is highly complex and fragmented. Price variability for prescription medication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healthcare services can be significant. This can lead to consumer frustration, unnecessary cost, and in many cases, failure to adhere to a medication, undergo a treatment or get a medical test.</w:t>
      </w:r>
    </w:p>
    <w:p>
      <w:pPr>
        <w:spacing w:after="0" w:line="75" w:lineRule="exact"/>
        <w:rPr>
          <w:rFonts w:ascii="Times New Roman" w:cs="Times New Roman" w:eastAsia="Times New Roman" w:hAnsi="Times New Roman"/>
          <w:sz w:val="18"/>
          <w:szCs w:val="18"/>
          <w:color w:val="auto"/>
        </w:rPr>
      </w:pPr>
    </w:p>
    <w:p>
      <w:pPr>
        <w:ind w:left="1280" w:right="100" w:hanging="405"/>
        <w:spacing w:after="0" w:line="259"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Lack of Access to Care: </w:t>
      </w:r>
      <w:r>
        <w:rPr>
          <w:rFonts w:ascii="Times New Roman" w:cs="Times New Roman" w:eastAsia="Times New Roman" w:hAnsi="Times New Roman"/>
          <w:sz w:val="18"/>
          <w:szCs w:val="18"/>
          <w:color w:val="auto"/>
        </w:rPr>
        <w:t>Consumers face challenges gaining access to affordable, timely and quality care. The lack of access to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care limits the ability of many consumers to quickly and effectively address relatively basic needs, such as obtaining medication for high blood pressure or diagnosing an infection. Failure to receive early diagnosis and treatment often leads to more severe illness and can require more costly medical treatment in the future.</w:t>
      </w:r>
    </w:p>
    <w:p>
      <w:pPr>
        <w:spacing w:after="0" w:line="81" w:lineRule="exact"/>
        <w:rPr>
          <w:rFonts w:ascii="Times New Roman" w:cs="Times New Roman" w:eastAsia="Times New Roman" w:hAnsi="Times New Roman"/>
          <w:sz w:val="18"/>
          <w:szCs w:val="18"/>
          <w:color w:val="auto"/>
        </w:rPr>
      </w:pPr>
    </w:p>
    <w:p>
      <w:pPr>
        <w:ind w:left="1280" w:right="120" w:hanging="405"/>
        <w:spacing w:after="0" w:line="259"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Lack of Resources for Healthcare Professionals: </w:t>
      </w:r>
      <w:r>
        <w:rPr>
          <w:rFonts w:ascii="Times New Roman" w:cs="Times New Roman" w:eastAsia="Times New Roman" w:hAnsi="Times New Roman"/>
          <w:sz w:val="18"/>
          <w:szCs w:val="18"/>
          <w:color w:val="auto"/>
        </w:rPr>
        <w:t>Physicians and other healthcare professionals know that their patients increasingly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expect to have a conversation regarding the cost of their treatment or medications, but they tend to have limited access to current information regarding the out-of-pocket financial burden of prescriptions or treatment, and are typically unaware as to whether the patient will be able to afford the prescribed medication or treatment.</w:t>
      </w:r>
    </w:p>
    <w:p>
      <w:pPr>
        <w:spacing w:after="0" w:line="2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18" w:lineRule="exact"/>
        <w:rPr>
          <w:sz w:val="20"/>
          <w:szCs w:val="20"/>
          <w:color w:val="auto"/>
        </w:rPr>
      </w:pPr>
    </w:p>
    <w:p>
      <w:pPr>
        <w:ind w:left="360" w:right="600" w:firstLine="421"/>
        <w:spacing w:after="0" w:line="262" w:lineRule="auto"/>
        <w:rPr>
          <w:sz w:val="20"/>
          <w:szCs w:val="20"/>
          <w:color w:val="auto"/>
        </w:rPr>
      </w:pPr>
      <w:r>
        <w:rPr>
          <w:rFonts w:ascii="Times New Roman" w:cs="Times New Roman" w:eastAsia="Times New Roman" w:hAnsi="Times New Roman"/>
          <w:sz w:val="18"/>
          <w:szCs w:val="18"/>
          <w:color w:val="auto"/>
        </w:rPr>
        <w:t>We believe our market opportunity is substantial and estimate the total addressable market, or TAM, for our current solutions to be approximately $800 billion. This includes a $524 billion prescription opportunity, inclusive of prescriptions that are written but not filled, a $30 billion pharmaceutical manufacturer solutions opportunity and a $250 billion telehealth opportunity.</w:t>
      </w:r>
    </w:p>
    <w:p>
      <w:pPr>
        <w:spacing w:after="0" w:line="2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Our Value Proposition</w:t>
      </w:r>
    </w:p>
    <w:p>
      <w:pPr>
        <w:spacing w:after="0" w:line="118" w:lineRule="exact"/>
        <w:rPr>
          <w:sz w:val="20"/>
          <w:szCs w:val="20"/>
          <w:color w:val="auto"/>
        </w:rPr>
      </w:pPr>
    </w:p>
    <w:p>
      <w:pPr>
        <w:ind w:left="360" w:right="100" w:firstLine="421"/>
        <w:spacing w:after="0" w:line="257" w:lineRule="auto"/>
        <w:rPr>
          <w:sz w:val="20"/>
          <w:szCs w:val="20"/>
          <w:color w:val="auto"/>
        </w:rPr>
      </w:pPr>
      <w:r>
        <w:rPr>
          <w:rFonts w:ascii="Times New Roman" w:cs="Times New Roman" w:eastAsia="Times New Roman" w:hAnsi="Times New Roman"/>
          <w:sz w:val="18"/>
          <w:szCs w:val="18"/>
          <w:color w:val="auto"/>
        </w:rPr>
        <w:t>GoodRx was founded to provide consumers with solutions to the complexity, affordability and transparency challenges American healthcare presents. We believe that the benefits we provide to consumers also positively impact the broader healthcare ecosystem, meaning consumers, healthcare providers, PBMs, pharmacies, pharmaceutical manufacturers, and telehealth providers all win with GoodRx. This, in turn, can drive beneficial and self-reinforcing network effects.</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value proposition by stakeholder is described below:</w:t>
      </w:r>
    </w:p>
    <w:p>
      <w:pPr>
        <w:spacing w:after="0" w:line="123" w:lineRule="exact"/>
        <w:rPr>
          <w:sz w:val="20"/>
          <w:szCs w:val="20"/>
          <w:color w:val="auto"/>
        </w:rPr>
      </w:pPr>
    </w:p>
    <w:p>
      <w:pPr>
        <w:ind w:left="1280" w:right="160" w:hanging="405"/>
        <w:spacing w:after="0" w:line="265"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Consumers: </w:t>
      </w:r>
      <w:r>
        <w:rPr>
          <w:rFonts w:ascii="Times New Roman" w:cs="Times New Roman" w:eastAsia="Times New Roman" w:hAnsi="Times New Roman"/>
          <w:sz w:val="18"/>
          <w:szCs w:val="18"/>
          <w:color w:val="auto"/>
        </w:rPr>
        <w:t>Our platform provides consumers with a variety of mobile-first offerings designed to make their access to healthcare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simple and more affordable. We help people fill prescriptions that they may otherwise not have filled due to cost, and enable them to access treatments through telehealth that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5580" w:hanging="104"/>
        <w:spacing w:after="0"/>
        <w:tabs>
          <w:tab w:leader="none" w:pos="55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880"/>
          </w:cols>
          <w:pgMar w:left="320" w:top="454" w:right="6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201295</wp:posOffset>
            </wp:positionV>
            <wp:extent cx="6925945" cy="57810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5945" cy="57810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280" w:right="160"/>
        <w:spacing w:after="0" w:line="257" w:lineRule="auto"/>
        <w:rPr>
          <w:sz w:val="20"/>
          <w:szCs w:val="20"/>
          <w:color w:val="auto"/>
        </w:rPr>
      </w:pPr>
      <w:r>
        <w:rPr>
          <w:rFonts w:ascii="Times New Roman" w:cs="Times New Roman" w:eastAsia="Times New Roman" w:hAnsi="Times New Roman"/>
          <w:sz w:val="18"/>
          <w:szCs w:val="18"/>
          <w:color w:val="auto"/>
        </w:rPr>
        <w:t>they may otherwise have delayed due to long wait times for in-person visits. These solutions increase medication adherence, reduce strain on hospital emergency departments and physicians, and improve health outcomes. The value that consumers ascribe to our platform is demonstrated by our high NPS of 90 according to a survey that we conducted in February 2020, which exceeds that of many other well-regarded consumer-centric brands.</w:t>
      </w:r>
    </w:p>
    <w:p>
      <w:pPr>
        <w:spacing w:after="0" w:line="85" w:lineRule="exact"/>
        <w:rPr>
          <w:sz w:val="20"/>
          <w:szCs w:val="20"/>
          <w:color w:val="auto"/>
        </w:rPr>
      </w:pPr>
    </w:p>
    <w:p>
      <w:pPr>
        <w:ind w:left="1280" w:right="40" w:hanging="405"/>
        <w:spacing w:after="0" w:line="256"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Healthcare Professionals: </w:t>
      </w:r>
      <w:r>
        <w:rPr>
          <w:rFonts w:ascii="Times New Roman" w:cs="Times New Roman" w:eastAsia="Times New Roman" w:hAnsi="Times New Roman"/>
          <w:sz w:val="18"/>
          <w:szCs w:val="18"/>
          <w:color w:val="auto"/>
        </w:rPr>
        <w:t>Physicians and other healthcare professionals are motivated to help patients, and, increasingly, are judged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patient outcomes. We help these healthcare professionals improve patient outcomes by encouraging medication adherence and providing a consumer-friendly service. We are able to integrate our pricing information and GoodRx codes directly into Electronic Health Record, or EHR, systems, enabling healthcare professionals to provide prices from our platform directly to their patients at the point of prescribing.</w:t>
      </w:r>
    </w:p>
    <w:p>
      <w:pPr>
        <w:spacing w:after="0" w:line="84" w:lineRule="exact"/>
        <w:rPr>
          <w:rFonts w:ascii="Times New Roman" w:cs="Times New Roman" w:eastAsia="Times New Roman" w:hAnsi="Times New Roman"/>
          <w:sz w:val="18"/>
          <w:szCs w:val="18"/>
          <w:color w:val="auto"/>
        </w:rPr>
      </w:pPr>
    </w:p>
    <w:p>
      <w:pPr>
        <w:ind w:left="1280" w:right="200" w:hanging="405"/>
        <w:spacing w:after="0" w:line="256"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Healthcare Companies: </w:t>
      </w:r>
      <w:r>
        <w:rPr>
          <w:rFonts w:ascii="Times New Roman" w:cs="Times New Roman" w:eastAsia="Times New Roman" w:hAnsi="Times New Roman"/>
          <w:sz w:val="18"/>
          <w:szCs w:val="18"/>
          <w:color w:val="auto"/>
        </w:rPr>
        <w:t>PBMs, pharmacies, pharmaceutical manufacturers and telehealth providers use our platform to reach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affordability solutions to consumers. We play a valuable role within the healthcare ecosystem by aggregating, normalizing, and presenting information from all of these constituents on a single platform for the consumer. Through the deep relationships that we have developed with these stakeholders over many years, we are able to continually improve our offerings and achieve better pricing outcomes for consumers.</w:t>
      </w:r>
    </w:p>
    <w:p>
      <w:pPr>
        <w:spacing w:after="0" w:line="2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What Sets Us Apart</w:t>
      </w:r>
    </w:p>
    <w:p>
      <w:pPr>
        <w:spacing w:after="0" w:line="118" w:lineRule="exact"/>
        <w:rPr>
          <w:sz w:val="20"/>
          <w:szCs w:val="20"/>
          <w:color w:val="auto"/>
        </w:rPr>
      </w:pPr>
    </w:p>
    <w:p>
      <w:pPr>
        <w:ind w:left="360" w:right="180" w:firstLine="421"/>
        <w:spacing w:after="0" w:line="277" w:lineRule="auto"/>
        <w:rPr>
          <w:sz w:val="20"/>
          <w:szCs w:val="20"/>
          <w:color w:val="auto"/>
        </w:rPr>
      </w:pPr>
      <w:r>
        <w:rPr>
          <w:rFonts w:ascii="Times New Roman" w:cs="Times New Roman" w:eastAsia="Times New Roman" w:hAnsi="Times New Roman"/>
          <w:sz w:val="18"/>
          <w:szCs w:val="18"/>
          <w:color w:val="auto"/>
        </w:rPr>
        <w:t>We are a market leader with a significant scale and brand advantage over our competitors. Our growth accelerates self-reinforcing network effects that further strengthen our competitive position. Our competitive strengths consist of:</w:t>
      </w:r>
    </w:p>
    <w:p>
      <w:pPr>
        <w:spacing w:after="0" w:line="66" w:lineRule="exact"/>
        <w:rPr>
          <w:sz w:val="20"/>
          <w:szCs w:val="20"/>
          <w:color w:val="auto"/>
        </w:rPr>
      </w:pPr>
    </w:p>
    <w:p>
      <w:pPr>
        <w:ind w:left="1280" w:right="180" w:hanging="405"/>
        <w:spacing w:after="0" w:line="265"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Leading Platform: </w:t>
      </w:r>
      <w:r>
        <w:rPr>
          <w:rFonts w:ascii="Times New Roman" w:cs="Times New Roman" w:eastAsia="Times New Roman" w:hAnsi="Times New Roman"/>
          <w:sz w:val="18"/>
          <w:szCs w:val="18"/>
          <w:color w:val="auto"/>
        </w:rPr>
        <w:t>We believe that we are the largest platform that aggregates pricing for prescriptions. Our proprietary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enables us to collect and normalize over 150 billion prescription pricing data points every day from sources spanning the healthcare industry.</w:t>
      </w:r>
    </w:p>
    <w:p>
      <w:pPr>
        <w:spacing w:after="0" w:line="75" w:lineRule="exact"/>
        <w:rPr>
          <w:rFonts w:ascii="Times New Roman" w:cs="Times New Roman" w:eastAsia="Times New Roman" w:hAnsi="Times New Roman"/>
          <w:sz w:val="18"/>
          <w:szCs w:val="18"/>
          <w:color w:val="auto"/>
        </w:rPr>
      </w:pPr>
    </w:p>
    <w:p>
      <w:pPr>
        <w:ind w:left="1280" w:right="40" w:hanging="405"/>
        <w:spacing w:after="0" w:line="265"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Trusted Brand: </w:t>
      </w:r>
      <w:r>
        <w:rPr>
          <w:rFonts w:ascii="Times New Roman" w:cs="Times New Roman" w:eastAsia="Times New Roman" w:hAnsi="Times New Roman"/>
          <w:sz w:val="18"/>
          <w:szCs w:val="18"/>
          <w:color w:val="auto"/>
        </w:rPr>
        <w:t>We have built a trusted brand based on nearly a decade of consumer-focused product development. We strive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consumer throughout their healthcare journey. We are guided by the principle of doing well for consumers and the healthcare industry as a whole, which we believe helps us build trust, engagement and brand loyalty.</w:t>
      </w:r>
    </w:p>
    <w:p>
      <w:pPr>
        <w:spacing w:after="0" w:line="75" w:lineRule="exact"/>
        <w:rPr>
          <w:rFonts w:ascii="Times New Roman" w:cs="Times New Roman" w:eastAsia="Times New Roman" w:hAnsi="Times New Roman"/>
          <w:sz w:val="18"/>
          <w:szCs w:val="18"/>
          <w:color w:val="auto"/>
        </w:rPr>
      </w:pPr>
    </w:p>
    <w:p>
      <w:pPr>
        <w:jc w:val="both"/>
        <w:ind w:left="1280" w:right="140" w:hanging="405"/>
        <w:spacing w:after="0" w:line="265"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Scaled and Growing Network: </w:t>
      </w:r>
      <w:r>
        <w:rPr>
          <w:rFonts w:ascii="Times New Roman" w:cs="Times New Roman" w:eastAsia="Times New Roman" w:hAnsi="Times New Roman"/>
          <w:sz w:val="18"/>
          <w:szCs w:val="18"/>
          <w:color w:val="auto"/>
        </w:rPr>
        <w:t>Our leading consumer-focused digital healthcare platform and brand have facilitated rapid growth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consumer base, which has helped us achieve significant scale. As we have scaled, we have been able to increase the savings that we provide our consumers, in part by leveraging our growing consumer base to attract more partners and source better prices.</w:t>
      </w:r>
    </w:p>
    <w:p>
      <w:pPr>
        <w:spacing w:after="0" w:line="75" w:lineRule="exact"/>
        <w:rPr>
          <w:rFonts w:ascii="Times New Roman" w:cs="Times New Roman" w:eastAsia="Times New Roman" w:hAnsi="Times New Roman"/>
          <w:sz w:val="18"/>
          <w:szCs w:val="18"/>
          <w:color w:val="auto"/>
        </w:rPr>
      </w:pPr>
    </w:p>
    <w:p>
      <w:pPr>
        <w:ind w:left="1280" w:right="400" w:hanging="405"/>
        <w:spacing w:after="0" w:line="282"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Consumer-focus: </w:t>
      </w:r>
      <w:r>
        <w:rPr>
          <w:rFonts w:ascii="Times New Roman" w:cs="Times New Roman" w:eastAsia="Times New Roman" w:hAnsi="Times New Roman"/>
          <w:sz w:val="18"/>
          <w:szCs w:val="18"/>
          <w:color w:val="auto"/>
        </w:rPr>
        <w:t>We empower consumers with the tools and resources to navigate the complexity of the healthcare system.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delivers a consumer-first experience that is convenient and is easy to use and understand.</w:t>
      </w:r>
    </w:p>
    <w:p>
      <w:pPr>
        <w:spacing w:after="0" w:line="61" w:lineRule="exact"/>
        <w:rPr>
          <w:rFonts w:ascii="Times New Roman" w:cs="Times New Roman" w:eastAsia="Times New Roman" w:hAnsi="Times New Roman"/>
          <w:sz w:val="18"/>
          <w:szCs w:val="18"/>
          <w:color w:val="auto"/>
        </w:rPr>
      </w:pPr>
    </w:p>
    <w:p>
      <w:pPr>
        <w:ind w:left="1280" w:right="180" w:hanging="405"/>
        <w:spacing w:after="0" w:line="259"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Extensible Platform: </w:t>
      </w:r>
      <w:r>
        <w:rPr>
          <w:rFonts w:ascii="Times New Roman" w:cs="Times New Roman" w:eastAsia="Times New Roman" w:hAnsi="Times New Roman"/>
          <w:sz w:val="18"/>
          <w:szCs w:val="18"/>
          <w:color w:val="auto"/>
        </w:rPr>
        <w:t>The large number of highly engaged consumers who trust our brand and platform provide a strong foundation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development of new products that extend across the healthcare market. We have demonstrated our ability to develop new products such as our subscription offerings and pharmaceutical manufacturer solutions offering, and integrate acquired companies such as HeyDoctor.</w:t>
      </w:r>
    </w:p>
    <w:p>
      <w:pPr>
        <w:spacing w:after="0" w:line="81" w:lineRule="exact"/>
        <w:rPr>
          <w:rFonts w:ascii="Times New Roman" w:cs="Times New Roman" w:eastAsia="Times New Roman" w:hAnsi="Times New Roman"/>
          <w:sz w:val="18"/>
          <w:szCs w:val="18"/>
          <w:color w:val="auto"/>
        </w:rPr>
      </w:pPr>
    </w:p>
    <w:p>
      <w:pPr>
        <w:ind w:left="1280" w:hanging="405"/>
        <w:spacing w:after="0" w:line="282"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Cash Generative Monetization Model: </w:t>
      </w:r>
      <w:r>
        <w:rPr>
          <w:rFonts w:ascii="Times New Roman" w:cs="Times New Roman" w:eastAsia="Times New Roman" w:hAnsi="Times New Roman"/>
          <w:sz w:val="18"/>
          <w:szCs w:val="18"/>
          <w:color w:val="auto"/>
        </w:rPr>
        <w:t>We believe our business model has facilitated the rapid growth and expansion of our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a track record of generating cash flows, allowing us to reinvest in platform expansion and growth.</w:t>
      </w:r>
    </w:p>
    <w:p>
      <w:pPr>
        <w:spacing w:after="0" w:line="200" w:lineRule="exact"/>
        <w:rPr>
          <w:rFonts w:ascii="Times New Roman" w:cs="Times New Roman" w:eastAsia="Times New Roman" w:hAnsi="Times New Roman"/>
          <w:sz w:val="18"/>
          <w:szCs w:val="18"/>
          <w:color w:val="auto"/>
        </w:rPr>
      </w:pPr>
    </w:p>
    <w:p>
      <w:pPr>
        <w:spacing w:after="0" w:line="386" w:lineRule="exact"/>
        <w:rPr>
          <w:rFonts w:ascii="Times New Roman" w:cs="Times New Roman" w:eastAsia="Times New Roman" w:hAnsi="Times New Roman"/>
          <w:sz w:val="18"/>
          <w:szCs w:val="18"/>
          <w:color w:val="auto"/>
        </w:rPr>
      </w:pPr>
    </w:p>
    <w:p>
      <w:pPr>
        <w:ind w:left="5580" w:hanging="104"/>
        <w:spacing w:after="0"/>
        <w:tabs>
          <w:tab w:leader="none" w:pos="55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840"/>
          </w:cols>
          <w:pgMar w:left="320" w:top="454" w:right="7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201295</wp:posOffset>
            </wp:positionV>
            <wp:extent cx="6925945" cy="61963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5945" cy="619633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key elements of our growth strategy include:</w:t>
      </w:r>
    </w:p>
    <w:p>
      <w:pPr>
        <w:spacing w:after="0" w:line="123" w:lineRule="exact"/>
        <w:rPr>
          <w:sz w:val="20"/>
          <w:szCs w:val="20"/>
          <w:color w:val="auto"/>
        </w:rPr>
      </w:pPr>
    </w:p>
    <w:p>
      <w:pPr>
        <w:ind w:left="1280" w:right="20" w:hanging="405"/>
        <w:spacing w:after="0" w:line="265"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Attract New Consumers: </w:t>
      </w:r>
      <w:r>
        <w:rPr>
          <w:rFonts w:ascii="Times New Roman" w:cs="Times New Roman" w:eastAsia="Times New Roman" w:hAnsi="Times New Roman"/>
          <w:sz w:val="18"/>
          <w:szCs w:val="18"/>
          <w:color w:val="auto"/>
        </w:rPr>
        <w:t>We believe that we have a significant opportunity to serve all Americans by growing awareness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existing offerings and through the extension of our platform into many of the other areas of healthcare that lack price transparency and consumer empowerment.</w:t>
      </w:r>
    </w:p>
    <w:p>
      <w:pPr>
        <w:spacing w:after="0" w:line="75" w:lineRule="exact"/>
        <w:rPr>
          <w:rFonts w:ascii="Times New Roman" w:cs="Times New Roman" w:eastAsia="Times New Roman" w:hAnsi="Times New Roman"/>
          <w:sz w:val="18"/>
          <w:szCs w:val="18"/>
          <w:color w:val="auto"/>
        </w:rPr>
      </w:pPr>
    </w:p>
    <w:p>
      <w:pPr>
        <w:ind w:left="1280" w:right="140" w:hanging="405"/>
        <w:spacing w:after="0" w:line="265"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Facilitate Existing GoodRx Consumers’ Adoption of Multiple GoodRx Offerings: </w:t>
      </w:r>
      <w:r>
        <w:rPr>
          <w:rFonts w:ascii="Times New Roman" w:cs="Times New Roman" w:eastAsia="Times New Roman" w:hAnsi="Times New Roman"/>
          <w:sz w:val="18"/>
          <w:szCs w:val="18"/>
          <w:color w:val="auto"/>
        </w:rPr>
        <w:t>We aim to increase the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monetization channels used by our existing consumers, which we believe will be accretive to our consumer lifetime value and to our margins in the medium to long term, without significant additional consumer acquisition costs.</w:t>
      </w:r>
    </w:p>
    <w:p>
      <w:pPr>
        <w:spacing w:after="0" w:line="75" w:lineRule="exact"/>
        <w:rPr>
          <w:rFonts w:ascii="Times New Roman" w:cs="Times New Roman" w:eastAsia="Times New Roman" w:hAnsi="Times New Roman"/>
          <w:sz w:val="18"/>
          <w:szCs w:val="18"/>
          <w:color w:val="auto"/>
        </w:rPr>
      </w:pPr>
    </w:p>
    <w:p>
      <w:pPr>
        <w:ind w:left="1280" w:right="720" w:hanging="405"/>
        <w:spacing w:after="0" w:line="282"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Build the GoodRx Brand: </w:t>
      </w:r>
      <w:r>
        <w:rPr>
          <w:rFonts w:ascii="Times New Roman" w:cs="Times New Roman" w:eastAsia="Times New Roman" w:hAnsi="Times New Roman"/>
          <w:sz w:val="18"/>
          <w:szCs w:val="18"/>
          <w:color w:val="auto"/>
        </w:rPr>
        <w:t>We believe that there are significant opportunities to increase awareness and educate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healthcare consumers regarding prescription pricing, as well as our platform and solutions.</w:t>
      </w:r>
    </w:p>
    <w:p>
      <w:pPr>
        <w:spacing w:after="0" w:line="61" w:lineRule="exact"/>
        <w:rPr>
          <w:rFonts w:ascii="Times New Roman" w:cs="Times New Roman" w:eastAsia="Times New Roman" w:hAnsi="Times New Roman"/>
          <w:sz w:val="18"/>
          <w:szCs w:val="18"/>
          <w:color w:val="auto"/>
        </w:rPr>
      </w:pPr>
    </w:p>
    <w:p>
      <w:pPr>
        <w:ind w:left="1280" w:right="220" w:hanging="405"/>
        <w:spacing w:after="0" w:line="259"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 in Product Offerings</w:t>
      </w:r>
      <w:r>
        <w:rPr>
          <w:rFonts w:ascii="Times New Roman" w:cs="Times New Roman" w:eastAsia="Times New Roman" w:hAnsi="Times New Roman"/>
          <w:sz w:val="18"/>
          <w:szCs w:val="18"/>
          <w:color w:val="auto"/>
        </w:rPr>
        <w:t>: We plan to continue to invest in and scale our range of product offerings to better address the needs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consumers, provide them with better pricing, and improve their overall healthcare journey. Existing offerings include prescription, subscription, pharmaceutical manufacturer solutions, and telehealth offerings. We also see future expansion opportunities in other areas of healthcare that could benefit from the transparency and accessibility provided by our platform.</w:t>
      </w:r>
    </w:p>
    <w:p>
      <w:pPr>
        <w:spacing w:after="0" w:line="81" w:lineRule="exact"/>
        <w:rPr>
          <w:rFonts w:ascii="Times New Roman" w:cs="Times New Roman" w:eastAsia="Times New Roman" w:hAnsi="Times New Roman"/>
          <w:sz w:val="18"/>
          <w:szCs w:val="18"/>
          <w:color w:val="auto"/>
        </w:rPr>
      </w:pPr>
    </w:p>
    <w:p>
      <w:pPr>
        <w:ind w:left="1700" w:right="320" w:hanging="304"/>
        <w:spacing w:after="0" w:line="265" w:lineRule="auto"/>
        <w:tabs>
          <w:tab w:leader="none" w:pos="17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Subscription Offerings: </w:t>
      </w:r>
      <w:r>
        <w:rPr>
          <w:rFonts w:ascii="Times New Roman" w:cs="Times New Roman" w:eastAsia="Times New Roman" w:hAnsi="Times New Roman"/>
          <w:sz w:val="18"/>
          <w:szCs w:val="18"/>
          <w:color w:val="auto"/>
        </w:rPr>
        <w:t>The usage of Gold and Kroger Savings has increased significantly. We will continue to increase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proposition for consumers by bundling various existing and new offerings in affordable and consumer-friendly subscription packages.</w:t>
      </w:r>
    </w:p>
    <w:p>
      <w:pPr>
        <w:spacing w:after="0" w:line="75" w:lineRule="exact"/>
        <w:rPr>
          <w:rFonts w:ascii="Times New Roman" w:cs="Times New Roman" w:eastAsia="Times New Roman" w:hAnsi="Times New Roman"/>
          <w:sz w:val="18"/>
          <w:szCs w:val="18"/>
          <w:color w:val="auto"/>
        </w:rPr>
      </w:pPr>
    </w:p>
    <w:p>
      <w:pPr>
        <w:jc w:val="both"/>
        <w:ind w:left="1700" w:hanging="304"/>
        <w:spacing w:after="0" w:line="265" w:lineRule="auto"/>
        <w:tabs>
          <w:tab w:leader="none" w:pos="17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Pharmaceutical Manufacturer Solutions Offering: </w:t>
      </w:r>
      <w:r>
        <w:rPr>
          <w:rFonts w:ascii="Times New Roman" w:cs="Times New Roman" w:eastAsia="Times New Roman" w:hAnsi="Times New Roman"/>
          <w:sz w:val="18"/>
          <w:szCs w:val="18"/>
          <w:color w:val="auto"/>
        </w:rPr>
        <w:t>We plan to continue to expand the number of pharmaceutical manufacturers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which we work, as well as enhance our existing offerings and introduce new integrated technology solutions that will allow manufacturers to interact with our consumer base more effectively.</w:t>
      </w:r>
    </w:p>
    <w:p>
      <w:pPr>
        <w:spacing w:after="0" w:line="75" w:lineRule="exact"/>
        <w:rPr>
          <w:rFonts w:ascii="Times New Roman" w:cs="Times New Roman" w:eastAsia="Times New Roman" w:hAnsi="Times New Roman"/>
          <w:sz w:val="18"/>
          <w:szCs w:val="18"/>
          <w:color w:val="auto"/>
        </w:rPr>
      </w:pPr>
    </w:p>
    <w:p>
      <w:pPr>
        <w:ind w:left="1700" w:right="20" w:hanging="304"/>
        <w:spacing w:after="0" w:line="265" w:lineRule="auto"/>
        <w:tabs>
          <w:tab w:leader="none" w:pos="17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Telehealth Offerings: </w:t>
      </w:r>
      <w:r>
        <w:rPr>
          <w:rFonts w:ascii="Times New Roman" w:cs="Times New Roman" w:eastAsia="Times New Roman" w:hAnsi="Times New Roman"/>
          <w:sz w:val="18"/>
          <w:szCs w:val="18"/>
          <w:color w:val="auto"/>
        </w:rPr>
        <w:t>We believe our telehealth offerings will become more integrated with, and will be a growth driver for,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offerings. We plan to significantly invest in our telehealth offerings, as we see this as an opportunity to add another key consumer entry point into our platform.</w:t>
      </w:r>
    </w:p>
    <w:p>
      <w:pPr>
        <w:spacing w:after="0" w:line="75" w:lineRule="exact"/>
        <w:rPr>
          <w:rFonts w:ascii="Times New Roman" w:cs="Times New Roman" w:eastAsia="Times New Roman" w:hAnsi="Times New Roman"/>
          <w:sz w:val="18"/>
          <w:szCs w:val="18"/>
          <w:color w:val="auto"/>
        </w:rPr>
      </w:pPr>
    </w:p>
    <w:p>
      <w:pPr>
        <w:ind w:left="1700" w:right="80" w:hanging="304"/>
        <w:spacing w:after="0" w:line="282" w:lineRule="auto"/>
        <w:tabs>
          <w:tab w:leader="none" w:pos="17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Future Expansion Opportunities: </w:t>
      </w:r>
      <w:r>
        <w:rPr>
          <w:rFonts w:ascii="Times New Roman" w:cs="Times New Roman" w:eastAsia="Times New Roman" w:hAnsi="Times New Roman"/>
          <w:sz w:val="18"/>
          <w:szCs w:val="18"/>
          <w:color w:val="auto"/>
        </w:rPr>
        <w:t>We believe there are many other areas of healthcare that could benefit from the transparency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accessibility provided by our platform, and we will invest in these areas strategically.</w:t>
      </w:r>
    </w:p>
    <w:p>
      <w:pPr>
        <w:spacing w:after="0" w:line="61" w:lineRule="exact"/>
        <w:rPr>
          <w:rFonts w:ascii="Times New Roman" w:cs="Times New Roman" w:eastAsia="Times New Roman" w:hAnsi="Times New Roman"/>
          <w:sz w:val="18"/>
          <w:szCs w:val="18"/>
          <w:color w:val="auto"/>
        </w:rPr>
      </w:pPr>
    </w:p>
    <w:p>
      <w:pPr>
        <w:ind w:left="1280" w:right="480" w:hanging="405"/>
        <w:spacing w:after="0" w:line="282"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Pursue Strategic Partnerships and Acquisitions</w:t>
      </w:r>
      <w:r>
        <w:rPr>
          <w:rFonts w:ascii="Times New Roman" w:cs="Times New Roman" w:eastAsia="Times New Roman" w:hAnsi="Times New Roman"/>
          <w:sz w:val="18"/>
          <w:szCs w:val="18"/>
          <w:color w:val="auto"/>
        </w:rPr>
        <w:t>: We are a valuable partner to a variety of healthcare constituents. We expect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to pursue strategic opportunities.</w:t>
      </w:r>
    </w:p>
    <w:p>
      <w:pPr>
        <w:spacing w:after="0" w:line="2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GoodRxHelps</w:t>
      </w:r>
    </w:p>
    <w:p>
      <w:pPr>
        <w:spacing w:after="0" w:line="118" w:lineRule="exact"/>
        <w:rPr>
          <w:sz w:val="20"/>
          <w:szCs w:val="20"/>
          <w:color w:val="auto"/>
        </w:rPr>
      </w:pPr>
    </w:p>
    <w:p>
      <w:pPr>
        <w:ind w:left="360" w:firstLine="421"/>
        <w:spacing w:after="0" w:line="257" w:lineRule="auto"/>
        <w:rPr>
          <w:sz w:val="20"/>
          <w:szCs w:val="20"/>
          <w:color w:val="auto"/>
        </w:rPr>
      </w:pPr>
      <w:r>
        <w:rPr>
          <w:rFonts w:ascii="Times New Roman" w:cs="Times New Roman" w:eastAsia="Times New Roman" w:hAnsi="Times New Roman"/>
          <w:sz w:val="18"/>
          <w:szCs w:val="18"/>
          <w:color w:val="auto"/>
        </w:rPr>
        <w:t>Philanthropy is not a separate initiative at GoodRx; helping others is woven throughout everything we do. Since inception, our aim has been to help Americans get the healthcare they need at a price they can afford, and our team of medical health professionals, public health experts and passionate people ensures that we never lose sight of that goal. We are fortunate to be in a position where helping others also supports our business, which in turn allows us to help even more people in more profound ways. It is a virtuous cycle.</w:t>
      </w:r>
    </w:p>
    <w:p>
      <w:pPr>
        <w:spacing w:after="0" w:line="182" w:lineRule="exact"/>
        <w:rPr>
          <w:sz w:val="20"/>
          <w:szCs w:val="20"/>
          <w:color w:val="auto"/>
        </w:rPr>
      </w:pPr>
    </w:p>
    <w:p>
      <w:pPr>
        <w:ind w:left="360" w:right="140" w:firstLine="421"/>
        <w:spacing w:after="0" w:line="262" w:lineRule="auto"/>
        <w:rPr>
          <w:sz w:val="20"/>
          <w:szCs w:val="20"/>
          <w:color w:val="auto"/>
        </w:rPr>
      </w:pPr>
      <w:r>
        <w:rPr>
          <w:rFonts w:ascii="Times New Roman" w:cs="Times New Roman" w:eastAsia="Times New Roman" w:hAnsi="Times New Roman"/>
          <w:sz w:val="18"/>
          <w:szCs w:val="18"/>
          <w:color w:val="auto"/>
        </w:rPr>
        <w:t>In 2020, we launched GoodRxHelps, a free medication program, that expects to partner with healthcare professionals and clinics across America. This program purchases and provides more than 500 different medications to patients through nationwide clinic partnerships. As part of our initial public offering, we are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0860"/>
          </w:cols>
          <w:pgMar w:left="320" w:top="454" w:right="7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201295</wp:posOffset>
            </wp:positionV>
            <wp:extent cx="6925945" cy="59162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5945" cy="591629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60" w:right="300"/>
        <w:spacing w:after="0" w:line="262" w:lineRule="auto"/>
        <w:rPr>
          <w:sz w:val="20"/>
          <w:szCs w:val="20"/>
          <w:color w:val="auto"/>
        </w:rPr>
      </w:pPr>
      <w:r>
        <w:rPr>
          <w:rFonts w:ascii="Times New Roman" w:cs="Times New Roman" w:eastAsia="Times New Roman" w:hAnsi="Times New Roman"/>
          <w:sz w:val="18"/>
          <w:szCs w:val="18"/>
          <w:color w:val="auto"/>
        </w:rPr>
        <w:t>reserving over 1 million shares of our Class A common stock for issuance to fund and support GoodRxHelps to help provide more assistance to more people in need. GoodRxHelps aims to help tens of thousands of individuals every year, with a specific focus on serving minority communities.</w:t>
      </w:r>
    </w:p>
    <w:p>
      <w:pPr>
        <w:spacing w:after="0" w:line="28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4" w:lineRule="exact"/>
        <w:rPr>
          <w:sz w:val="20"/>
          <w:szCs w:val="20"/>
          <w:color w:val="auto"/>
        </w:rPr>
      </w:pPr>
    </w:p>
    <w:p>
      <w:pPr>
        <w:ind w:left="360" w:firstLine="421"/>
        <w:spacing w:after="0" w:line="250" w:lineRule="auto"/>
        <w:rPr>
          <w:sz w:val="20"/>
          <w:szCs w:val="20"/>
          <w:color w:val="auto"/>
        </w:rPr>
      </w:pPr>
      <w:r>
        <w:rPr>
          <w:rFonts w:ascii="Times New Roman" w:cs="Times New Roman" w:eastAsia="Times New Roman" w:hAnsi="Times New Roman"/>
          <w:sz w:val="18"/>
          <w:szCs w:val="18"/>
          <w:color w:val="auto"/>
        </w:rPr>
        <w:t>As part of our business strategy, we will continue to consider a wide array of potential strategic transactions, including acquisitions of businesses, new technologies, services and other assets and strategic investments that complement our business. We have completed a number of strategic acquisitions in the last two years, including HeyDoctor in 2019. On August 31, 2020, we acquired all of the equity interests of Scriptcycle, LLC, or Scriptcycle. Scriptcycle specializes in managing prescription programs and primarily partners with regional retail pharmacy chains to provide discount offerings. This acquisition helps us expand our business capabilities, particularly in respect of our prescription offering. We paid $60.1 million related to the acquisition on August 31, 2020, including amounts placed in escrow, from our available cash on hand. The aggregate purchase consideration is estimated to be approximately $57.2 million, subject to working capital and other closing adjustments, plus up to $2.9 million in contingent consideration based on achievement of certain revenue thresholds. Additionally, up to $3.0 million of incremental compensation payments may be payable based on achievement of certain post acquisition revenue targets. We have also agreed to issue restricted stock units with a value of $1.0 million and executed a new management incentive bonus plan with payments of up to $3.0 million over the next two years, both subject to the continued employment of certain employees of Scriptcycle following the acquisition.</w:t>
      </w:r>
    </w:p>
    <w:p>
      <w:pPr>
        <w:spacing w:after="0" w:line="29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4" w:lineRule="exact"/>
        <w:rPr>
          <w:sz w:val="20"/>
          <w:szCs w:val="20"/>
          <w:color w:val="auto"/>
        </w:rPr>
      </w:pPr>
    </w:p>
    <w:p>
      <w:pPr>
        <w:ind w:left="360" w:right="20" w:firstLine="421"/>
        <w:spacing w:after="0" w:line="253" w:lineRule="auto"/>
        <w:rPr>
          <w:sz w:val="20"/>
          <w:szCs w:val="20"/>
          <w:color w:val="auto"/>
        </w:rPr>
      </w:pPr>
      <w:r>
        <w:rPr>
          <w:rFonts w:ascii="Times New Roman" w:cs="Times New Roman" w:eastAsia="Times New Roman" w:hAnsi="Times New Roman"/>
          <w:sz w:val="18"/>
          <w:szCs w:val="18"/>
          <w:color w:val="auto"/>
        </w:rPr>
        <w:t>On September 13, 2020, we entered into a purchase agreement with Silver Lake, pursuant to which Silver Lake agreed to purchase, subject to customary closing conditions, $100.0 million of our Class A common stock in a private placement concurrent with or shortly after the completion of this offering, at a purchase price per share equal to the initial public offering price per share at which our Class A common stock is sold to the public in this offering. The sale of such shares will not be registered under the Securities Act of 1933, as amended. The closing of this offering is not conditioned upon the closing of the private placement. See “Certain Relationships and Related Party Transactions—Silver Lake Purchase Agreement” for additional information.</w:t>
      </w:r>
    </w:p>
    <w:p>
      <w:pPr>
        <w:spacing w:after="0" w:line="187" w:lineRule="exact"/>
        <w:rPr>
          <w:sz w:val="20"/>
          <w:szCs w:val="20"/>
          <w:color w:val="auto"/>
        </w:rPr>
      </w:pPr>
    </w:p>
    <w:p>
      <w:pPr>
        <w:ind w:left="360" w:right="20" w:firstLine="421"/>
        <w:spacing w:after="0" w:line="262" w:lineRule="auto"/>
        <w:rPr>
          <w:sz w:val="20"/>
          <w:szCs w:val="20"/>
          <w:color w:val="auto"/>
        </w:rPr>
      </w:pPr>
      <w:r>
        <w:rPr>
          <w:rFonts w:ascii="Times New Roman" w:cs="Times New Roman" w:eastAsia="Times New Roman" w:hAnsi="Times New Roman"/>
          <w:sz w:val="18"/>
          <w:szCs w:val="18"/>
          <w:color w:val="auto"/>
        </w:rPr>
        <w:t>In addition, the lock-up agreement Silver Lake has entered into with the underwriters in connection with this transaction will prohibit the sale of any shares of Class A common stock Silver Lake purchases in the private placement for a period of 180 days after the date of this prospectus, subject to certain exceptions. See “Shares Eligible for Future Sale—Lock-Up Arrangements.”</w:t>
      </w:r>
    </w:p>
    <w:p>
      <w:pPr>
        <w:spacing w:after="0" w:line="28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224" w:lineRule="exact"/>
        <w:rPr>
          <w:sz w:val="20"/>
          <w:szCs w:val="20"/>
          <w:color w:val="auto"/>
        </w:rPr>
      </w:pPr>
    </w:p>
    <w:p>
      <w:pPr>
        <w:ind w:left="360" w:right="20" w:firstLine="421"/>
        <w:spacing w:after="0" w:line="270" w:lineRule="auto"/>
        <w:rPr>
          <w:sz w:val="20"/>
          <w:szCs w:val="20"/>
          <w:color w:val="auto"/>
        </w:rPr>
      </w:pPr>
      <w:r>
        <w:rPr>
          <w:rFonts w:ascii="Times New Roman" w:cs="Times New Roman" w:eastAsia="Times New Roman" w:hAnsi="Times New Roman"/>
          <w:sz w:val="17"/>
          <w:szCs w:val="17"/>
          <w:color w:val="auto"/>
        </w:rPr>
        <w:t>In connection with this offering, we intend to enter into a new stockholders agreement, or the stockholders agreement, with Silver Lake, Francisco Partners, Spectrum and Idea Men, LLC, or the parties to our stockholders agreement, granting each party certain board designation rights for so long as they beneficially own at least 5% of the aggregate number of shares of common stock outstanding immediately following this offering and the private placement. Pursuant to the stockholders agreement, we will agree to include in our slate of director nominees the individuals designated by the parties to our stockholders agreement. Following completion of this offering and the private placement, we expect that Silver Lake, Francisco Partners, Spectrum and Idea Men, LLC will have the right to designate three, two, one and two directors, respectively. In addition, the parties to our stockholders agreement will agree to elect two directors who are not affiliated with any party to our stockholders</w:t>
      </w:r>
    </w:p>
    <w:p>
      <w:pPr>
        <w:spacing w:after="0" w:line="200" w:lineRule="exact"/>
        <w:rPr>
          <w:sz w:val="20"/>
          <w:szCs w:val="20"/>
          <w:color w:val="auto"/>
        </w:rPr>
      </w:pPr>
    </w:p>
    <w:p>
      <w:pPr>
        <w:spacing w:after="0" w:line="39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0880"/>
          </w:cols>
          <w:pgMar w:left="320" w:top="454" w:right="6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201295</wp:posOffset>
            </wp:positionV>
            <wp:extent cx="6925945" cy="59416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5945" cy="594169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60" w:right="200"/>
        <w:spacing w:after="0" w:line="277" w:lineRule="auto"/>
        <w:rPr>
          <w:sz w:val="20"/>
          <w:szCs w:val="20"/>
          <w:color w:val="auto"/>
        </w:rPr>
      </w:pPr>
      <w:r>
        <w:rPr>
          <w:rFonts w:ascii="Times New Roman" w:cs="Times New Roman" w:eastAsia="Times New Roman" w:hAnsi="Times New Roman"/>
          <w:sz w:val="18"/>
          <w:szCs w:val="18"/>
          <w:color w:val="auto"/>
        </w:rPr>
        <w:t>agreement and who satisfy the independence requirements applicable to audit committee members established pursuant to Rule 10A-3 under the Securities Exchange Act of 1934, as amended. These board designation rights are subject to certain limitations and exceptions.</w:t>
      </w:r>
    </w:p>
    <w:p>
      <w:pPr>
        <w:spacing w:after="0" w:line="163" w:lineRule="exact"/>
        <w:rPr>
          <w:sz w:val="20"/>
          <w:szCs w:val="20"/>
          <w:color w:val="auto"/>
        </w:rPr>
      </w:pPr>
    </w:p>
    <w:p>
      <w:pPr>
        <w:ind w:left="360" w:right="40" w:firstLine="421"/>
        <w:spacing w:after="0" w:line="253" w:lineRule="auto"/>
        <w:rPr>
          <w:sz w:val="20"/>
          <w:szCs w:val="20"/>
          <w:color w:val="auto"/>
        </w:rPr>
      </w:pPr>
      <w:r>
        <w:rPr>
          <w:rFonts w:ascii="Times New Roman" w:cs="Times New Roman" w:eastAsia="Times New Roman" w:hAnsi="Times New Roman"/>
          <w:sz w:val="18"/>
          <w:szCs w:val="18"/>
          <w:color w:val="auto"/>
        </w:rPr>
        <w:t>Each party to our stockholders agreement will also agree, subject to certain limited exceptions, to certain limitations on their ability to sell or transfer any shares of common stock. For example, each party must generally provide written notice to the other parties prior to exercising registration rights or making any transfer of such party’s shares. Following such notice, each other party shall have the ability to participate in the contemplated transaction on a pro rata basis. These restrictions on transfer terminate with respect to each party on the earlier of the three-year period following the closing of this offering or the time at which such party beneficially owns less than 5% of the shares of common stock outstanding and does not have a director designee on our board of directors.</w:t>
      </w:r>
    </w:p>
    <w:p>
      <w:pPr>
        <w:spacing w:after="0" w:line="187" w:lineRule="exact"/>
        <w:rPr>
          <w:sz w:val="20"/>
          <w:szCs w:val="20"/>
          <w:color w:val="auto"/>
        </w:rPr>
      </w:pPr>
    </w:p>
    <w:p>
      <w:pPr>
        <w:ind w:left="360" w:right="760" w:firstLine="421"/>
        <w:spacing w:after="0" w:line="277" w:lineRule="auto"/>
        <w:rPr>
          <w:sz w:val="20"/>
          <w:szCs w:val="20"/>
          <w:color w:val="auto"/>
        </w:rPr>
      </w:pPr>
      <w:r>
        <w:rPr>
          <w:rFonts w:ascii="Times New Roman" w:cs="Times New Roman" w:eastAsia="Times New Roman" w:hAnsi="Times New Roman"/>
          <w:sz w:val="18"/>
          <w:szCs w:val="18"/>
          <w:color w:val="auto"/>
        </w:rPr>
        <w:t>For additional information regarding the board designation rights and limitations on transfers, please see the section titled “Certain Relationships and Related Person Transactions—Stockholders Agreements.”</w:t>
      </w:r>
    </w:p>
    <w:p>
      <w:pPr>
        <w:spacing w:after="0" w:line="26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224" w:lineRule="exact"/>
        <w:rPr>
          <w:sz w:val="20"/>
          <w:szCs w:val="20"/>
          <w:color w:val="auto"/>
        </w:rPr>
      </w:pPr>
    </w:p>
    <w:p>
      <w:pPr>
        <w:ind w:left="360" w:right="220" w:firstLine="421"/>
        <w:spacing w:after="0" w:line="277"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highlighted in the section titled “Risk Factors” immediately following this Prospectus Summary. These risks include, but are not limited to, the following:</w:t>
      </w:r>
    </w:p>
    <w:p>
      <w:pPr>
        <w:spacing w:after="0" w:line="70" w:lineRule="exact"/>
        <w:rPr>
          <w:sz w:val="20"/>
          <w:szCs w:val="20"/>
          <w:color w:val="auto"/>
        </w:rPr>
      </w:pPr>
    </w:p>
    <w:p>
      <w:pPr>
        <w:ind w:left="1280" w:right="60" w:hanging="405"/>
        <w:spacing w:after="0" w:line="277" w:lineRule="auto"/>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our evolving business make it difficult to evaluate our future prospects and the risks and challenges we may encounter.</w:t>
      </w:r>
    </w:p>
    <w:p>
      <w:pPr>
        <w:spacing w:after="0" w:line="69" w:lineRule="exact"/>
        <w:rPr>
          <w:rFonts w:ascii="Times New Roman" w:cs="Times New Roman" w:eastAsia="Times New Roman" w:hAnsi="Times New Roman"/>
          <w:sz w:val="18"/>
          <w:szCs w:val="18"/>
          <w:color w:val="auto"/>
        </w:rPr>
      </w:pPr>
    </w:p>
    <w:p>
      <w:pPr>
        <w:ind w:left="1280" w:hanging="405"/>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growth rates may not be sustainable or indicative of future growth and we expect our growth rate to slow.</w:t>
      </w:r>
    </w:p>
    <w:p>
      <w:pPr>
        <w:spacing w:after="0" w:line="126" w:lineRule="exact"/>
        <w:rPr>
          <w:rFonts w:ascii="Times New Roman" w:cs="Times New Roman" w:eastAsia="Times New Roman" w:hAnsi="Times New Roman"/>
          <w:sz w:val="18"/>
          <w:szCs w:val="18"/>
          <w:color w:val="auto"/>
        </w:rPr>
      </w:pPr>
    </w:p>
    <w:p>
      <w:pPr>
        <w:ind w:left="1280" w:hanging="405"/>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manage our future growth effectively, which could make it difficult to execute our business strategy.</w:t>
      </w:r>
    </w:p>
    <w:p>
      <w:pPr>
        <w:spacing w:after="0" w:line="126" w:lineRule="exact"/>
        <w:rPr>
          <w:rFonts w:ascii="Times New Roman" w:cs="Times New Roman" w:eastAsia="Times New Roman" w:hAnsi="Times New Roman"/>
          <w:sz w:val="18"/>
          <w:szCs w:val="18"/>
          <w:color w:val="auto"/>
        </w:rPr>
      </w:pPr>
    </w:p>
    <w:p>
      <w:pPr>
        <w:ind w:left="1280" w:hanging="405"/>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achieving broad market education and changing consumer purchasing habits.</w:t>
      </w:r>
    </w:p>
    <w:p>
      <w:pPr>
        <w:spacing w:after="0" w:line="126" w:lineRule="exact"/>
        <w:rPr>
          <w:rFonts w:ascii="Times New Roman" w:cs="Times New Roman" w:eastAsia="Times New Roman" w:hAnsi="Times New Roman"/>
          <w:sz w:val="18"/>
          <w:szCs w:val="18"/>
          <w:color w:val="auto"/>
        </w:rPr>
      </w:pPr>
    </w:p>
    <w:p>
      <w:pPr>
        <w:ind w:left="1280" w:hanging="405"/>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continue to attract, acquire and retain consumers, or may fail to do so in a cost-effective manner.</w:t>
      </w:r>
    </w:p>
    <w:p>
      <w:pPr>
        <w:spacing w:after="0" w:line="126" w:lineRule="exact"/>
        <w:rPr>
          <w:rFonts w:ascii="Times New Roman" w:cs="Times New Roman" w:eastAsia="Times New Roman" w:hAnsi="Times New Roman"/>
          <w:sz w:val="18"/>
          <w:szCs w:val="18"/>
          <w:color w:val="auto"/>
        </w:rPr>
      </w:pPr>
    </w:p>
    <w:p>
      <w:pPr>
        <w:ind w:left="1280" w:right="780" w:hanging="405"/>
        <w:spacing w:after="0" w:line="277" w:lineRule="auto"/>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significantly on our prescription offering and may not be successful in expanding our offerings within our markets, particularly the U.S. prescriptions market, or to other segments of the healthcare industry.</w:t>
      </w:r>
    </w:p>
    <w:p>
      <w:pPr>
        <w:spacing w:after="0" w:line="69" w:lineRule="exact"/>
        <w:rPr>
          <w:rFonts w:ascii="Times New Roman" w:cs="Times New Roman" w:eastAsia="Times New Roman" w:hAnsi="Times New Roman"/>
          <w:sz w:val="18"/>
          <w:szCs w:val="18"/>
          <w:color w:val="auto"/>
        </w:rPr>
      </w:pPr>
    </w:p>
    <w:p>
      <w:pPr>
        <w:ind w:left="1280" w:right="320" w:hanging="405"/>
        <w:spacing w:after="0" w:line="277" w:lineRule="auto"/>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changes in medication pricing and is significantly impacted by pricing structures negotiated by industry participants.</w:t>
      </w:r>
    </w:p>
    <w:p>
      <w:pPr>
        <w:spacing w:after="0" w:line="69" w:lineRule="exact"/>
        <w:rPr>
          <w:rFonts w:ascii="Times New Roman" w:cs="Times New Roman" w:eastAsia="Times New Roman" w:hAnsi="Times New Roman"/>
          <w:sz w:val="18"/>
          <w:szCs w:val="18"/>
          <w:color w:val="auto"/>
        </w:rPr>
      </w:pPr>
    </w:p>
    <w:p>
      <w:pPr>
        <w:ind w:left="1280" w:hanging="405"/>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do not control the categories and types of prescriptions for which we can offer savings or discounted prices.</w:t>
      </w:r>
    </w:p>
    <w:p>
      <w:pPr>
        <w:spacing w:after="0" w:line="126" w:lineRule="exact"/>
        <w:rPr>
          <w:rFonts w:ascii="Times New Roman" w:cs="Times New Roman" w:eastAsia="Times New Roman" w:hAnsi="Times New Roman"/>
          <w:sz w:val="18"/>
          <w:szCs w:val="18"/>
          <w:color w:val="auto"/>
        </w:rPr>
      </w:pPr>
    </w:p>
    <w:p>
      <w:pPr>
        <w:ind w:left="1280" w:hanging="405"/>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industry participants.</w:t>
      </w:r>
    </w:p>
    <w:p>
      <w:pPr>
        <w:spacing w:after="0" w:line="126" w:lineRule="exact"/>
        <w:rPr>
          <w:rFonts w:ascii="Times New Roman" w:cs="Times New Roman" w:eastAsia="Times New Roman" w:hAnsi="Times New Roman"/>
          <w:sz w:val="18"/>
          <w:szCs w:val="18"/>
          <w:color w:val="auto"/>
        </w:rPr>
      </w:pPr>
    </w:p>
    <w:p>
      <w:pPr>
        <w:ind w:left="1280" w:hanging="405"/>
        <w:spacing w:after="0" w:line="257" w:lineRule="auto"/>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and may identify material weaknesses in the future or otherwise fail to maintain an effective system of internal controls in the future, as a result of which, we may not be able to accurately report our financial condition or results of operations, which may adversely affect investor confidence in us and, as a result, the value of our Class A common stock.</w:t>
      </w:r>
    </w:p>
    <w:p>
      <w:pPr>
        <w:spacing w:after="0" w:line="88" w:lineRule="exact"/>
        <w:rPr>
          <w:rFonts w:ascii="Times New Roman" w:cs="Times New Roman" w:eastAsia="Times New Roman" w:hAnsi="Times New Roman"/>
          <w:sz w:val="18"/>
          <w:szCs w:val="18"/>
          <w:color w:val="auto"/>
        </w:rPr>
      </w:pPr>
    </w:p>
    <w:p>
      <w:pPr>
        <w:ind w:left="1280" w:right="720" w:hanging="405"/>
        <w:spacing w:after="0" w:line="277" w:lineRule="auto"/>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epidemic or outbreak of an infectious disease in the United States, including the outbreak of the novel strain of coronavirus disease, could impact our business.</w:t>
      </w:r>
    </w:p>
    <w:p>
      <w:pPr>
        <w:spacing w:after="0" w:line="200" w:lineRule="exact"/>
        <w:rPr>
          <w:rFonts w:ascii="Times New Roman" w:cs="Times New Roman" w:eastAsia="Times New Roman" w:hAnsi="Times New Roman"/>
          <w:sz w:val="18"/>
          <w:szCs w:val="18"/>
          <w:color w:val="auto"/>
        </w:rPr>
      </w:pPr>
    </w:p>
    <w:p>
      <w:pPr>
        <w:spacing w:after="0" w:line="390" w:lineRule="exact"/>
        <w:rPr>
          <w:rFonts w:ascii="Times New Roman" w:cs="Times New Roman" w:eastAsia="Times New Roman" w:hAnsi="Times New Roman"/>
          <w:sz w:val="18"/>
          <w:szCs w:val="18"/>
          <w:color w:val="auto"/>
        </w:rPr>
      </w:pPr>
    </w:p>
    <w:p>
      <w:pPr>
        <w:ind w:left="5580" w:hanging="104"/>
        <w:spacing w:after="0"/>
        <w:tabs>
          <w:tab w:leader="none" w:pos="55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840"/>
          </w:cols>
          <w:pgMar w:left="320" w:top="454" w:right="7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201295</wp:posOffset>
            </wp:positionV>
            <wp:extent cx="6925945" cy="59162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5945" cy="591629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280" w:right="140" w:hanging="405"/>
        <w:spacing w:after="0" w:line="308" w:lineRule="auto"/>
        <w:tabs>
          <w:tab w:leader="none" w:pos="12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45" w:lineRule="exact"/>
        <w:rPr>
          <w:rFonts w:ascii="Times New Roman" w:cs="Times New Roman" w:eastAsia="Times New Roman" w:hAnsi="Times New Roman"/>
          <w:sz w:val="17"/>
          <w:szCs w:val="17"/>
          <w:color w:val="auto"/>
        </w:rPr>
      </w:pPr>
    </w:p>
    <w:p>
      <w:pPr>
        <w:ind w:left="1280" w:right="320" w:hanging="405"/>
        <w:spacing w:after="0" w:line="277"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healthcare reform legislation and other changes in the healthcare industry and in healthcare spending on us is currently unknown, but may adversely affect our business, financial condition and results of operations.</w:t>
      </w:r>
    </w:p>
    <w:p>
      <w:pPr>
        <w:spacing w:after="0" w:line="69" w:lineRule="exact"/>
        <w:rPr>
          <w:rFonts w:ascii="Times New Roman" w:cs="Times New Roman" w:eastAsia="Times New Roman" w:hAnsi="Times New Roman"/>
          <w:sz w:val="18"/>
          <w:szCs w:val="18"/>
          <w:color w:val="auto"/>
        </w:rPr>
      </w:pPr>
    </w:p>
    <w:p>
      <w:pPr>
        <w:ind w:left="1280" w:hanging="405"/>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may adversely affect the trading market for our Class A common stock.</w:t>
      </w:r>
    </w:p>
    <w:p>
      <w:pPr>
        <w:spacing w:after="0" w:line="126" w:lineRule="exact"/>
        <w:rPr>
          <w:rFonts w:ascii="Times New Roman" w:cs="Times New Roman" w:eastAsia="Times New Roman" w:hAnsi="Times New Roman"/>
          <w:sz w:val="18"/>
          <w:szCs w:val="18"/>
          <w:color w:val="auto"/>
        </w:rPr>
      </w:pPr>
    </w:p>
    <w:p>
      <w:pPr>
        <w:ind w:left="1280" w:right="140" w:hanging="405"/>
        <w:spacing w:after="0" w:line="262"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our stockholders agreement, who will also hold a significant portion of our Class B common stock, will control the direction of our business and such parties’ ownership of our common stock will prevent you and other stockholders from influencing significant decisions.</w:t>
      </w:r>
    </w:p>
    <w:p>
      <w:pPr>
        <w:spacing w:after="0" w:line="83" w:lineRule="exact"/>
        <w:rPr>
          <w:rFonts w:ascii="Times New Roman" w:cs="Times New Roman" w:eastAsia="Times New Roman" w:hAnsi="Times New Roman"/>
          <w:sz w:val="18"/>
          <w:szCs w:val="18"/>
          <w:color w:val="auto"/>
        </w:rPr>
      </w:pPr>
    </w:p>
    <w:p>
      <w:pPr>
        <w:jc w:val="both"/>
        <w:ind w:left="1280" w:hanging="405"/>
        <w:spacing w:after="0" w:line="262"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 “controlled company” under the corporate governance rules of The Nasdaq Stock Market and, as a result, will qualify for, and intend to rely on, exemptions from certain corporate governance requirements. You will not have the same protections afforded to stockholders of companies that are subject to such requirements.</w:t>
      </w:r>
    </w:p>
    <w:p>
      <w:pPr>
        <w:spacing w:after="0" w:line="28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4" w:lineRule="exact"/>
        <w:rPr>
          <w:sz w:val="20"/>
          <w:szCs w:val="20"/>
          <w:color w:val="auto"/>
        </w:rPr>
      </w:pPr>
    </w:p>
    <w:p>
      <w:pPr>
        <w:ind w:left="360" w:right="100" w:firstLine="421"/>
        <w:spacing w:after="0" w:line="252" w:lineRule="auto"/>
        <w:rPr>
          <w:sz w:val="20"/>
          <w:szCs w:val="20"/>
          <w:color w:val="auto"/>
        </w:rPr>
      </w:pPr>
      <w:r>
        <w:rPr>
          <w:rFonts w:ascii="Times New Roman" w:cs="Times New Roman" w:eastAsia="Times New Roman" w:hAnsi="Times New Roman"/>
          <w:sz w:val="18"/>
          <w:szCs w:val="18"/>
          <w:color w:val="auto"/>
        </w:rPr>
        <w:t xml:space="preserve">GoodRx Holdings, Inc., a Delaware corporation, was incorporated in September 2015. GoodRx Holdings, Inc. is a holding company and its principal assets are the equity interests of GoodRx Intermediate Holdings, LLC, a Delaware limited liability company. We were initially formed in September 2011 as GoodRx, Inc., a Delaware corporation. In October 2015, we completed a corporate reorganization whereby GoodRx, Inc. became a subsidiary of GoodRx Holdings, Inc. In April 2017, we completed a second corporate reorganization whereby the equity interests of GoodRx, Inc. were transferred to GoodRx Intermediate Holdings, LLC. Our principal executive offices are located at 233 Wilshire Blvd., Suite 990, Santa Monica, CA 90401 and our telephone number is (855) 268-2822. Our website address is </w:t>
      </w:r>
      <w:r>
        <w:rPr>
          <w:rFonts w:ascii="Times New Roman" w:cs="Times New Roman" w:eastAsia="Times New Roman" w:hAnsi="Times New Roman"/>
          <w:sz w:val="18"/>
          <w:szCs w:val="18"/>
          <w:i w:val="1"/>
          <w:iCs w:val="1"/>
          <w:color w:val="auto"/>
        </w:rPr>
        <w:t>www.goodrx.com</w:t>
      </w:r>
      <w:r>
        <w:rPr>
          <w:rFonts w:ascii="Times New Roman" w:cs="Times New Roman" w:eastAsia="Times New Roman" w:hAnsi="Times New Roman"/>
          <w:sz w:val="18"/>
          <w:szCs w:val="18"/>
          <w:color w:val="auto"/>
        </w:rPr>
        <w:t>. The information contained on, or that can be accessed through, our website is not incorporated by reference into, and is not a part of, this prospectus or the registration statement of which this prospectus forms a part.</w:t>
      </w:r>
    </w:p>
    <w:p>
      <w:pPr>
        <w:spacing w:after="0" w:line="2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4" w:lineRule="exact"/>
        <w:rPr>
          <w:sz w:val="20"/>
          <w:szCs w:val="20"/>
          <w:color w:val="auto"/>
        </w:rPr>
      </w:pPr>
    </w:p>
    <w:p>
      <w:pPr>
        <w:ind w:left="360" w:right="120" w:firstLine="421"/>
        <w:spacing w:after="0" w:line="257"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 of the Securities Act of 1933, as amended, or the Securities Act, as modified by the Jumpstart Our Business Startups Act of 2012, or the JOBS Act. As an emerging growth company, we may take advantage of specified reduced disclosure and other requirements that are otherwise applicable, in general, to public companies that are not emerging growth companies. These provisions include:</w:t>
      </w:r>
    </w:p>
    <w:p>
      <w:pPr>
        <w:spacing w:after="0" w:line="89" w:lineRule="exact"/>
        <w:rPr>
          <w:sz w:val="20"/>
          <w:szCs w:val="20"/>
          <w:color w:val="auto"/>
        </w:rPr>
      </w:pPr>
    </w:p>
    <w:p>
      <w:pPr>
        <w:ind w:left="1280" w:right="500" w:hanging="405"/>
        <w:spacing w:after="0" w:line="277"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present only two years of audited financial statements and only two years of related Management’s Discussion and Analysis of Financial Condition and Results of Operations in this prospectus;</w:t>
      </w:r>
    </w:p>
    <w:p>
      <w:pPr>
        <w:spacing w:after="0" w:line="69" w:lineRule="exact"/>
        <w:rPr>
          <w:rFonts w:ascii="Times New Roman" w:cs="Times New Roman" w:eastAsia="Times New Roman" w:hAnsi="Times New Roman"/>
          <w:sz w:val="18"/>
          <w:szCs w:val="18"/>
          <w:color w:val="auto"/>
        </w:rPr>
      </w:pPr>
    </w:p>
    <w:p>
      <w:pPr>
        <w:ind w:left="1280" w:hanging="405"/>
        <w:spacing w:after="0"/>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w:t>
      </w:r>
    </w:p>
    <w:p>
      <w:pPr>
        <w:spacing w:after="0" w:line="126" w:lineRule="exact"/>
        <w:rPr>
          <w:rFonts w:ascii="Times New Roman" w:cs="Times New Roman" w:eastAsia="Times New Roman" w:hAnsi="Times New Roman"/>
          <w:sz w:val="18"/>
          <w:szCs w:val="18"/>
          <w:color w:val="auto"/>
        </w:rPr>
      </w:pPr>
    </w:p>
    <w:p>
      <w:pPr>
        <w:ind w:left="1280" w:right="20" w:hanging="405"/>
        <w:spacing w:after="0" w:line="277"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69" w:lineRule="exact"/>
        <w:rPr>
          <w:rFonts w:ascii="Times New Roman" w:cs="Times New Roman" w:eastAsia="Times New Roman" w:hAnsi="Times New Roman"/>
          <w:sz w:val="18"/>
          <w:szCs w:val="18"/>
          <w:color w:val="auto"/>
        </w:rPr>
      </w:pPr>
    </w:p>
    <w:p>
      <w:pPr>
        <w:ind w:left="1280" w:right="300" w:hanging="405"/>
        <w:spacing w:after="0" w:line="277"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stockholder votes on executive compensation or on any golden parachute payments not previously approved.</w:t>
      </w:r>
    </w:p>
    <w:p>
      <w:pPr>
        <w:spacing w:after="0" w:line="200" w:lineRule="exact"/>
        <w:rPr>
          <w:rFonts w:ascii="Times New Roman" w:cs="Times New Roman" w:eastAsia="Times New Roman" w:hAnsi="Times New Roman"/>
          <w:sz w:val="18"/>
          <w:szCs w:val="18"/>
          <w:color w:val="auto"/>
        </w:rPr>
      </w:pPr>
    </w:p>
    <w:p>
      <w:pPr>
        <w:spacing w:after="0" w:line="390" w:lineRule="exact"/>
        <w:rPr>
          <w:rFonts w:ascii="Times New Roman" w:cs="Times New Roman" w:eastAsia="Times New Roman" w:hAnsi="Times New Roman"/>
          <w:sz w:val="18"/>
          <w:szCs w:val="18"/>
          <w:color w:val="auto"/>
        </w:rPr>
      </w:pPr>
    </w:p>
    <w:p>
      <w:pPr>
        <w:ind w:left="5580" w:hanging="104"/>
        <w:spacing w:after="0"/>
        <w:tabs>
          <w:tab w:leader="none" w:pos="55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0880"/>
          </w:cols>
          <w:pgMar w:left="320" w:top="454" w:right="6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201295</wp:posOffset>
            </wp:positionV>
            <wp:extent cx="6925945" cy="27273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5945" cy="27273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60" w:right="260" w:firstLine="421"/>
        <w:spacing w:after="0" w:line="255"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first fiscal year in which our annual gross revenue exceeds $1.07 billion; (ii) the date that we become a “large accelerated filer,” with at least $700 million of equity securities held by non-affiliates as of the end of the second quarter of that fiscal year; (iii) the date on which we have issued, in any three-year period, more than $1.0 billion in non-convertible debt securities; and (iv) the last day of the fiscal year ending after the fifth anniversary of the completion of this offering.</w:t>
      </w:r>
    </w:p>
    <w:p>
      <w:pPr>
        <w:spacing w:after="0" w:line="183" w:lineRule="exact"/>
        <w:rPr>
          <w:sz w:val="20"/>
          <w:szCs w:val="20"/>
          <w:color w:val="auto"/>
        </w:rPr>
      </w:pPr>
    </w:p>
    <w:p>
      <w:pPr>
        <w:jc w:val="both"/>
        <w:ind w:left="360" w:right="140" w:firstLine="421"/>
        <w:spacing w:after="0" w:line="262"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may be different than the information you receive from other public companies in which you hold stock.</w:t>
      </w:r>
    </w:p>
    <w:p>
      <w:pPr>
        <w:spacing w:after="0" w:line="177" w:lineRule="exact"/>
        <w:rPr>
          <w:sz w:val="20"/>
          <w:szCs w:val="20"/>
          <w:color w:val="auto"/>
        </w:rPr>
      </w:pPr>
    </w:p>
    <w:p>
      <w:pPr>
        <w:ind w:left="360" w:firstLine="421"/>
        <w:spacing w:after="0" w:line="255" w:lineRule="auto"/>
        <w:rPr>
          <w:sz w:val="20"/>
          <w:szCs w:val="20"/>
          <w:color w:val="auto"/>
        </w:rPr>
      </w:pPr>
      <w:r>
        <w:rPr>
          <w:rFonts w:ascii="Times New Roman" w:cs="Times New Roman" w:eastAsia="Times New Roman" w:hAnsi="Times New Roman"/>
          <w:sz w:val="18"/>
          <w:szCs w:val="18"/>
          <w:color w:val="auto"/>
        </w:rPr>
        <w:t>Emerging growth companies can also take advantage of the extended transition period provided in Section 13(a) of the Securities Exchange Act of 1934, as amended, or the Exchange Act, for complying with new or revised accounting standards. In other words, an emerging growth company can delay the adoption of certain accounting standards until those standards would otherwise apply to private companies. We have elected to take advantage of this extended transition period and, as a result, our operating results and financial statements may not be comparable to the operating results and financial statements of companies who have adopted the new or revised accounting standards.</w:t>
      </w:r>
    </w:p>
    <w:p>
      <w:pPr>
        <w:spacing w:after="0" w:line="183" w:lineRule="exact"/>
        <w:rPr>
          <w:sz w:val="20"/>
          <w:szCs w:val="20"/>
          <w:color w:val="auto"/>
        </w:rPr>
      </w:pPr>
    </w:p>
    <w:p>
      <w:pPr>
        <w:ind w:left="360" w:right="140" w:firstLine="421"/>
        <w:spacing w:after="0" w:line="308" w:lineRule="auto"/>
        <w:rPr>
          <w:sz w:val="20"/>
          <w:szCs w:val="20"/>
          <w:color w:val="auto"/>
        </w:rPr>
      </w:pPr>
      <w:r>
        <w:rPr>
          <w:rFonts w:ascii="Times New Roman" w:cs="Times New Roman" w:eastAsia="Times New Roman" w:hAnsi="Times New Roman"/>
          <w:sz w:val="17"/>
          <w:szCs w:val="17"/>
          <w:color w:val="auto"/>
        </w:rPr>
        <w:t>As a result of these elections, some investors may find our Class A common stock less attractive than they would have otherwise. The result may be a less active trading market for our Class A common stock, and the price of our Class A common stock may become more volatile.</w:t>
      </w:r>
    </w:p>
    <w:p>
      <w:pPr>
        <w:spacing w:after="0" w:line="200" w:lineRule="exact"/>
        <w:rPr>
          <w:sz w:val="20"/>
          <w:szCs w:val="20"/>
          <w:color w:val="auto"/>
        </w:rPr>
      </w:pPr>
    </w:p>
    <w:p>
      <w:pPr>
        <w:spacing w:after="0" w:line="36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320" w:top="454" w:right="699" w:bottom="1440" w:gutter="0" w:footer="0" w:header="0"/>
        </w:sectPr>
      </w:pPr>
    </w:p>
    <w:bookmarkStart w:id="19" w:name="page20"/>
    <w:bookmarkEnd w:id="1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208915</wp:posOffset>
            </wp:positionV>
            <wp:extent cx="6925945" cy="61626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25945" cy="6162675"/>
                    </a:xfrm>
                    <a:prstGeom prst="rect">
                      <a:avLst/>
                    </a:prstGeom>
                    <a:noFill/>
                  </pic:spPr>
                </pic:pic>
              </a:graphicData>
            </a:graphic>
          </wp:anchor>
        </w:drawing>
      </w:r>
    </w:p>
    <w:p>
      <w:pPr>
        <w:sectPr>
          <w:pgSz w:w="11900" w:h="16838" w:orient="portrait"/>
          <w:cols w:equalWidth="0" w:num="1">
            <w:col w:w="10880"/>
          </w:cols>
          <w:pgMar w:left="320" w:top="454"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Class A common stock offered by us</w:t>
      </w:r>
    </w:p>
    <w:p>
      <w:pPr>
        <w:spacing w:after="0" w:line="261" w:lineRule="exact"/>
        <w:rPr>
          <w:sz w:val="20"/>
          <w:szCs w:val="20"/>
          <w:color w:val="auto"/>
        </w:rPr>
      </w:pPr>
    </w:p>
    <w:p>
      <w:pPr>
        <w:ind w:left="440" w:right="400" w:hanging="77"/>
        <w:spacing w:after="0" w:line="277" w:lineRule="auto"/>
        <w:rPr>
          <w:sz w:val="20"/>
          <w:szCs w:val="20"/>
          <w:color w:val="auto"/>
        </w:rPr>
      </w:pPr>
      <w:r>
        <w:rPr>
          <w:rFonts w:ascii="Times New Roman" w:cs="Times New Roman" w:eastAsia="Times New Roman" w:hAnsi="Times New Roman"/>
          <w:sz w:val="18"/>
          <w:szCs w:val="18"/>
          <w:color w:val="auto"/>
        </w:rPr>
        <w:t>Class A common stock offered by the selling stockholders</w:t>
      </w:r>
    </w:p>
    <w:p>
      <w:pPr>
        <w:spacing w:after="0" w:line="203" w:lineRule="exact"/>
        <w:rPr>
          <w:sz w:val="20"/>
          <w:szCs w:val="20"/>
          <w:color w:val="auto"/>
        </w:rPr>
      </w:pPr>
    </w:p>
    <w:p>
      <w:pPr>
        <w:ind w:left="440" w:right="220" w:hanging="77"/>
        <w:spacing w:after="0" w:line="277" w:lineRule="auto"/>
        <w:rPr>
          <w:sz w:val="20"/>
          <w:szCs w:val="20"/>
          <w:color w:val="auto"/>
        </w:rPr>
      </w:pPr>
      <w:r>
        <w:rPr>
          <w:rFonts w:ascii="Times New Roman" w:cs="Times New Roman" w:eastAsia="Times New Roman" w:hAnsi="Times New Roman"/>
          <w:sz w:val="18"/>
          <w:szCs w:val="18"/>
          <w:color w:val="auto"/>
        </w:rPr>
        <w:t>Option to purchase additional shares of Class A common stock from us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0" w:right="20" w:hanging="77"/>
        <w:spacing w:after="0" w:line="277" w:lineRule="auto"/>
        <w:rPr>
          <w:sz w:val="20"/>
          <w:szCs w:val="20"/>
          <w:color w:val="auto"/>
        </w:rPr>
      </w:pPr>
      <w:r>
        <w:rPr>
          <w:rFonts w:ascii="Times New Roman" w:cs="Times New Roman" w:eastAsia="Times New Roman" w:hAnsi="Times New Roman"/>
          <w:sz w:val="18"/>
          <w:szCs w:val="18"/>
          <w:color w:val="auto"/>
        </w:rPr>
        <w:t>Class A common stock to be outstanding after this offering and the private placement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0" w:right="20" w:hanging="77"/>
        <w:spacing w:after="0" w:line="277" w:lineRule="auto"/>
        <w:rPr>
          <w:sz w:val="20"/>
          <w:szCs w:val="20"/>
          <w:color w:val="auto"/>
        </w:rPr>
      </w:pPr>
      <w:r>
        <w:rPr>
          <w:rFonts w:ascii="Times New Roman" w:cs="Times New Roman" w:eastAsia="Times New Roman" w:hAnsi="Times New Roman"/>
          <w:sz w:val="18"/>
          <w:szCs w:val="18"/>
          <w:color w:val="auto"/>
        </w:rPr>
        <w:t>Class B common stock to be outstanding after this offering</w:t>
      </w:r>
    </w:p>
    <w:p>
      <w:pPr>
        <w:spacing w:after="0" w:line="203" w:lineRule="exact"/>
        <w:rPr>
          <w:sz w:val="20"/>
          <w:szCs w:val="20"/>
          <w:color w:val="auto"/>
        </w:rPr>
      </w:pPr>
    </w:p>
    <w:p>
      <w:pPr>
        <w:jc w:val="both"/>
        <w:ind w:left="440" w:hanging="77"/>
        <w:spacing w:after="0" w:line="262" w:lineRule="auto"/>
        <w:rPr>
          <w:sz w:val="20"/>
          <w:szCs w:val="20"/>
          <w:color w:val="auto"/>
        </w:rPr>
      </w:pPr>
      <w:r>
        <w:rPr>
          <w:rFonts w:ascii="Times New Roman" w:cs="Times New Roman" w:eastAsia="Times New Roman" w:hAnsi="Times New Roman"/>
          <w:sz w:val="18"/>
          <w:szCs w:val="18"/>
          <w:color w:val="auto"/>
        </w:rPr>
        <w:t>Total Class A common stock and Class B common stock to be outstanding after this offering and the private placement</w:t>
      </w: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23,422,727 shares</w:t>
      </w:r>
    </w:p>
    <w:p>
      <w:pPr>
        <w:spacing w:after="0" w:line="261" w:lineRule="exact"/>
        <w:rPr>
          <w:sz w:val="20"/>
          <w:szCs w:val="20"/>
          <w:color w:val="auto"/>
        </w:rPr>
      </w:pPr>
    </w:p>
    <w:p>
      <w:pPr>
        <w:jc w:val="both"/>
        <w:ind w:right="420"/>
        <w:spacing w:after="0" w:line="308" w:lineRule="auto"/>
        <w:rPr>
          <w:sz w:val="20"/>
          <w:szCs w:val="20"/>
          <w:color w:val="auto"/>
        </w:rPr>
      </w:pPr>
      <w:r>
        <w:rPr>
          <w:rFonts w:ascii="Times New Roman" w:cs="Times New Roman" w:eastAsia="Times New Roman" w:hAnsi="Times New Roman"/>
          <w:sz w:val="17"/>
          <w:szCs w:val="17"/>
          <w:color w:val="auto"/>
        </w:rPr>
        <w:t>11,192,657 shares (including 284,536 shares to be issued upon exercise of options by certain selling stockholders in connection with the sale of such shares in this offering)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5,192,307 shares</w:t>
      </w:r>
    </w:p>
    <w:p>
      <w:pPr>
        <w:spacing w:after="0" w:line="200" w:lineRule="exact"/>
        <w:rPr>
          <w:sz w:val="20"/>
          <w:szCs w:val="20"/>
          <w:color w:val="auto"/>
        </w:rPr>
      </w:pPr>
    </w:p>
    <w:p>
      <w:pPr>
        <w:spacing w:after="0" w:line="27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Silver Lake has agreed, subject to customary closing conditions, to purchase $100.0 million of our Class A common stock in a private placement concurrent with or shortly after the completion of this offering at a purchase price per share equal to the initial public offering price per share at which our Class A common stock is sold to the public in this offering. Based on an assumed initial public offering price of $26.00 per share, which is the midpoint of the estimated offering price range set forth on the cover page of this prospectus, Silver Lake would purchase 3,846,153 shares of our Class A common stock. The sale of such shares will not be registered under the Securities Act. The closing of this offering is not conditioned upon the closing of the private placement. See “Certain Relationships and Related Party Transactions—Silver Lake Purchase Agreement” for additional information.</w:t>
      </w:r>
    </w:p>
    <w:p>
      <w:pPr>
        <w:spacing w:after="0" w:line="22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38,461,537 shares (including 284,536 shares to be issued upon exercise of options by certain selling stockholders in connection with the sale of such shares in this offering), or 43,653,844 shares if the underwriters exercise their option to purchase additional shares in full.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345,576,853 shares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384,038,390 shares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7"/>
          <w:szCs w:val="17"/>
          <w:color w:val="auto"/>
        </w:rPr>
        <w:t>We estimate that the net proceeds to us from the sale of shares of our Class A common stock in this offering will be approximately $569.7 million, or approximately</w:t>
      </w:r>
    </w:p>
    <w:p>
      <w:pPr>
        <w:spacing w:after="0" w:line="249" w:lineRule="auto"/>
        <w:rPr>
          <w:sz w:val="20"/>
          <w:szCs w:val="20"/>
          <w:color w:val="auto"/>
        </w:rPr>
      </w:pPr>
      <w:r>
        <w:rPr>
          <w:rFonts w:ascii="Times New Roman" w:cs="Times New Roman" w:eastAsia="Times New Roman" w:hAnsi="Times New Roman"/>
          <w:sz w:val="18"/>
          <w:szCs w:val="18"/>
          <w:color w:val="auto"/>
        </w:rPr>
        <w:t>$697.2 million if the underwriters exercise their option to purchase additional shares in full, assuming an initial public offering price of $26.00 per share, which is the midpoint of the estimated offering price range set forth on the cover page of this prospectus, after deducting the underwriting discounts and commissions and estimated offering expenses payable by us. In addition, we will receive gross proceeds of $100.0 million from the private placement.</w:t>
      </w:r>
    </w:p>
    <w:p>
      <w:pPr>
        <w:spacing w:after="0" w:line="200" w:lineRule="exact"/>
        <w:rPr>
          <w:sz w:val="20"/>
          <w:szCs w:val="20"/>
          <w:color w:val="auto"/>
        </w:rPr>
      </w:pPr>
    </w:p>
    <w:p>
      <w:pPr>
        <w:sectPr>
          <w:pgSz w:w="11900" w:h="16838" w:orient="portrait"/>
          <w:cols w:equalWidth="0" w:num="2">
            <w:col w:w="3960" w:space="380"/>
            <w:col w:w="6540"/>
          </w:cols>
          <w:pgMar w:left="320" w:top="454" w:right="69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320" w:top="454" w:right="69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190" w:type="dxa"/>
        <w:tblCellMar>
          <w:top w:w="0" w:type="dxa"/>
          <w:left w:w="0" w:type="dxa"/>
          <w:bottom w:w="0" w:type="dxa"/>
          <w:right w:w="0" w:type="dxa"/>
        </w:tblCellMar>
      </w:tblPr>
      <w:tr>
        <w:trPr>
          <w:trHeight w:val="386"/>
        </w:trPr>
        <w:tc>
          <w:tcPr>
            <w:tcW w:w="3020" w:type="dxa"/>
            <w:vAlign w:val="bottom"/>
            <w:tcBorders>
              <w:top w:val="single" w:sz="8" w:color="auto"/>
              <w:left w:val="single" w:sz="8" w:color="auto"/>
            </w:tcBorders>
          </w:tcPr>
          <w:p>
            <w:pPr>
              <w:spacing w:after="0"/>
              <w:rPr>
                <w:sz w:val="24"/>
                <w:szCs w:val="24"/>
                <w:color w:val="auto"/>
              </w:rPr>
            </w:pPr>
          </w:p>
        </w:tc>
        <w:tc>
          <w:tcPr>
            <w:tcW w:w="7880" w:type="dxa"/>
            <w:vAlign w:val="bottom"/>
            <w:tcBorders>
              <w:top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We intend to use the net proceeds from this offering and the private placement for general</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corporate purposes to support the growth of our business. We may also use a portion of the</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proceeds for the acquisition of, or investment in, technologies, solutions, or businesses that</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complement our business. However, we do not have binding agreements or commitments</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for any acquisitions or investments outside the ordinary course of business at this time. We</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will not receive any proceeds from the sale of shares of our Class A common stock by the</w:t>
            </w:r>
          </w:p>
        </w:tc>
      </w:tr>
      <w:tr>
        <w:trPr>
          <w:trHeight w:val="233"/>
        </w:trPr>
        <w:tc>
          <w:tcPr>
            <w:tcW w:w="302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selling stockholders. See “Use of Proceeds.”</w:t>
            </w:r>
          </w:p>
        </w:tc>
      </w:tr>
      <w:tr>
        <w:trPr>
          <w:trHeight w:val="435"/>
        </w:trPr>
        <w:tc>
          <w:tcPr>
            <w:tcW w:w="30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Voting Rights</w:t>
            </w: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Shares of Class A common stock are entitled to one vote per share. Shares of Class B</w:t>
            </w:r>
          </w:p>
        </w:tc>
      </w:tr>
      <w:tr>
        <w:trPr>
          <w:trHeight w:val="233"/>
        </w:trPr>
        <w:tc>
          <w:tcPr>
            <w:tcW w:w="302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common stock are entitled to 10 votes per share.</w:t>
            </w:r>
          </w:p>
        </w:tc>
      </w:tr>
      <w:tr>
        <w:trPr>
          <w:trHeight w:val="435"/>
        </w:trPr>
        <w:tc>
          <w:tcPr>
            <w:tcW w:w="302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Holders of our Class A common stock and Class B common stock will generally vote</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together as a single class, unless otherwise required by law or our amended and restated</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certificate of incorporation. Following the completion of this offering and the private</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placement, each share of our Class B common stock will be convertible into one share of</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our Class A common stock at any time and will convert automatically upon certain</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transfers and upon the earlier of (i) seven years from the filing and effectiveness of our</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amended and restated certificate of incorporation in connection with this offering and</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(ii) the first date on which the aggregate number of outstanding shares of our Class B</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common stock ceases to represent at least 10% of the aggregate number of our outstanding</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shares of common stock. The holders of our outstanding Class B common stock will hold</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98.9% of the voting power of our outstanding capital stock following this offering and the</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private placement, with our directors, executive officers, and 5% stockholders and their</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respective affiliates holding 95.2% of the voting power in the aggregate. These</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stockholders will have the ability to control the outcome of matters submitted to our</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stockholders for approval, including the election of our directors and the approval of any</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change of control transaction. See the sections titled “Principal and Selling Stockholders”</w:t>
            </w:r>
          </w:p>
        </w:tc>
      </w:tr>
      <w:tr>
        <w:trPr>
          <w:trHeight w:val="233"/>
        </w:trPr>
        <w:tc>
          <w:tcPr>
            <w:tcW w:w="302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and “Description of Capital Stock” for additional information.</w:t>
            </w:r>
          </w:p>
        </w:tc>
      </w:tr>
      <w:tr>
        <w:trPr>
          <w:trHeight w:val="435"/>
        </w:trPr>
        <w:tc>
          <w:tcPr>
            <w:tcW w:w="30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Controlled company</w:t>
            </w: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Following this offering we will be a “controlled company” within the meaning of the</w:t>
            </w:r>
          </w:p>
        </w:tc>
      </w:tr>
      <w:tr>
        <w:trPr>
          <w:trHeight w:val="233"/>
        </w:trPr>
        <w:tc>
          <w:tcPr>
            <w:tcW w:w="302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corporate governance rules of The Nasdaq Stock Market.</w:t>
            </w:r>
          </w:p>
        </w:tc>
      </w:tr>
      <w:tr>
        <w:trPr>
          <w:trHeight w:val="435"/>
        </w:trPr>
        <w:tc>
          <w:tcPr>
            <w:tcW w:w="30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Directed share program</w:t>
            </w: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At our request, the underwriters have reserved for sale at the initial public offering price</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per share up to 5% of the shares of Class A common stock offered by this prospectus, to</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certain individuals through a directed share program, including our directors, employees</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and certain other individuals identified by management. If purchased by these persons,</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these shares will not be subject to a lock-up restriction, except in the case of shares</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purchased by any director or executive officer. The number of shares of Class A common</w:t>
            </w:r>
          </w:p>
        </w:tc>
      </w:tr>
      <w:tr>
        <w:trPr>
          <w:trHeight w:val="214"/>
        </w:trPr>
        <w:tc>
          <w:tcPr>
            <w:tcW w:w="302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stock available for sale to the general public will be reduced by the number of reserved</w:t>
            </w:r>
          </w:p>
        </w:tc>
      </w:tr>
      <w:tr>
        <w:trPr>
          <w:trHeight w:val="233"/>
        </w:trPr>
        <w:tc>
          <w:tcPr>
            <w:tcW w:w="302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shares sold to these individuals. Any reserved shares not</w:t>
            </w:r>
          </w:p>
        </w:tc>
      </w:tr>
      <w:tr>
        <w:trPr>
          <w:trHeight w:val="237"/>
        </w:trPr>
        <w:tc>
          <w:tcPr>
            <w:tcW w:w="3020" w:type="dxa"/>
            <w:vAlign w:val="bottom"/>
            <w:tcBorders>
              <w:left w:val="single" w:sz="8" w:color="auto"/>
              <w:bottom w:val="single" w:sz="8" w:color="auto"/>
            </w:tcBorders>
          </w:tcPr>
          <w:p>
            <w:pPr>
              <w:spacing w:after="0"/>
              <w:rPr>
                <w:sz w:val="20"/>
                <w:szCs w:val="20"/>
                <w:color w:val="auto"/>
              </w:rPr>
            </w:pPr>
          </w:p>
        </w:tc>
        <w:tc>
          <w:tcPr>
            <w:tcW w:w="7880" w:type="dxa"/>
            <w:vAlign w:val="bottom"/>
            <w:tcBorders>
              <w:bottom w:val="single" w:sz="8" w:color="auto"/>
              <w:right w:val="single" w:sz="8" w:color="auto"/>
            </w:tcBorders>
          </w:tcPr>
          <w:p>
            <w:pPr>
              <w:spacing w:after="0"/>
              <w:rPr>
                <w:sz w:val="20"/>
                <w:szCs w:val="20"/>
                <w:color w:val="auto"/>
              </w:rPr>
            </w:pPr>
          </w:p>
        </w:tc>
      </w:tr>
      <w:tr>
        <w:trPr>
          <w:trHeight w:val="598"/>
        </w:trPr>
        <w:tc>
          <w:tcPr>
            <w:tcW w:w="3020" w:type="dxa"/>
            <w:vAlign w:val="bottom"/>
          </w:tcPr>
          <w:p>
            <w:pPr>
              <w:spacing w:after="0"/>
              <w:rPr>
                <w:sz w:val="24"/>
                <w:szCs w:val="24"/>
                <w:color w:val="auto"/>
              </w:rPr>
            </w:pPr>
          </w:p>
        </w:tc>
        <w:tc>
          <w:tcPr>
            <w:tcW w:w="78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080"/>
          </w:cols>
          <w:pgMar w:left="320" w:top="454" w:right="4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201295</wp:posOffset>
            </wp:positionV>
            <wp:extent cx="6925945" cy="55435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25945" cy="55435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left="4340" w:right="100"/>
        <w:spacing w:after="0" w:line="262" w:lineRule="auto"/>
        <w:rPr>
          <w:sz w:val="20"/>
          <w:szCs w:val="20"/>
          <w:color w:val="auto"/>
        </w:rPr>
      </w:pPr>
      <w:r>
        <w:rPr>
          <w:rFonts w:ascii="Times New Roman" w:cs="Times New Roman" w:eastAsia="Times New Roman" w:hAnsi="Times New Roman"/>
          <w:sz w:val="18"/>
          <w:szCs w:val="18"/>
          <w:color w:val="auto"/>
        </w:rPr>
        <w:t>purchased by these individuals will be offered by the underwriters to the general public on the same basis as the other shares of Class A common stock offered under this prospectus. See the section titled “Underwriting—Direct Share Program.”</w:t>
      </w:r>
    </w:p>
    <w:p>
      <w:pPr>
        <w:sectPr>
          <w:pgSz w:w="11900" w:h="16838" w:orient="portrait"/>
          <w:cols w:equalWidth="0" w:num="1">
            <w:col w:w="10880"/>
          </w:cols>
          <w:pgMar w:left="320" w:top="454" w:right="699" w:bottom="1440" w:gutter="0" w:footer="0" w:header="0"/>
        </w:sectPr>
      </w:pP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See the section titled “Risk Factors” and the other information included in this prospectus for a discussion of factors you should consider carefully before deciding to invest in shares of our Class A common stock.</w:t>
      </w:r>
    </w:p>
    <w:p>
      <w:pPr>
        <w:spacing w:after="0" w:line="200" w:lineRule="exact"/>
        <w:rPr>
          <w:sz w:val="20"/>
          <w:szCs w:val="20"/>
          <w:color w:val="auto"/>
        </w:rPr>
      </w:pPr>
    </w:p>
    <w:p>
      <w:pPr>
        <w:sectPr>
          <w:pgSz w:w="11900" w:h="16838" w:orient="portrait"/>
          <w:cols w:equalWidth="0" w:num="2">
            <w:col w:w="3620" w:space="720"/>
            <w:col w:w="6540"/>
          </w:cols>
          <w:pgMar w:left="320" w:top="454" w:right="699" w:bottom="1440" w:gutter="0" w:footer="0" w:header="0"/>
          <w:type w:val="continuous"/>
        </w:sectPr>
      </w:pPr>
    </w:p>
    <w:p>
      <w:pPr>
        <w:spacing w:after="0" w:line="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Proposed 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“GDRX”</w:t>
      </w:r>
    </w:p>
    <w:p>
      <w:pPr>
        <w:spacing w:after="0" w:line="200" w:lineRule="exact"/>
        <w:rPr>
          <w:sz w:val="20"/>
          <w:szCs w:val="20"/>
          <w:color w:val="auto"/>
        </w:rPr>
      </w:pPr>
    </w:p>
    <w:p>
      <w:pPr>
        <w:sectPr>
          <w:pgSz w:w="11900" w:h="16838" w:orient="portrait"/>
          <w:cols w:equalWidth="0" w:num="2">
            <w:col w:w="3740" w:space="600"/>
            <w:col w:w="6540"/>
          </w:cols>
          <w:pgMar w:left="320" w:top="454" w:right="699" w:bottom="1440" w:gutter="0" w:footer="0" w:header="0"/>
          <w:type w:val="continuous"/>
        </w:sectPr>
      </w:pPr>
    </w:p>
    <w:p>
      <w:pPr>
        <w:spacing w:after="0" w:line="34" w:lineRule="exact"/>
        <w:rPr>
          <w:sz w:val="20"/>
          <w:szCs w:val="20"/>
          <w:color w:val="auto"/>
        </w:rPr>
      </w:pPr>
    </w:p>
    <w:p>
      <w:pPr>
        <w:ind w:left="360" w:firstLine="421"/>
        <w:spacing w:after="0" w:line="277" w:lineRule="auto"/>
        <w:rPr>
          <w:sz w:val="20"/>
          <w:szCs w:val="20"/>
          <w:color w:val="auto"/>
        </w:rPr>
      </w:pPr>
      <w:r>
        <w:rPr>
          <w:rFonts w:ascii="Times New Roman" w:cs="Times New Roman" w:eastAsia="Times New Roman" w:hAnsi="Times New Roman"/>
          <w:sz w:val="17"/>
          <w:szCs w:val="17"/>
          <w:color w:val="auto"/>
        </w:rPr>
        <w:t>The number of shares of our Class A common stock and Class B common stock to be outstanding after this offering and the private placement is based on no shares of our Class A common stock and 356,484,974 shares of our Class B common stock outstanding, in each case, as of June 30, 2020, and reflects the Preferred Stock Conversion and the Class B Reclassification described below, as well as, 284,536 shares of Class A common stock to be issued upon the exercise of options by certain selling stockholders in connection with the sale of such shares in this offering.</w:t>
      </w:r>
    </w:p>
    <w:p>
      <w:pPr>
        <w:spacing w:after="0" w:line="16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number of shares of our Class A common stock and Class B common stock to be outstanding after this offering does not include:</w:t>
      </w:r>
    </w:p>
    <w:p>
      <w:pPr>
        <w:spacing w:after="0" w:line="127" w:lineRule="exact"/>
        <w:rPr>
          <w:sz w:val="20"/>
          <w:szCs w:val="20"/>
          <w:color w:val="auto"/>
        </w:rPr>
      </w:pPr>
    </w:p>
    <w:p>
      <w:pPr>
        <w:ind w:left="1280" w:right="160" w:hanging="405"/>
        <w:spacing w:after="0" w:line="277"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1,075,000 shares of our Class A common stock reserved for issuance to fund and support our philanthropic initiatives through GoodRxHelps;</w:t>
      </w:r>
    </w:p>
    <w:p>
      <w:pPr>
        <w:spacing w:after="0" w:line="69" w:lineRule="exact"/>
        <w:rPr>
          <w:rFonts w:ascii="Times New Roman" w:cs="Times New Roman" w:eastAsia="Times New Roman" w:hAnsi="Times New Roman"/>
          <w:sz w:val="18"/>
          <w:szCs w:val="18"/>
          <w:color w:val="auto"/>
        </w:rPr>
      </w:pPr>
    </w:p>
    <w:p>
      <w:pPr>
        <w:ind w:left="1280" w:right="220" w:hanging="405"/>
        <w:spacing w:after="0" w:line="257"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24,041,027 shares of our Class A common stock issuable upon the exercise of outstanding options under our Fifth Amended and Restated 2015 Equity Incentive Plan, or the 2015 Plan, as of June 30, 2020, at a weighted-average exercise price of $4.81 per share, except for 284,536 shares to be issued upon exercise of options by certain selling stockholders in connection with the sale of such shares in this offering;</w:t>
      </w:r>
    </w:p>
    <w:p>
      <w:pPr>
        <w:spacing w:after="0" w:line="88" w:lineRule="exact"/>
        <w:rPr>
          <w:rFonts w:ascii="Times New Roman" w:cs="Times New Roman" w:eastAsia="Times New Roman" w:hAnsi="Times New Roman"/>
          <w:sz w:val="18"/>
          <w:szCs w:val="18"/>
          <w:color w:val="auto"/>
        </w:rPr>
      </w:pPr>
    </w:p>
    <w:p>
      <w:pPr>
        <w:ind w:left="1280" w:right="240" w:hanging="405"/>
        <w:spacing w:after="0" w:line="308" w:lineRule="auto"/>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1,101,817 shares of our Class A common stock available for issuance under our 2015 Plan, as of June 30, 2020, which shares will become available for issuance under our 2020 Incentive Award Plan, or the 2020 Plan, at the time the 2020 Plan becomes effective;</w:t>
      </w:r>
    </w:p>
    <w:p>
      <w:pPr>
        <w:spacing w:after="0" w:line="45" w:lineRule="exact"/>
        <w:rPr>
          <w:rFonts w:ascii="Times New Roman" w:cs="Times New Roman" w:eastAsia="Times New Roman" w:hAnsi="Times New Roman"/>
          <w:sz w:val="17"/>
          <w:szCs w:val="17"/>
          <w:color w:val="auto"/>
        </w:rPr>
      </w:pPr>
    </w:p>
    <w:p>
      <w:pPr>
        <w:ind w:left="1280" w:right="60" w:hanging="405"/>
        <w:spacing w:after="0" w:line="257"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24,633,066 shares of our Class B common stock issuable in connection with the vesting of restricted stock units, or RSUs, that will be granted under our 2020 Plan, which will become effective in connection with the completion of this offering to our Co-Founders, which we refer to collectively as the Founders Awards (see the section titled “Executive and Director Compensation” for additional information regarding the Founders Awards);</w:t>
      </w:r>
    </w:p>
    <w:p>
      <w:pPr>
        <w:spacing w:after="0" w:line="88" w:lineRule="exact"/>
        <w:rPr>
          <w:rFonts w:ascii="Times New Roman" w:cs="Times New Roman" w:eastAsia="Times New Roman" w:hAnsi="Times New Roman"/>
          <w:sz w:val="18"/>
          <w:szCs w:val="18"/>
          <w:color w:val="auto"/>
        </w:rPr>
      </w:pPr>
    </w:p>
    <w:p>
      <w:pPr>
        <w:ind w:left="1280" w:right="120" w:hanging="405"/>
        <w:spacing w:after="0" w:line="262"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881,250 shares of our Class A common stock issuable upon the exercise of stock options that will be granted under our 2020 Plan, or the IPO Options, which will become effective in connection with the completion of this offering, with an exercise price equal to the initial public offering price;</w:t>
      </w:r>
    </w:p>
    <w:p>
      <w:pPr>
        <w:spacing w:after="0" w:line="83" w:lineRule="exact"/>
        <w:rPr>
          <w:rFonts w:ascii="Times New Roman" w:cs="Times New Roman" w:eastAsia="Times New Roman" w:hAnsi="Times New Roman"/>
          <w:sz w:val="18"/>
          <w:szCs w:val="18"/>
          <w:color w:val="auto"/>
        </w:rPr>
      </w:pPr>
    </w:p>
    <w:p>
      <w:pPr>
        <w:ind w:left="1280" w:right="20" w:hanging="405"/>
        <w:spacing w:after="0" w:line="257"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38,461 shares of our Class A common stock, based on an assumed initial public offering price of $26.00 per share, which is the midpoint of the estimated offering price range set forth on the cover page of this prospectus, issuable upon the vesting of RSUs, which we refer to as the Acquisition RSUs, granted under our 2020 Plan in connection with a recent acquisition, which awards will become effective in connection with the completion of this offering;</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9"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0880"/>
          </w:cols>
          <w:pgMar w:left="320" w:top="454" w:right="69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201295</wp:posOffset>
            </wp:positionV>
            <wp:extent cx="6925945" cy="4754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5945" cy="47542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left="1280" w:hanging="405"/>
        <w:spacing w:after="0" w:line="262"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917,750 shares of our Class A common stock issuable upon the vesting of RSUs, which we refer to as the IPO RSUs and, along with the IPO Options and the Acquisition RSUs, as the IPO Awards, granted under our 2020 Plan, including to one of our directors, which awards will become effective in connection with the completion of this offering; and</w:t>
      </w:r>
    </w:p>
    <w:p>
      <w:pPr>
        <w:spacing w:after="0" w:line="83" w:lineRule="exact"/>
        <w:rPr>
          <w:rFonts w:ascii="Times New Roman" w:cs="Times New Roman" w:eastAsia="Times New Roman" w:hAnsi="Times New Roman"/>
          <w:sz w:val="18"/>
          <w:szCs w:val="18"/>
          <w:color w:val="auto"/>
        </w:rPr>
      </w:pPr>
    </w:p>
    <w:p>
      <w:pPr>
        <w:jc w:val="both"/>
        <w:ind w:left="1280" w:right="60" w:hanging="405"/>
        <w:spacing w:after="0" w:line="268" w:lineRule="auto"/>
        <w:tabs>
          <w:tab w:leader="none" w:pos="12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68,633,066 shares of our Class A common stock and Class B common stock that will become available for future issuance under our new equity compensation plans, consisting of (1) 59,633,066 shares of our Class A common stock and Class B common stock under our 2020 Plan, which will become effective in connection with the completion of this offering (which number includes the Founders Awards and the IPO Awards and excludes any potential annual evergreen increases pursuant to the terms of the 2020 Plan); and</w:t>
      </w:r>
    </w:p>
    <w:p>
      <w:pPr>
        <w:ind w:left="1280" w:right="1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9,000,000 shares of our Class A common stock under our 2020 Employee Stock Purchase Plan, or the ESPP, which will become effective in connection with this offering (which number does not include any potential annual evergreen increases pursuant to the terms of the ESPP).</w:t>
      </w:r>
    </w:p>
    <w:p>
      <w:pPr>
        <w:spacing w:after="0" w:line="187" w:lineRule="exact"/>
        <w:rPr>
          <w:sz w:val="20"/>
          <w:szCs w:val="20"/>
          <w:color w:val="auto"/>
        </w:rPr>
      </w:pPr>
    </w:p>
    <w:p>
      <w:pPr>
        <w:ind w:left="360" w:right="180" w:firstLine="421"/>
        <w:spacing w:after="0" w:line="277" w:lineRule="auto"/>
        <w:rPr>
          <w:sz w:val="20"/>
          <w:szCs w:val="20"/>
          <w:color w:val="auto"/>
        </w:rPr>
      </w:pPr>
      <w:r>
        <w:rPr>
          <w:rFonts w:ascii="Times New Roman" w:cs="Times New Roman" w:eastAsia="Times New Roman" w:hAnsi="Times New Roman"/>
          <w:sz w:val="18"/>
          <w:szCs w:val="18"/>
          <w:color w:val="auto"/>
        </w:rPr>
        <w:t>Our 2020 Incentive Award Plan and ESPP each provide for annual automatic increases in the number of shares of common stock reserved thereunder, as more fully described in the section titled “Executive and Director Compensation.”</w:t>
      </w:r>
    </w:p>
    <w:p>
      <w:pPr>
        <w:spacing w:after="0" w:line="16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reflects and assumes:</w:t>
      </w:r>
    </w:p>
    <w:p>
      <w:pPr>
        <w:spacing w:after="0" w:line="127" w:lineRule="exact"/>
        <w:rPr>
          <w:sz w:val="20"/>
          <w:szCs w:val="20"/>
          <w:color w:val="auto"/>
        </w:rPr>
      </w:pPr>
    </w:p>
    <w:p>
      <w:pPr>
        <w:ind w:left="1280" w:right="60" w:hanging="405"/>
        <w:spacing w:after="0" w:line="308" w:lineRule="auto"/>
        <w:tabs>
          <w:tab w:leader="none" w:pos="12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of all 126,045,531 outstanding shares of our redeemable convertible preferred stock as of June 30, 2020 into an equal number of shares of our common stock, which will occur prior to the closing of this offering, or the Preferred Stock Conversion;</w:t>
      </w:r>
    </w:p>
    <w:p>
      <w:pPr>
        <w:spacing w:after="0" w:line="45" w:lineRule="exact"/>
        <w:rPr>
          <w:rFonts w:ascii="Times New Roman" w:cs="Times New Roman" w:eastAsia="Times New Roman" w:hAnsi="Times New Roman"/>
          <w:sz w:val="17"/>
          <w:szCs w:val="17"/>
          <w:color w:val="auto"/>
        </w:rPr>
      </w:pPr>
    </w:p>
    <w:p>
      <w:pPr>
        <w:ind w:left="1280" w:right="280" w:hanging="405"/>
        <w:spacing w:after="0" w:line="277" w:lineRule="auto"/>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and the adoption of our amended and restated bylaws, each of which will be in effect prior to the closing of this offering;</w:t>
      </w:r>
    </w:p>
    <w:p>
      <w:pPr>
        <w:spacing w:after="0" w:line="69" w:lineRule="exact"/>
        <w:rPr>
          <w:rFonts w:ascii="Times New Roman" w:cs="Times New Roman" w:eastAsia="Times New Roman" w:hAnsi="Times New Roman"/>
          <w:sz w:val="18"/>
          <w:szCs w:val="18"/>
          <w:color w:val="auto"/>
        </w:rPr>
      </w:pPr>
    </w:p>
    <w:p>
      <w:pPr>
        <w:ind w:left="1280" w:right="40" w:hanging="405"/>
        <w:spacing w:after="0" w:line="257" w:lineRule="auto"/>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 of all 356,484,974 outstanding shares of our common stock as of June 30, 2020 into an equal number of shares of Class B common stock, which will occur prior to the closing of this offering, or the Class B Reclassification, and the subsequent conversion of 10,908,121 shares into an equivalent number of our Class A common stock in connection with the sale of such shares by such selling stockholders in this offering;</w:t>
      </w:r>
    </w:p>
    <w:p>
      <w:pPr>
        <w:spacing w:after="0" w:line="88" w:lineRule="exact"/>
        <w:rPr>
          <w:rFonts w:ascii="Times New Roman" w:cs="Times New Roman" w:eastAsia="Times New Roman" w:hAnsi="Times New Roman"/>
          <w:sz w:val="18"/>
          <w:szCs w:val="18"/>
          <w:color w:val="auto"/>
        </w:rPr>
      </w:pPr>
    </w:p>
    <w:p>
      <w:pPr>
        <w:ind w:left="1280" w:right="120" w:hanging="405"/>
        <w:spacing w:after="0" w:line="262" w:lineRule="auto"/>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3,846,153 shares of Class A common stock to Silver Lake upon the closing of the private placement, based on an assumed initial public offering price of $26.00 per share, which is the midpoint of the estimated offering price range set forth on the cover page of this prospectus;</w:t>
      </w:r>
    </w:p>
    <w:p>
      <w:pPr>
        <w:spacing w:after="0" w:line="83" w:lineRule="exact"/>
        <w:rPr>
          <w:rFonts w:ascii="Times New Roman" w:cs="Times New Roman" w:eastAsia="Times New Roman" w:hAnsi="Times New Roman"/>
          <w:sz w:val="18"/>
          <w:szCs w:val="18"/>
          <w:color w:val="auto"/>
        </w:rPr>
      </w:pPr>
    </w:p>
    <w:p>
      <w:pPr>
        <w:ind w:left="1280" w:right="100" w:hanging="405"/>
        <w:spacing w:after="0" w:line="308" w:lineRule="auto"/>
        <w:tabs>
          <w:tab w:leader="none" w:pos="12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exercise of outstanding options (other than the exercise of options to purchase 284,536 shares of our Class A common stock by certain selling stockholders in order to sell such shares in this offering) or settlement of RSUs (including the Founders Awards); and</w:t>
      </w:r>
    </w:p>
    <w:p>
      <w:pPr>
        <w:spacing w:after="0" w:line="45" w:lineRule="exact"/>
        <w:rPr>
          <w:rFonts w:ascii="Times New Roman" w:cs="Times New Roman" w:eastAsia="Times New Roman" w:hAnsi="Times New Roman"/>
          <w:sz w:val="17"/>
          <w:szCs w:val="17"/>
          <w:color w:val="auto"/>
        </w:rPr>
      </w:pPr>
    </w:p>
    <w:p>
      <w:pPr>
        <w:ind w:left="1280" w:hanging="405"/>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of our Class A common stock.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7"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0780"/>
          </w:cols>
          <w:pgMar w:left="320" w:top="454" w:right="7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201295</wp:posOffset>
            </wp:positionV>
            <wp:extent cx="6925945" cy="59162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5945" cy="591629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Summary Consolidated Financial and Operating Data</w:t>
      </w:r>
    </w:p>
    <w:p>
      <w:pPr>
        <w:spacing w:after="0" w:line="224" w:lineRule="exact"/>
        <w:rPr>
          <w:sz w:val="20"/>
          <w:szCs w:val="20"/>
          <w:color w:val="auto"/>
        </w:rPr>
      </w:pPr>
    </w:p>
    <w:p>
      <w:pPr>
        <w:ind w:left="360" w:right="240" w:firstLine="421"/>
        <w:spacing w:after="0" w:line="266" w:lineRule="auto"/>
        <w:rPr>
          <w:sz w:val="20"/>
          <w:szCs w:val="20"/>
          <w:color w:val="auto"/>
        </w:rPr>
      </w:pPr>
      <w:r>
        <w:rPr>
          <w:rFonts w:ascii="Times New Roman" w:cs="Times New Roman" w:eastAsia="Times New Roman" w:hAnsi="Times New Roman"/>
          <w:sz w:val="17"/>
          <w:szCs w:val="17"/>
          <w:color w:val="auto"/>
        </w:rPr>
        <w:t>The following tables summarize our consolidated financial and operating data for the periods and as of the dates indicated. We derived our summary consolidated statement of operations data for the years ended December 31, 2018 and 2019 from our audited consolidated financial statements included elsewhere in this prospectus. We derived our summary consolidated statement of operations data for the years ended December 31, 2016 and 2017 from our unaudited consolidated financial statements that are not included in this prospectus. We derived the summary consolidated statement of operations data for the six months ended June 30, 2019 and 2020 and the summary consolidated balance sheet data as of June 30, 2020 from our unaudited interim condensed consolidated financial statements that are included elsewhere in this prospectus. In our opinion, the unaudited interim financial statements have been prepared on a basis consistent with our audited financial statements and contain all adjustments, consisting only of normal and recurring adjustments, necessary for a fair statement of such interim financial statements. Our historical results are not necessarily indicative of the results to be expected in the future and our operating results for the six months ended June 30, 2020 are not necessarily indicative of the results that may be expected for the year ending December 31, 2020 or any other interim periods or any future year or period. You should read the following information in conjunction with the sections titled “Selected Consolidated Financial and Operating Data” and “Management’s Discussion and Analysis of Financial Condition and Results of Operations” and our consolidated financial statements, the accompanying notes and other financial information included elsewhere in this prospectus.</w:t>
      </w:r>
    </w:p>
    <w:p>
      <w:pPr>
        <w:spacing w:after="0" w:line="2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p>
      <w:pPr>
        <w:spacing w:after="0" w:line="23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1"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1"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4"/>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gridSpan w:val="8"/>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99,377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157,240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249,522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388,224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173,223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256,703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4880" w:type="dxa"/>
            <w:vAlign w:val="bottom"/>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xml:space="preserve">presented separately below </w:t>
            </w:r>
            <w:r>
              <w:rPr>
                <w:rFonts w:ascii="Times New Roman" w:cs="Times New Roman" w:eastAsia="Times New Roman" w:hAnsi="Times New Roman"/>
                <w:sz w:val="15"/>
                <w:szCs w:val="15"/>
                <w:color w:val="auto"/>
              </w:rPr>
              <w:t>(1) (2)</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3,075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6,035</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14,016</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12,843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Product development and technology </w:t>
            </w:r>
            <w:r>
              <w:rPr>
                <w:rFonts w:ascii="Times New Roman" w:cs="Times New Roman" w:eastAsia="Times New Roman" w:hAnsi="Times New Roman"/>
                <w:sz w:val="15"/>
                <w:szCs w:val="15"/>
                <w:color w:val="auto"/>
              </w:rPr>
              <w:t>(1) (2)</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5,742</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43,894</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29,300</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11,636</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15"/>
                <w:szCs w:val="15"/>
                <w:color w:val="auto"/>
              </w:rPr>
              <w:t>(1) (2)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60,503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78,278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104,177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176,967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77,689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115,082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15"/>
                <w:szCs w:val="15"/>
                <w:color w:val="auto"/>
              </w:rPr>
              <w:t>(1) (2)</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8,359</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14,692</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6,063</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9,089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9,806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13,573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80,602</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106,935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172,271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248,548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107,158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171,297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18,775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50,305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77,251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139,676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66,065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4,877</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22,193</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49,569</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26,679</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24,903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56,698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26,371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15,101</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52,348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82,978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(8,555)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(16,930)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(8,492)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80" w:type="dxa"/>
            <w:vAlign w:val="bottom"/>
            <w:tcBorders>
              <w:bottom w:val="single" w:sz="8" w:color="auto"/>
            </w:tcBorders>
          </w:tcPr>
          <w:p>
            <w:pPr>
              <w:spacing w:after="0"/>
              <w:rPr>
                <w:sz w:val="20"/>
                <w:szCs w:val="20"/>
                <w:color w:val="auto"/>
              </w:rPr>
            </w:pPr>
          </w:p>
        </w:tc>
        <w:tc>
          <w:tcPr>
            <w:tcW w:w="4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8"/>
        </w:trPr>
        <w:tc>
          <w:tcPr>
            <w:tcW w:w="1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201295</wp:posOffset>
            </wp:positionV>
            <wp:extent cx="6925945" cy="61709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5945" cy="617093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7"/>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0"/>
        </w:trPr>
        <w:tc>
          <w:tcPr>
            <w:tcW w:w="5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1"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1"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3"/>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7"/>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3"/>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gridSpan w:val="11"/>
          </w:tcPr>
          <w:p>
            <w:pPr>
              <w:jc w:val="right"/>
              <w:ind w:right="76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Net (loss) income attributable to common stockholders </w:t>
            </w: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(7,774)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8,843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13,795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35,325</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(7,774)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35,674</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(Loss) earnings per share </w:t>
            </w:r>
            <w:r>
              <w:rPr>
                <w:rFonts w:ascii="Times New Roman" w:cs="Times New Roman" w:eastAsia="Times New Roman" w:hAnsi="Times New Roman"/>
                <w:sz w:val="15"/>
                <w:szCs w:val="15"/>
                <w:color w:val="auto"/>
              </w:rPr>
              <w:t>(3)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Weighted-average shares used in computing (loss) earnings per share </w:t>
            </w: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w w:val="96"/>
              </w:rPr>
              <w:t>73,151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77,109</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2"/>
              </w:rPr>
              <w:t>111,842</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226,607</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225,841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230,020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w w:val="96"/>
              </w:rPr>
              <w:t>73,151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81,747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2"/>
              </w:rPr>
              <w:t>118,344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231,209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229,974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236,557</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Pro forma earnings per share </w:t>
            </w:r>
            <w:r>
              <w:rPr>
                <w:rFonts w:ascii="Times New Roman" w:cs="Times New Roman" w:eastAsia="Times New Roman" w:hAnsi="Times New Roman"/>
                <w:sz w:val="15"/>
                <w:szCs w:val="15"/>
                <w:color w:val="auto"/>
              </w:rPr>
              <w:t>(3)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3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Weighted-average shares used in computing pro forma earnings per</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share </w:t>
            </w: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352,653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356,066</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357,255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362,603</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760" w:hanging="406"/>
        <w:spacing w:after="0"/>
        <w:tabs>
          <w:tab w:leader="none" w:pos="76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stock-based compensation expense as follows:</w:t>
      </w:r>
    </w:p>
    <w:p>
      <w:pPr>
        <w:spacing w:after="0" w:line="207"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7"/>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2016</w:t>
            </w:r>
          </w:p>
        </w:tc>
        <w:tc>
          <w:tcPr>
            <w:tcW w:w="760" w:type="dxa"/>
            <w:vAlign w:val="bottom"/>
            <w:tcBorders>
              <w:top w:val="single" w:sz="8" w:color="auto"/>
              <w:bottom w:val="single" w:sz="8" w:color="auto"/>
            </w:tcBorders>
            <w:gridSpan w:val="3"/>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2"/>
              <w:spacing w:after="0" w:line="141"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2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
              <w:spacing w:after="0" w:line="141"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3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1"/>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5"/>
          </w:tcPr>
          <w:p>
            <w:pPr>
              <w:jc w:val="right"/>
              <w:ind w:right="41"/>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Product development and technology</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1,150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1,278</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1,048</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1,775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1,268</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2,002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2,150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1,762</w:t>
            </w:r>
          </w:p>
        </w:tc>
        <w:tc>
          <w:tcPr>
            <w:tcW w:w="2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3,747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1,736</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760" w:hanging="406"/>
        <w:spacing w:after="0"/>
        <w:tabs>
          <w:tab w:leader="none" w:pos="760"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expense for cash bonuses to vested option holders as follows:</w:t>
      </w:r>
    </w:p>
    <w:p>
      <w:pPr>
        <w:spacing w:after="0" w:line="207"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7"/>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7"/>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
              <w:spacing w:after="0" w:line="141"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42"/>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8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Product development and technology</w:t>
            </w:r>
          </w:p>
        </w:tc>
        <w:tc>
          <w:tcPr>
            <w:tcW w:w="1520" w:type="dxa"/>
            <w:vAlign w:val="bottom"/>
          </w:tcPr>
          <w:p>
            <w:pPr>
              <w:spacing w:after="0"/>
              <w:rPr>
                <w:sz w:val="17"/>
                <w:szCs w:val="17"/>
                <w:color w:val="auto"/>
              </w:rPr>
            </w:pPr>
          </w:p>
        </w:tc>
        <w:tc>
          <w:tcPr>
            <w:tcW w:w="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29,189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520" w:type="dxa"/>
            <w:vAlign w:val="bottom"/>
          </w:tcPr>
          <w:p>
            <w:pPr>
              <w:spacing w:after="0"/>
              <w:rPr>
                <w:sz w:val="18"/>
                <w:szCs w:val="18"/>
                <w:color w:val="auto"/>
              </w:rPr>
            </w:pPr>
          </w:p>
        </w:tc>
        <w:tc>
          <w:tcPr>
            <w:tcW w:w="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vested option holder bonuses</w:t>
            </w:r>
          </w:p>
        </w:tc>
        <w:tc>
          <w:tcPr>
            <w:tcW w:w="18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1,400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38,800</w:t>
            </w:r>
          </w:p>
        </w:tc>
        <w:tc>
          <w:tcPr>
            <w:tcW w:w="2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0"/>
          </w:cols>
          <w:pgMar w:left="320" w:top="454" w:right="6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201295</wp:posOffset>
            </wp:positionV>
            <wp:extent cx="6925945" cy="635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5945" cy="635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60" w:right="80" w:hanging="406"/>
        <w:spacing w:after="0" w:line="225" w:lineRule="auto"/>
        <w:tabs>
          <w:tab w:leader="none" w:pos="760"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See Notes 2 and 16 to our audited consolidated financial statements included elsewhere in this prospectus for an explanation of the calculations of earnings per share, basic and diluted, and pro forma earnings per share, basic and diluted, for the years ended December 31, 2018 and 2019. See Notes 2 and 9 to our unaudited interim condensed consolidated financial statements included elsewhere in this prospectus for an explanation of the calculations of earnings per share, basic and diluted, and pro forma earnings per share, basic and diluted, for the six months ended June 30, 2019 and 2020.</w:t>
      </w:r>
    </w:p>
    <w:p>
      <w:pPr>
        <w:spacing w:after="0" w:line="3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p>
      <w:pPr>
        <w:spacing w:after="0" w:line="245" w:lineRule="exact"/>
        <w:rPr>
          <w:sz w:val="20"/>
          <w:szCs w:val="20"/>
          <w:color w:val="auto"/>
        </w:rPr>
      </w:pPr>
    </w:p>
    <w:tbl>
      <w:tblPr>
        <w:tblLayout w:type="fixed"/>
        <w:tblInd w:w="1200" w:type="dxa"/>
        <w:tblCellMar>
          <w:top w:w="0" w:type="dxa"/>
          <w:left w:w="0" w:type="dxa"/>
          <w:bottom w:w="0" w:type="dxa"/>
          <w:right w:w="0" w:type="dxa"/>
        </w:tblCellMar>
      </w:tblPr>
      <w:tr>
        <w:trPr>
          <w:trHeight w:val="172"/>
        </w:trPr>
        <w:tc>
          <w:tcPr>
            <w:tcW w:w="466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660" w:type="dxa"/>
            <w:vAlign w:val="bottom"/>
          </w:tcPr>
          <w:p>
            <w:pPr>
              <w:spacing w:after="0"/>
              <w:rPr>
                <w:sz w:val="10"/>
                <w:szCs w:val="10"/>
                <w:color w:val="auto"/>
              </w:rPr>
            </w:pPr>
          </w:p>
        </w:tc>
        <w:tc>
          <w:tcPr>
            <w:tcW w:w="12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Pro Forma </w:t>
            </w:r>
            <w:r>
              <w:rPr>
                <w:rFonts w:ascii="Times New Roman" w:cs="Times New Roman" w:eastAsia="Times New Roman" w:hAnsi="Times New Roman"/>
                <w:sz w:val="12"/>
                <w:szCs w:val="12"/>
                <w:b w:val="1"/>
                <w:bCs w:val="1"/>
                <w:color w:val="auto"/>
              </w:rPr>
              <w:t>(1)</w:t>
            </w:r>
          </w:p>
        </w:tc>
        <w:tc>
          <w:tcPr>
            <w:tcW w:w="1180" w:type="dxa"/>
            <w:vAlign w:val="bottom"/>
          </w:tcPr>
          <w:p>
            <w:pPr>
              <w:jc w:val="right"/>
              <w:ind w:right="35"/>
              <w:spacing w:after="0" w:line="116"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6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xml:space="preserve">as Adjusted </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140"/>
        </w:trPr>
        <w:tc>
          <w:tcPr>
            <w:tcW w:w="466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  126,625</w:t>
            </w:r>
          </w:p>
        </w:tc>
        <w:tc>
          <w:tcPr>
            <w:tcW w:w="170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  126,625</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797,439</w:t>
            </w:r>
          </w:p>
        </w:tc>
        <w:tc>
          <w:tcPr>
            <w:tcW w:w="0" w:type="dxa"/>
            <w:vAlign w:val="bottom"/>
          </w:tcPr>
          <w:p>
            <w:pPr>
              <w:spacing w:after="0"/>
              <w:rPr>
                <w:sz w:val="1"/>
                <w:szCs w:val="1"/>
                <w:color w:val="auto"/>
              </w:rPr>
            </w:pPr>
          </w:p>
        </w:tc>
      </w:tr>
      <w:tr>
        <w:trPr>
          <w:trHeight w:val="21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2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140,407</w:t>
            </w:r>
          </w:p>
        </w:tc>
        <w:tc>
          <w:tcPr>
            <w:tcW w:w="170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140,407</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811,957</w:t>
            </w:r>
          </w:p>
        </w:tc>
        <w:tc>
          <w:tcPr>
            <w:tcW w:w="0" w:type="dxa"/>
            <w:vAlign w:val="bottom"/>
          </w:tcPr>
          <w:p>
            <w:pPr>
              <w:spacing w:after="0"/>
              <w:rPr>
                <w:sz w:val="1"/>
                <w:szCs w:val="1"/>
                <w:color w:val="auto"/>
              </w:rPr>
            </w:pPr>
          </w:p>
        </w:tc>
      </w:tr>
      <w:tr>
        <w:trPr>
          <w:trHeight w:val="21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502,433</w:t>
            </w:r>
          </w:p>
        </w:tc>
        <w:tc>
          <w:tcPr>
            <w:tcW w:w="170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502,433</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1,172,511</w:t>
            </w:r>
          </w:p>
        </w:tc>
        <w:tc>
          <w:tcPr>
            <w:tcW w:w="0" w:type="dxa"/>
            <w:vAlign w:val="bottom"/>
          </w:tcPr>
          <w:p>
            <w:pPr>
              <w:spacing w:after="0"/>
              <w:rPr>
                <w:sz w:val="1"/>
                <w:szCs w:val="1"/>
                <w:color w:val="auto"/>
              </w:rPr>
            </w:pPr>
          </w:p>
        </w:tc>
      </w:tr>
      <w:tr>
        <w:trPr>
          <w:trHeight w:val="21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Total debt (including current portion of long-term debt)</w:t>
            </w:r>
          </w:p>
        </w:tc>
        <w:tc>
          <w:tcPr>
            <w:tcW w:w="12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696,921</w:t>
            </w:r>
          </w:p>
        </w:tc>
        <w:tc>
          <w:tcPr>
            <w:tcW w:w="170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696,921</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696,921</w:t>
            </w:r>
          </w:p>
        </w:tc>
        <w:tc>
          <w:tcPr>
            <w:tcW w:w="0" w:type="dxa"/>
            <w:vAlign w:val="bottom"/>
          </w:tcPr>
          <w:p>
            <w:pPr>
              <w:spacing w:after="0"/>
              <w:rPr>
                <w:sz w:val="1"/>
                <w:szCs w:val="1"/>
                <w:color w:val="auto"/>
              </w:rPr>
            </w:pPr>
          </w:p>
        </w:tc>
      </w:tr>
      <w:tr>
        <w:trPr>
          <w:trHeight w:val="21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792,159</w:t>
            </w:r>
          </w:p>
        </w:tc>
        <w:tc>
          <w:tcPr>
            <w:tcW w:w="170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792,159</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791,423</w:t>
            </w:r>
          </w:p>
        </w:tc>
        <w:tc>
          <w:tcPr>
            <w:tcW w:w="0" w:type="dxa"/>
            <w:vAlign w:val="bottom"/>
          </w:tcPr>
          <w:p>
            <w:pPr>
              <w:spacing w:after="0"/>
              <w:rPr>
                <w:sz w:val="1"/>
                <w:szCs w:val="1"/>
                <w:color w:val="auto"/>
              </w:rPr>
            </w:pPr>
          </w:p>
        </w:tc>
      </w:tr>
      <w:tr>
        <w:trPr>
          <w:trHeight w:val="21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2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737,009</w:t>
            </w:r>
          </w:p>
        </w:tc>
        <w:tc>
          <w:tcPr>
            <w:tcW w:w="170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2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(1,042,147)</w:t>
            </w:r>
          </w:p>
        </w:tc>
        <w:tc>
          <w:tcPr>
            <w:tcW w:w="170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(1,042,147)</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(1,042,147)</w:t>
            </w:r>
          </w:p>
        </w:tc>
        <w:tc>
          <w:tcPr>
            <w:tcW w:w="0" w:type="dxa"/>
            <w:vAlign w:val="bottom"/>
          </w:tcPr>
          <w:p>
            <w:pPr>
              <w:spacing w:after="0"/>
              <w:rPr>
                <w:sz w:val="1"/>
                <w:szCs w:val="1"/>
                <w:color w:val="auto"/>
              </w:rPr>
            </w:pPr>
          </w:p>
        </w:tc>
      </w:tr>
      <w:tr>
        <w:trPr>
          <w:trHeight w:val="23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2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(1,026,735)</w:t>
            </w:r>
          </w:p>
        </w:tc>
        <w:tc>
          <w:tcPr>
            <w:tcW w:w="170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(289,726)</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381,088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760" w:right="60" w:hanging="406"/>
        <w:spacing w:after="0" w:line="215" w:lineRule="auto"/>
        <w:tabs>
          <w:tab w:leader="none" w:pos="76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pro forma column reflects (i) the Preferred Stock Conversion, (ii) the filing and effectiveness of our amended and restated certificate of incorporation and (iii) the Class B Reclassification. Pro forma column does not reflect the use of approximately $60.1 million of cash in connection with the acquisition of Scriptcycle on August 31, 2020.</w:t>
      </w:r>
    </w:p>
    <w:p>
      <w:pPr>
        <w:spacing w:after="0" w:line="1" w:lineRule="exact"/>
        <w:rPr>
          <w:rFonts w:ascii="Times New Roman" w:cs="Times New Roman" w:eastAsia="Times New Roman" w:hAnsi="Times New Roman"/>
          <w:sz w:val="27"/>
          <w:szCs w:val="27"/>
          <w:color w:val="auto"/>
          <w:vertAlign w:val="superscript"/>
        </w:rPr>
      </w:pPr>
    </w:p>
    <w:p>
      <w:pPr>
        <w:ind w:left="760" w:hanging="406"/>
        <w:spacing w:after="0" w:line="252" w:lineRule="auto"/>
        <w:tabs>
          <w:tab w:leader="none" w:pos="76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pro forma as adjusted column reflects (i) the items described in footnote (1), (ii) the sale and issuance by us of 23,422,727 shares of our Class A common stock in this offering at an assumed initial public offering price of $26.00 per share, which is the midpoint of the estimated offering price range set forth on the cover page of this prospectus, and after deducting the underwriting discounts and commissions and estimated offering expenses payable by us, net of amounts recorded in accrued expenses and other current liabilities and other assets at June 30, 2020, (iii) the sale and issuance by us of 3,846,153 shares of our Class A common stock in the private placement at an assumed initial public offering price of $26.00 per share, which is the midpoint of the estimated offering price range set forth on the cover page of this prospectus, (iv) the conversion of 10,908,121 shares of our Class B common stock held by certain selling stockholders into an equivalent number of our Class A common stock upon the sale by the selling stockholders in this offering, and (v) aggregate proceeds of $1.2 million received by us in connection with the exercise of options to purchase 284,536 shares of our Class A common stock by certain selling stockholders in order to sell such shares in this offering. Each $1.00 increase or decrease in the assumed initial public offering price of $26.00 per share, which is the midpoint of the assumed offering price range set forth on the cover of this prospectus, would increase or decrease, as applicable the amount of our pro forma cash, total assets, and total stockholders’ equity by $22.1 million, assuming that the number of shares offered by us, as set forth on the cover page of this prospectus, remains the same, after deducting the underwriting discounts and commissions and estimated offering expenses payable by us, and would result in a (decrease) increase in the number of shares of Class A common stock issued and outstanding as a result of the private placement equal to $100 million divided by the increased (decreased) price. Similarly, each increase or decrease of 1.0 million shares in the number of shares offered by us would increase or decrease, as applicable, the amount of our pro forma cash, total assets, and total stockholders’ equity by $24.6 million, assuming the assumed initial public offering price remains the same, and after deducting the underwriting discounts and commissions and estimated offering expenses payable by us. The pro forma information discussed above is illustrative only and will be adjusted based on the actual initial public offering price, the number of shares we sell and other terms of this offering that will be determined at pricing. The pro forma as adjusted column does not reflect the use of approximately $60.1 million of cash in connection with the acquisition of Scriptcycle on August 31, 2020.</w:t>
      </w:r>
    </w:p>
    <w:p>
      <w:pPr>
        <w:spacing w:after="0" w:line="3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Key Financial and Operating Metrics</w:t>
      </w:r>
    </w:p>
    <w:p>
      <w:pPr>
        <w:spacing w:after="0" w:line="118" w:lineRule="exact"/>
        <w:rPr>
          <w:sz w:val="20"/>
          <w:szCs w:val="20"/>
          <w:color w:val="auto"/>
        </w:rPr>
      </w:pPr>
    </w:p>
    <w:p>
      <w:pPr>
        <w:ind w:left="360" w:right="180" w:firstLine="421"/>
        <w:spacing w:after="0" w:line="277" w:lineRule="auto"/>
        <w:rPr>
          <w:sz w:val="20"/>
          <w:szCs w:val="20"/>
          <w:color w:val="auto"/>
        </w:rPr>
      </w:pPr>
      <w:r>
        <w:rPr>
          <w:rFonts w:ascii="Times New Roman" w:cs="Times New Roman" w:eastAsia="Times New Roman" w:hAnsi="Times New Roman"/>
          <w:sz w:val="18"/>
          <w:szCs w:val="18"/>
          <w:color w:val="auto"/>
        </w:rPr>
        <w:t>In addition to GAAP measures of performance, we review the following key business and non-GAAP measures to assess our performance, make strategic and offering decisions and build our financial projections.</w:t>
      </w:r>
    </w:p>
    <w:p>
      <w:pPr>
        <w:spacing w:after="0" w:line="200" w:lineRule="exact"/>
        <w:rPr>
          <w:sz w:val="20"/>
          <w:szCs w:val="20"/>
          <w:color w:val="auto"/>
        </w:rPr>
      </w:pPr>
    </w:p>
    <w:p>
      <w:pPr>
        <w:spacing w:after="0" w:line="3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60"/>
          </w:cols>
          <w:pgMar w:left="320" w:top="454" w:right="71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201295</wp:posOffset>
            </wp:positionV>
            <wp:extent cx="6925945" cy="54502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25945" cy="545020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Monthly Active Consumers</w:t>
      </w:r>
    </w:p>
    <w:p>
      <w:pPr>
        <w:spacing w:after="0" w:line="118" w:lineRule="exact"/>
        <w:rPr>
          <w:sz w:val="20"/>
          <w:szCs w:val="20"/>
          <w:color w:val="auto"/>
        </w:rPr>
      </w:pPr>
    </w:p>
    <w:p>
      <w:pPr>
        <w:ind w:left="360" w:right="80" w:firstLine="421"/>
        <w:spacing w:after="0" w:line="253" w:lineRule="auto"/>
        <w:rPr>
          <w:sz w:val="20"/>
          <w:szCs w:val="20"/>
          <w:color w:val="auto"/>
        </w:rPr>
      </w:pPr>
      <w:r>
        <w:rPr>
          <w:rFonts w:ascii="Times New Roman" w:cs="Times New Roman" w:eastAsia="Times New Roman" w:hAnsi="Times New Roman"/>
          <w:sz w:val="18"/>
          <w:szCs w:val="18"/>
          <w:color w:val="auto"/>
        </w:rPr>
        <w:t>We define Monthly Active Consumers as the number of unique consumers who have used a GoodRx code to purchase a prescription in a given calendar month and have saved money compared to the list price of the medication. A unique consumer who uses a GoodRx code more than once in a calendar month to purchase prescription medications is only counted as one Monthly Active Consumer in that month. Monthly Active Consumers do not include subscribers to our subscription offerings, consumers of our pharmaceutical manufacturers solutions offering, or consumers who used our telehealth offerings. When presented for a period longer than a month, Monthly Active Consumers is averaged over the number of calendar months in such period.</w:t>
      </w:r>
    </w:p>
    <w:p>
      <w:pPr>
        <w:spacing w:after="0" w:line="216" w:lineRule="exact"/>
        <w:rPr>
          <w:sz w:val="20"/>
          <w:szCs w:val="20"/>
          <w:color w:val="auto"/>
        </w:rPr>
      </w:pPr>
    </w:p>
    <w:tbl>
      <w:tblPr>
        <w:tblLayout w:type="fixed"/>
        <w:tblInd w:w="360" w:type="dxa"/>
        <w:tblCellMar>
          <w:top w:w="0" w:type="dxa"/>
          <w:left w:w="0" w:type="dxa"/>
          <w:bottom w:w="0" w:type="dxa"/>
          <w:right w:w="0" w:type="dxa"/>
        </w:tblCellMar>
      </w:tblPr>
      <w:tr>
        <w:trPr>
          <w:trHeight w:val="136"/>
        </w:trPr>
        <w:tc>
          <w:tcPr>
            <w:tcW w:w="19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4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98"/>
        </w:trPr>
        <w:tc>
          <w:tcPr>
            <w:tcW w:w="1980" w:type="dxa"/>
            <w:vAlign w:val="bottom"/>
          </w:tcPr>
          <w:p>
            <w:pPr>
              <w:spacing w:after="0"/>
              <w:rPr>
                <w:sz w:val="8"/>
                <w:szCs w:val="8"/>
                <w:color w:val="auto"/>
              </w:rPr>
            </w:pPr>
          </w:p>
        </w:tc>
        <w:tc>
          <w:tcPr>
            <w:tcW w:w="440" w:type="dxa"/>
            <w:vAlign w:val="bottom"/>
          </w:tcPr>
          <w:p>
            <w:pPr>
              <w:jc w:val="right"/>
              <w:spacing w:after="0" w:line="98" w:lineRule="exact"/>
              <w:rPr>
                <w:sz w:val="20"/>
                <w:szCs w:val="20"/>
                <w:color w:val="auto"/>
              </w:rPr>
            </w:pPr>
            <w:r>
              <w:rPr>
                <w:rFonts w:ascii="Times New Roman" w:cs="Times New Roman" w:eastAsia="Times New Roman" w:hAnsi="Times New Roman"/>
                <w:sz w:val="11"/>
                <w:szCs w:val="11"/>
                <w:b w:val="1"/>
                <w:bCs w:val="1"/>
                <w:color w:val="auto"/>
                <w:w w:val="94"/>
              </w:rPr>
              <w:t>Mar. 31,</w:t>
            </w:r>
          </w:p>
        </w:tc>
        <w:tc>
          <w:tcPr>
            <w:tcW w:w="480" w:type="dxa"/>
            <w:vAlign w:val="bottom"/>
          </w:tcPr>
          <w:p>
            <w:pPr>
              <w:jc w:val="right"/>
              <w:spacing w:after="0" w:line="98" w:lineRule="exact"/>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Pr>
          <w:p>
            <w:pPr>
              <w:jc w:val="center"/>
              <w:spacing w:after="0" w:line="98" w:lineRule="exact"/>
              <w:rPr>
                <w:sz w:val="20"/>
                <w:szCs w:val="20"/>
                <w:color w:val="auto"/>
              </w:rPr>
            </w:pPr>
            <w:r>
              <w:rPr>
                <w:rFonts w:ascii="Times New Roman" w:cs="Times New Roman" w:eastAsia="Times New Roman" w:hAnsi="Times New Roman"/>
                <w:sz w:val="11"/>
                <w:szCs w:val="11"/>
                <w:b w:val="1"/>
                <w:bCs w:val="1"/>
                <w:color w:val="auto"/>
                <w:w w:val="94"/>
              </w:rPr>
              <w:t>Sept. 30,</w:t>
            </w:r>
          </w:p>
        </w:tc>
        <w:tc>
          <w:tcPr>
            <w:tcW w:w="460" w:type="dxa"/>
            <w:vAlign w:val="bottom"/>
          </w:tcPr>
          <w:p>
            <w:pPr>
              <w:jc w:val="right"/>
              <w:ind w:right="7"/>
              <w:spacing w:after="0" w:line="98" w:lineRule="exact"/>
              <w:rPr>
                <w:sz w:val="20"/>
                <w:szCs w:val="20"/>
                <w:color w:val="auto"/>
              </w:rPr>
            </w:pPr>
            <w:r>
              <w:rPr>
                <w:rFonts w:ascii="Times New Roman" w:cs="Times New Roman" w:eastAsia="Times New Roman" w:hAnsi="Times New Roman"/>
                <w:sz w:val="11"/>
                <w:szCs w:val="11"/>
                <w:b w:val="1"/>
                <w:bCs w:val="1"/>
                <w:color w:val="auto"/>
              </w:rPr>
              <w:t>Dec. 31,</w:t>
            </w:r>
          </w:p>
        </w:tc>
        <w:tc>
          <w:tcPr>
            <w:tcW w:w="480" w:type="dxa"/>
            <w:vAlign w:val="bottom"/>
          </w:tcPr>
          <w:p>
            <w:pPr>
              <w:jc w:val="right"/>
              <w:ind w:right="7"/>
              <w:spacing w:after="0" w:line="98" w:lineRule="exact"/>
              <w:rPr>
                <w:sz w:val="20"/>
                <w:szCs w:val="20"/>
                <w:color w:val="auto"/>
              </w:rPr>
            </w:pPr>
            <w:r>
              <w:rPr>
                <w:rFonts w:ascii="Times New Roman" w:cs="Times New Roman" w:eastAsia="Times New Roman" w:hAnsi="Times New Roman"/>
                <w:sz w:val="11"/>
                <w:szCs w:val="11"/>
                <w:b w:val="1"/>
                <w:bCs w:val="1"/>
                <w:color w:val="auto"/>
                <w:w w:val="99"/>
              </w:rPr>
              <w:t>Mar. 31,</w:t>
            </w:r>
          </w:p>
        </w:tc>
        <w:tc>
          <w:tcPr>
            <w:tcW w:w="480" w:type="dxa"/>
            <w:vAlign w:val="bottom"/>
          </w:tcPr>
          <w:p>
            <w:pPr>
              <w:jc w:val="right"/>
              <w:ind w:right="7"/>
              <w:spacing w:after="0" w:line="98" w:lineRule="exact"/>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Pr>
          <w:p>
            <w:pPr>
              <w:jc w:val="center"/>
              <w:spacing w:after="0" w:line="98" w:lineRule="exact"/>
              <w:rPr>
                <w:sz w:val="20"/>
                <w:szCs w:val="20"/>
                <w:color w:val="auto"/>
              </w:rPr>
            </w:pPr>
            <w:r>
              <w:rPr>
                <w:rFonts w:ascii="Times New Roman" w:cs="Times New Roman" w:eastAsia="Times New Roman" w:hAnsi="Times New Roman"/>
                <w:sz w:val="11"/>
                <w:szCs w:val="11"/>
                <w:b w:val="1"/>
                <w:bCs w:val="1"/>
                <w:color w:val="auto"/>
                <w:w w:val="99"/>
              </w:rPr>
              <w:t>Sept. 30,</w:t>
            </w:r>
          </w:p>
        </w:tc>
        <w:tc>
          <w:tcPr>
            <w:tcW w:w="420" w:type="dxa"/>
            <w:vAlign w:val="bottom"/>
          </w:tcPr>
          <w:p>
            <w:pPr>
              <w:jc w:val="right"/>
              <w:spacing w:after="0" w:line="98" w:lineRule="exact"/>
              <w:rPr>
                <w:sz w:val="20"/>
                <w:szCs w:val="20"/>
                <w:color w:val="auto"/>
              </w:rPr>
            </w:pPr>
            <w:r>
              <w:rPr>
                <w:rFonts w:ascii="Times New Roman" w:cs="Times New Roman" w:eastAsia="Times New Roman" w:hAnsi="Times New Roman"/>
                <w:sz w:val="11"/>
                <w:szCs w:val="11"/>
                <w:b w:val="1"/>
                <w:bCs w:val="1"/>
                <w:color w:val="auto"/>
              </w:rPr>
              <w:t>Dec. 31,</w:t>
            </w:r>
          </w:p>
        </w:tc>
        <w:tc>
          <w:tcPr>
            <w:tcW w:w="500" w:type="dxa"/>
            <w:vAlign w:val="bottom"/>
          </w:tcPr>
          <w:p>
            <w:pPr>
              <w:jc w:val="right"/>
              <w:spacing w:after="0" w:line="98" w:lineRule="exact"/>
              <w:rPr>
                <w:sz w:val="20"/>
                <w:szCs w:val="20"/>
                <w:color w:val="auto"/>
              </w:rPr>
            </w:pPr>
            <w:r>
              <w:rPr>
                <w:rFonts w:ascii="Times New Roman" w:cs="Times New Roman" w:eastAsia="Times New Roman" w:hAnsi="Times New Roman"/>
                <w:sz w:val="11"/>
                <w:szCs w:val="11"/>
                <w:b w:val="1"/>
                <w:bCs w:val="1"/>
                <w:color w:val="auto"/>
              </w:rPr>
              <w:t>Mar. 31,</w:t>
            </w:r>
          </w:p>
        </w:tc>
        <w:tc>
          <w:tcPr>
            <w:tcW w:w="520" w:type="dxa"/>
            <w:vAlign w:val="bottom"/>
          </w:tcPr>
          <w:p>
            <w:pPr>
              <w:jc w:val="right"/>
              <w:ind w:right="27"/>
              <w:spacing w:after="0" w:line="98" w:lineRule="exact"/>
              <w:rPr>
                <w:sz w:val="20"/>
                <w:szCs w:val="20"/>
                <w:color w:val="auto"/>
              </w:rPr>
            </w:pPr>
            <w:r>
              <w:rPr>
                <w:rFonts w:ascii="Times New Roman" w:cs="Times New Roman" w:eastAsia="Times New Roman" w:hAnsi="Times New Roman"/>
                <w:sz w:val="11"/>
                <w:szCs w:val="11"/>
                <w:b w:val="1"/>
                <w:bCs w:val="1"/>
                <w:color w:val="auto"/>
              </w:rPr>
              <w:t>June 30,</w:t>
            </w:r>
          </w:p>
        </w:tc>
        <w:tc>
          <w:tcPr>
            <w:tcW w:w="460" w:type="dxa"/>
            <w:vAlign w:val="bottom"/>
          </w:tcPr>
          <w:p>
            <w:pPr>
              <w:jc w:val="center"/>
              <w:spacing w:after="0" w:line="98" w:lineRule="exact"/>
              <w:rPr>
                <w:sz w:val="20"/>
                <w:szCs w:val="20"/>
                <w:color w:val="auto"/>
              </w:rPr>
            </w:pPr>
            <w:r>
              <w:rPr>
                <w:rFonts w:ascii="Times New Roman" w:cs="Times New Roman" w:eastAsia="Times New Roman" w:hAnsi="Times New Roman"/>
                <w:sz w:val="11"/>
                <w:szCs w:val="11"/>
                <w:b w:val="1"/>
                <w:bCs w:val="1"/>
                <w:color w:val="auto"/>
                <w:w w:val="94"/>
              </w:rPr>
              <w:t>Sept. 30,</w:t>
            </w:r>
          </w:p>
        </w:tc>
        <w:tc>
          <w:tcPr>
            <w:tcW w:w="460" w:type="dxa"/>
            <w:vAlign w:val="bottom"/>
          </w:tcPr>
          <w:p>
            <w:pPr>
              <w:jc w:val="right"/>
              <w:ind w:right="7"/>
              <w:spacing w:after="0" w:line="98" w:lineRule="exact"/>
              <w:rPr>
                <w:sz w:val="20"/>
                <w:szCs w:val="20"/>
                <w:color w:val="auto"/>
              </w:rPr>
            </w:pPr>
            <w:r>
              <w:rPr>
                <w:rFonts w:ascii="Times New Roman" w:cs="Times New Roman" w:eastAsia="Times New Roman" w:hAnsi="Times New Roman"/>
                <w:sz w:val="11"/>
                <w:szCs w:val="11"/>
                <w:b w:val="1"/>
                <w:bCs w:val="1"/>
                <w:color w:val="auto"/>
              </w:rPr>
              <w:t>Dec. 31,</w:t>
            </w:r>
          </w:p>
        </w:tc>
        <w:tc>
          <w:tcPr>
            <w:tcW w:w="480" w:type="dxa"/>
            <w:vAlign w:val="bottom"/>
          </w:tcPr>
          <w:p>
            <w:pPr>
              <w:jc w:val="right"/>
              <w:ind w:right="7"/>
              <w:spacing w:after="0" w:line="98" w:lineRule="exact"/>
              <w:rPr>
                <w:sz w:val="20"/>
                <w:szCs w:val="20"/>
                <w:color w:val="auto"/>
              </w:rPr>
            </w:pPr>
            <w:r>
              <w:rPr>
                <w:rFonts w:ascii="Times New Roman" w:cs="Times New Roman" w:eastAsia="Times New Roman" w:hAnsi="Times New Roman"/>
                <w:sz w:val="11"/>
                <w:szCs w:val="11"/>
                <w:b w:val="1"/>
                <w:bCs w:val="1"/>
                <w:color w:val="auto"/>
                <w:w w:val="99"/>
              </w:rPr>
              <w:t>Mar. 31,</w:t>
            </w:r>
          </w:p>
        </w:tc>
        <w:tc>
          <w:tcPr>
            <w:tcW w:w="480" w:type="dxa"/>
            <w:vAlign w:val="bottom"/>
          </w:tcPr>
          <w:p>
            <w:pPr>
              <w:jc w:val="right"/>
              <w:ind w:right="7"/>
              <w:spacing w:after="0" w:line="98" w:lineRule="exact"/>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Pr>
          <w:p>
            <w:pPr>
              <w:jc w:val="center"/>
              <w:spacing w:after="0" w:line="98" w:lineRule="exact"/>
              <w:rPr>
                <w:sz w:val="20"/>
                <w:szCs w:val="20"/>
                <w:color w:val="auto"/>
              </w:rPr>
            </w:pPr>
            <w:r>
              <w:rPr>
                <w:rFonts w:ascii="Times New Roman" w:cs="Times New Roman" w:eastAsia="Times New Roman" w:hAnsi="Times New Roman"/>
                <w:sz w:val="11"/>
                <w:szCs w:val="11"/>
                <w:b w:val="1"/>
                <w:bCs w:val="1"/>
                <w:color w:val="auto"/>
                <w:w w:val="99"/>
              </w:rPr>
              <w:t>Sept. 30,</w:t>
            </w:r>
          </w:p>
        </w:tc>
        <w:tc>
          <w:tcPr>
            <w:tcW w:w="440" w:type="dxa"/>
            <w:vAlign w:val="bottom"/>
          </w:tcPr>
          <w:p>
            <w:pPr>
              <w:jc w:val="right"/>
              <w:spacing w:after="0" w:line="98" w:lineRule="exact"/>
              <w:rPr>
                <w:sz w:val="20"/>
                <w:szCs w:val="20"/>
                <w:color w:val="auto"/>
              </w:rPr>
            </w:pPr>
            <w:r>
              <w:rPr>
                <w:rFonts w:ascii="Times New Roman" w:cs="Times New Roman" w:eastAsia="Times New Roman" w:hAnsi="Times New Roman"/>
                <w:sz w:val="11"/>
                <w:szCs w:val="11"/>
                <w:b w:val="1"/>
                <w:bCs w:val="1"/>
                <w:color w:val="auto"/>
              </w:rPr>
              <w:t>Dec. 31,</w:t>
            </w:r>
          </w:p>
        </w:tc>
        <w:tc>
          <w:tcPr>
            <w:tcW w:w="480" w:type="dxa"/>
            <w:vAlign w:val="bottom"/>
          </w:tcPr>
          <w:p>
            <w:pPr>
              <w:jc w:val="right"/>
              <w:spacing w:after="0" w:line="98" w:lineRule="exact"/>
              <w:rPr>
                <w:sz w:val="20"/>
                <w:szCs w:val="20"/>
                <w:color w:val="auto"/>
              </w:rPr>
            </w:pPr>
            <w:r>
              <w:rPr>
                <w:rFonts w:ascii="Times New Roman" w:cs="Times New Roman" w:eastAsia="Times New Roman" w:hAnsi="Times New Roman"/>
                <w:sz w:val="11"/>
                <w:szCs w:val="11"/>
                <w:b w:val="1"/>
                <w:bCs w:val="1"/>
                <w:color w:val="auto"/>
              </w:rPr>
              <w:t>Mar. 31,</w:t>
            </w:r>
          </w:p>
        </w:tc>
        <w:tc>
          <w:tcPr>
            <w:tcW w:w="440" w:type="dxa"/>
            <w:vAlign w:val="bottom"/>
          </w:tcPr>
          <w:p>
            <w:pPr>
              <w:jc w:val="right"/>
              <w:spacing w:after="0" w:line="98" w:lineRule="exact"/>
              <w:rPr>
                <w:sz w:val="20"/>
                <w:szCs w:val="20"/>
                <w:color w:val="auto"/>
              </w:rPr>
            </w:pPr>
            <w:r>
              <w:rPr>
                <w:rFonts w:ascii="Times New Roman" w:cs="Times New Roman" w:eastAsia="Times New Roman" w:hAnsi="Times New Roman"/>
                <w:sz w:val="11"/>
                <w:szCs w:val="11"/>
                <w:b w:val="1"/>
                <w:bCs w:val="1"/>
                <w:color w:val="auto"/>
              </w:rPr>
              <w:t>June 30,</w:t>
            </w:r>
          </w:p>
        </w:tc>
        <w:tc>
          <w:tcPr>
            <w:tcW w:w="20" w:type="dxa"/>
            <w:vAlign w:val="bottom"/>
          </w:tcPr>
          <w:p>
            <w:pPr>
              <w:spacing w:after="0"/>
              <w:rPr>
                <w:sz w:val="8"/>
                <w:szCs w:val="8"/>
                <w:color w:val="auto"/>
              </w:rPr>
            </w:pPr>
          </w:p>
        </w:tc>
      </w:tr>
      <w:tr>
        <w:trPr>
          <w:trHeight w:val="136"/>
        </w:trPr>
        <w:tc>
          <w:tcPr>
            <w:tcW w:w="1980" w:type="dxa"/>
            <w:vAlign w:val="bottom"/>
          </w:tcPr>
          <w:p>
            <w:pPr>
              <w:spacing w:after="0"/>
              <w:rPr>
                <w:sz w:val="11"/>
                <w:szCs w:val="11"/>
                <w:color w:val="auto"/>
              </w:rPr>
            </w:pPr>
          </w:p>
        </w:tc>
        <w:tc>
          <w:tcPr>
            <w:tcW w:w="44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2016</w:t>
            </w:r>
          </w:p>
        </w:tc>
        <w:tc>
          <w:tcPr>
            <w:tcW w:w="4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2016</w:t>
            </w:r>
          </w:p>
        </w:tc>
        <w:tc>
          <w:tcPr>
            <w:tcW w:w="5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2016</w:t>
            </w:r>
          </w:p>
        </w:tc>
        <w:tc>
          <w:tcPr>
            <w:tcW w:w="46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2016</w:t>
            </w:r>
          </w:p>
        </w:tc>
        <w:tc>
          <w:tcPr>
            <w:tcW w:w="4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2017</w:t>
            </w:r>
          </w:p>
        </w:tc>
        <w:tc>
          <w:tcPr>
            <w:tcW w:w="4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2017</w:t>
            </w:r>
          </w:p>
        </w:tc>
        <w:tc>
          <w:tcPr>
            <w:tcW w:w="5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2017</w:t>
            </w:r>
          </w:p>
        </w:tc>
        <w:tc>
          <w:tcPr>
            <w:tcW w:w="4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rPr>
              <w:t>2017</w:t>
            </w:r>
          </w:p>
        </w:tc>
        <w:tc>
          <w:tcPr>
            <w:tcW w:w="5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2018</w:t>
            </w:r>
          </w:p>
        </w:tc>
        <w:tc>
          <w:tcPr>
            <w:tcW w:w="5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2018</w:t>
            </w:r>
          </w:p>
        </w:tc>
        <w:tc>
          <w:tcPr>
            <w:tcW w:w="4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2018</w:t>
            </w:r>
          </w:p>
        </w:tc>
        <w:tc>
          <w:tcPr>
            <w:tcW w:w="46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2018</w:t>
            </w:r>
          </w:p>
        </w:tc>
        <w:tc>
          <w:tcPr>
            <w:tcW w:w="4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2019</w:t>
            </w:r>
          </w:p>
        </w:tc>
        <w:tc>
          <w:tcPr>
            <w:tcW w:w="4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2019</w:t>
            </w:r>
          </w:p>
        </w:tc>
        <w:tc>
          <w:tcPr>
            <w:tcW w:w="5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2019</w:t>
            </w:r>
          </w:p>
        </w:tc>
        <w:tc>
          <w:tcPr>
            <w:tcW w:w="44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2019</w:t>
            </w:r>
          </w:p>
        </w:tc>
        <w:tc>
          <w:tcPr>
            <w:tcW w:w="4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2020</w:t>
            </w:r>
          </w:p>
        </w:tc>
        <w:tc>
          <w:tcPr>
            <w:tcW w:w="4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2020</w:t>
            </w:r>
          </w:p>
        </w:tc>
        <w:tc>
          <w:tcPr>
            <w:tcW w:w="20" w:type="dxa"/>
            <w:vAlign w:val="bottom"/>
          </w:tcPr>
          <w:p>
            <w:pPr>
              <w:spacing w:after="0"/>
              <w:rPr>
                <w:sz w:val="11"/>
                <w:szCs w:val="11"/>
                <w:color w:val="auto"/>
              </w:rPr>
            </w:pPr>
          </w:p>
        </w:tc>
      </w:tr>
      <w:tr>
        <w:trPr>
          <w:trHeight w:val="114"/>
        </w:trPr>
        <w:tc>
          <w:tcPr>
            <w:tcW w:w="1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gridSpan w:val="2"/>
          </w:tcPr>
          <w:p>
            <w:pPr>
              <w:jc w:val="right"/>
              <w:ind w:right="127"/>
              <w:spacing w:after="0" w:line="114"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0"/>
        </w:trPr>
        <w:tc>
          <w:tcPr>
            <w:tcW w:w="198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Monthly Active Consumers</w:t>
            </w:r>
          </w:p>
        </w:tc>
        <w:tc>
          <w:tcPr>
            <w:tcW w:w="4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718</w:t>
            </w:r>
          </w:p>
        </w:tc>
        <w:tc>
          <w:tcPr>
            <w:tcW w:w="4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852</w:t>
            </w:r>
          </w:p>
        </w:tc>
        <w:tc>
          <w:tcPr>
            <w:tcW w:w="5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981</w:t>
            </w:r>
          </w:p>
        </w:tc>
        <w:tc>
          <w:tcPr>
            <w:tcW w:w="460" w:type="dxa"/>
            <w:vAlign w:val="bottom"/>
            <w:shd w:val="clear" w:color="auto" w:fill="CCEEFF"/>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1,138</w:t>
            </w:r>
          </w:p>
        </w:tc>
        <w:tc>
          <w:tcPr>
            <w:tcW w:w="480" w:type="dxa"/>
            <w:vAlign w:val="bottom"/>
            <w:shd w:val="clear" w:color="auto" w:fill="CCEEFF"/>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1,279</w:t>
            </w:r>
          </w:p>
        </w:tc>
        <w:tc>
          <w:tcPr>
            <w:tcW w:w="480" w:type="dxa"/>
            <w:vAlign w:val="bottom"/>
            <w:shd w:val="clear" w:color="auto" w:fill="CCEEFF"/>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1,309</w:t>
            </w:r>
          </w:p>
        </w:tc>
        <w:tc>
          <w:tcPr>
            <w:tcW w:w="500" w:type="dxa"/>
            <w:vAlign w:val="bottom"/>
            <w:shd w:val="clear" w:color="auto" w:fill="CCEEFF"/>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1,455</w:t>
            </w:r>
          </w:p>
        </w:tc>
        <w:tc>
          <w:tcPr>
            <w:tcW w:w="4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1,710</w:t>
            </w:r>
          </w:p>
        </w:tc>
        <w:tc>
          <w:tcPr>
            <w:tcW w:w="5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2,020</w:t>
            </w:r>
          </w:p>
        </w:tc>
        <w:tc>
          <w:tcPr>
            <w:tcW w:w="520" w:type="dxa"/>
            <w:vAlign w:val="bottom"/>
            <w:shd w:val="clear" w:color="auto" w:fill="CCEEFF"/>
          </w:tcPr>
          <w:p>
            <w:pPr>
              <w:jc w:val="right"/>
              <w:ind w:right="27"/>
              <w:spacing w:after="0" w:line="121" w:lineRule="exact"/>
              <w:rPr>
                <w:sz w:val="20"/>
                <w:szCs w:val="20"/>
                <w:color w:val="auto"/>
              </w:rPr>
            </w:pPr>
            <w:r>
              <w:rPr>
                <w:rFonts w:ascii="Times New Roman" w:cs="Times New Roman" w:eastAsia="Times New Roman" w:hAnsi="Times New Roman"/>
                <w:sz w:val="11"/>
                <w:szCs w:val="11"/>
                <w:color w:val="auto"/>
              </w:rPr>
              <w:t>2,170</w:t>
            </w:r>
          </w:p>
        </w:tc>
        <w:tc>
          <w:tcPr>
            <w:tcW w:w="4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2,413</w:t>
            </w:r>
          </w:p>
        </w:tc>
        <w:tc>
          <w:tcPr>
            <w:tcW w:w="460" w:type="dxa"/>
            <w:vAlign w:val="bottom"/>
            <w:shd w:val="clear" w:color="auto" w:fill="CCEEFF"/>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2,750</w:t>
            </w:r>
          </w:p>
        </w:tc>
        <w:tc>
          <w:tcPr>
            <w:tcW w:w="480" w:type="dxa"/>
            <w:vAlign w:val="bottom"/>
            <w:shd w:val="clear" w:color="auto" w:fill="CCEEFF"/>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3,188</w:t>
            </w:r>
          </w:p>
        </w:tc>
        <w:tc>
          <w:tcPr>
            <w:tcW w:w="4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3,513</w:t>
            </w:r>
          </w:p>
        </w:tc>
        <w:tc>
          <w:tcPr>
            <w:tcW w:w="500" w:type="dxa"/>
            <w:vAlign w:val="bottom"/>
            <w:shd w:val="clear" w:color="auto" w:fill="CCEEFF"/>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3,787</w:t>
            </w:r>
          </w:p>
        </w:tc>
        <w:tc>
          <w:tcPr>
            <w:tcW w:w="4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4,272</w:t>
            </w:r>
          </w:p>
        </w:tc>
        <w:tc>
          <w:tcPr>
            <w:tcW w:w="4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4,875</w:t>
            </w:r>
          </w:p>
        </w:tc>
        <w:tc>
          <w:tcPr>
            <w:tcW w:w="460" w:type="dxa"/>
            <w:vAlign w:val="bottom"/>
            <w:gridSpan w:val="2"/>
            <w:shd w:val="clear" w:color="auto" w:fill="CCEEFF"/>
          </w:tcPr>
          <w:p>
            <w:pPr>
              <w:jc w:val="right"/>
              <w:ind w:right="20"/>
              <w:spacing w:after="0" w:line="121" w:lineRule="exact"/>
              <w:rPr>
                <w:sz w:val="20"/>
                <w:szCs w:val="20"/>
                <w:color w:val="auto"/>
              </w:rPr>
            </w:pPr>
            <w:r>
              <w:rPr>
                <w:rFonts w:ascii="Times New Roman" w:cs="Times New Roman" w:eastAsia="Times New Roman" w:hAnsi="Times New Roman"/>
                <w:sz w:val="11"/>
                <w:szCs w:val="11"/>
                <w:color w:val="auto"/>
              </w:rPr>
              <w:t>4,418</w:t>
            </w:r>
          </w:p>
        </w:tc>
      </w:tr>
    </w:tbl>
    <w:p>
      <w:pPr>
        <w:spacing w:after="0" w:line="2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31"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2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0"/>
        </w:trPr>
        <w:tc>
          <w:tcPr>
            <w:tcW w:w="2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69"/>
              <w:spacing w:after="0" w:line="141" w:lineRule="exact"/>
              <w:rPr>
                <w:sz w:val="20"/>
                <w:szCs w:val="20"/>
                <w:color w:val="auto"/>
              </w:rPr>
            </w:pPr>
            <w:r>
              <w:rPr>
                <w:rFonts w:ascii="Times New Roman" w:cs="Times New Roman" w:eastAsia="Times New Roman" w:hAnsi="Times New Roman"/>
                <w:sz w:val="14"/>
                <w:szCs w:val="14"/>
                <w:b w:val="1"/>
                <w:bCs w:val="1"/>
                <w:color w:val="auto"/>
              </w:rPr>
              <w:t>2016</w:t>
            </w:r>
          </w:p>
        </w:tc>
        <w:tc>
          <w:tcPr>
            <w:tcW w:w="1020" w:type="dxa"/>
            <w:vAlign w:val="bottom"/>
            <w:tcBorders>
              <w:top w:val="single" w:sz="8" w:color="auto"/>
              <w:bottom w:val="single" w:sz="8" w:color="auto"/>
            </w:tcBorders>
          </w:tcPr>
          <w:p>
            <w:pPr>
              <w:jc w:val="right"/>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Borders>
              <w:top w:val="single" w:sz="8" w:color="auto"/>
              <w:bottom w:val="single" w:sz="8" w:color="auto"/>
            </w:tcBorders>
          </w:tcPr>
          <w:p>
            <w:pPr>
              <w:jc w:val="right"/>
              <w:ind w:right="400"/>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840" w:type="dxa"/>
            <w:vAlign w:val="bottom"/>
            <w:tcBorders>
              <w:top w:val="single" w:sz="8" w:color="auto"/>
              <w:bottom w:val="single" w:sz="8" w:color="auto"/>
            </w:tcBorders>
          </w:tcPr>
          <w:p>
            <w:pPr>
              <w:jc w:val="right"/>
              <w:ind w:right="117"/>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69"/>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tcBorders>
              <w:top w:val="single" w:sz="8" w:color="auto"/>
              <w:bottom w:val="single" w:sz="8" w:color="auto"/>
            </w:tcBorders>
          </w:tcPr>
          <w:p>
            <w:pPr>
              <w:jc w:val="right"/>
              <w:ind w:right="117"/>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40" w:type="dxa"/>
            <w:vAlign w:val="bottom"/>
            <w:gridSpan w:val="3"/>
          </w:tcPr>
          <w:p>
            <w:pPr>
              <w:jc w:val="right"/>
              <w:ind w:right="480"/>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6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8"/>
                <w:szCs w:val="18"/>
                <w:color w:val="auto"/>
              </w:rPr>
              <w:t>$30,008</w:t>
            </w:r>
          </w:p>
        </w:tc>
        <w:tc>
          <w:tcPr>
            <w:tcW w:w="10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$62,956</w:t>
            </w:r>
          </w:p>
        </w:tc>
        <w:tc>
          <w:tcPr>
            <w:tcW w:w="11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$127,634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$159,629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8"/>
                <w:szCs w:val="18"/>
                <w:color w:val="auto"/>
              </w:rPr>
              <w:t>$74,521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166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rPr>
              <w:t>30.2%</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51.2%</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41.1%</w:t>
            </w:r>
          </w:p>
        </w:tc>
        <w:tc>
          <w:tcPr>
            <w:tcW w:w="104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rPr>
              <w:t>43.0%</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360" w:right="160" w:firstLine="421"/>
        <w:spacing w:after="0" w:line="255"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that Adjusted EBITDA is useful in evaluating our financial performance and for internal planning and forecasting purposes. We calculate Adjusted EBITDA, for a particular period, as net income before interest, taxes, depreciation and amortization, and as further adjusted for acquisition related expenses, stock-based compensation expense, loss on extinguishment of debt, financing related expenses, cash bonuses to vested option holders and other expense (income), net. Adjusted EBITDA Margin represents Adjusted EBITDA as a percentage of revenue.</w:t>
      </w:r>
    </w:p>
    <w:p>
      <w:pPr>
        <w:spacing w:after="0" w:line="183" w:lineRule="exact"/>
        <w:rPr>
          <w:sz w:val="20"/>
          <w:szCs w:val="20"/>
          <w:color w:val="auto"/>
        </w:rPr>
      </w:pPr>
    </w:p>
    <w:p>
      <w:pPr>
        <w:ind w:left="360" w:right="20" w:firstLine="421"/>
        <w:spacing w:after="0" w:line="252" w:lineRule="auto"/>
        <w:rPr>
          <w:sz w:val="20"/>
          <w:szCs w:val="20"/>
          <w:color w:val="auto"/>
        </w:rPr>
      </w:pPr>
      <w:r>
        <w:rPr>
          <w:rFonts w:ascii="Times New Roman" w:cs="Times New Roman" w:eastAsia="Times New Roman" w:hAnsi="Times New Roman"/>
          <w:sz w:val="18"/>
          <w:szCs w:val="18"/>
          <w:color w:val="auto"/>
        </w:rPr>
        <w:t>We believe Adjusted EBITDA is helpful to investors, analysts and other interested parties because it can assist in providing a more consistent and comparable overview of our operations across our historical financial periods. In addition, this measure is frequently used by analysts, investors and other interested parties to evaluate and assess performance. Adjusted EBITDA and Adjusted EBITDA Margin are non-GAAP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expenses that are reflected in our consolidated statement of operations that are necessary to run our business. Other companies, including other companies in our industry, may not use such measures or may calculate the measures differently than as presented in this prospectus, limiting their usefulness as comparative measures.</w:t>
      </w:r>
    </w:p>
    <w:p>
      <w:pPr>
        <w:spacing w:after="0" w:line="185" w:lineRule="exact"/>
        <w:rPr>
          <w:sz w:val="20"/>
          <w:szCs w:val="20"/>
          <w:color w:val="auto"/>
        </w:rPr>
      </w:pPr>
    </w:p>
    <w:p>
      <w:pPr>
        <w:ind w:left="360" w:right="60" w:firstLine="421"/>
        <w:spacing w:after="0" w:line="277" w:lineRule="auto"/>
        <w:rPr>
          <w:sz w:val="20"/>
          <w:szCs w:val="20"/>
          <w:color w:val="auto"/>
        </w:rPr>
      </w:pPr>
      <w:r>
        <w:rPr>
          <w:rFonts w:ascii="Times New Roman" w:cs="Times New Roman" w:eastAsia="Times New Roman" w:hAnsi="Times New Roman"/>
          <w:sz w:val="18"/>
          <w:szCs w:val="18"/>
          <w:color w:val="auto"/>
        </w:rPr>
        <w:t>The non-GAAP information in this prospectus should be read in conjunction with, and not as substitutes for, or in isolation from, our audited consolidated financial statements and accompanying notes included elsewhere in this prospectus.</w:t>
      </w:r>
    </w:p>
    <w:p>
      <w:pPr>
        <w:spacing w:after="0" w:line="200" w:lineRule="exact"/>
        <w:rPr>
          <w:sz w:val="20"/>
          <w:szCs w:val="20"/>
          <w:color w:val="auto"/>
        </w:rPr>
      </w:pPr>
    </w:p>
    <w:p>
      <w:pPr>
        <w:spacing w:after="0" w:line="39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80"/>
          </w:cols>
          <w:pgMar w:left="320" w:top="454" w:right="6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201295</wp:posOffset>
            </wp:positionV>
            <wp:extent cx="6925945" cy="382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5945" cy="382968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 reconciliation of net income to Adjusted EBITDA is set forth below:</w:t>
      </w:r>
    </w:p>
    <w:p>
      <w:pPr>
        <w:spacing w:after="0" w:line="22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20" w:type="dxa"/>
            <w:vAlign w:val="bottom"/>
            <w:gridSpan w:val="5"/>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0"/>
        </w:trPr>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1"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1" w:lineRule="exact"/>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3"/>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5"/>
          </w:tcPr>
          <w:p>
            <w:pPr>
              <w:jc w:val="right"/>
              <w:ind w:right="540"/>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8,913</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$28,772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43,793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66,048</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$31,202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54,683</w:t>
            </w:r>
          </w:p>
        </w:tc>
        <w:tc>
          <w:tcPr>
            <w:tcW w:w="0" w:type="dxa"/>
            <w:vAlign w:val="bottom"/>
          </w:tcPr>
          <w:p>
            <w:pPr>
              <w:spacing w:after="0"/>
              <w:rPr>
                <w:sz w:val="1"/>
                <w:szCs w:val="1"/>
                <w:color w:val="auto"/>
              </w:rPr>
            </w:pPr>
          </w:p>
        </w:tc>
      </w:tr>
      <w:tr>
        <w:trPr>
          <w:trHeight w:val="21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(715)</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4"/>
        </w:trPr>
        <w:tc>
          <w:tcPr>
            <w:tcW w:w="4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3,541</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6,970</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22,193</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49,569</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26,679</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15,433</w:t>
            </w:r>
          </w:p>
        </w:tc>
        <w:tc>
          <w:tcPr>
            <w:tcW w:w="0" w:type="dxa"/>
            <w:vAlign w:val="bottom"/>
          </w:tcPr>
          <w:p>
            <w:pPr>
              <w:spacing w:after="0"/>
              <w:rPr>
                <w:sz w:val="1"/>
                <w:szCs w:val="1"/>
                <w:color w:val="auto"/>
              </w:rPr>
            </w:pPr>
          </w:p>
        </w:tc>
      </w:tr>
      <w:tr>
        <w:trPr>
          <w:trHeight w:val="214"/>
        </w:trPr>
        <w:tc>
          <w:tcPr>
            <w:tcW w:w="4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6,188</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10,931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8,555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16,930</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8,492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15,427</w:t>
            </w:r>
          </w:p>
        </w:tc>
        <w:tc>
          <w:tcPr>
            <w:tcW w:w="0" w:type="dxa"/>
            <w:vAlign w:val="bottom"/>
          </w:tcPr>
          <w:p>
            <w:pPr>
              <w:spacing w:after="0"/>
              <w:rPr>
                <w:sz w:val="1"/>
                <w:szCs w:val="1"/>
                <w:color w:val="auto"/>
              </w:rPr>
            </w:pPr>
          </w:p>
        </w:tc>
      </w:tr>
      <w:tr>
        <w:trPr>
          <w:trHeight w:val="214"/>
        </w:trPr>
        <w:tc>
          <w:tcPr>
            <w:tcW w:w="4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9,089</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9,099</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9,806</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13,573</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8,866</w:t>
            </w:r>
          </w:p>
        </w:tc>
        <w:tc>
          <w:tcPr>
            <w:tcW w:w="0" w:type="dxa"/>
            <w:vAlign w:val="bottom"/>
          </w:tcPr>
          <w:p>
            <w:pPr>
              <w:spacing w:after="0"/>
              <w:rPr>
                <w:sz w:val="1"/>
                <w:szCs w:val="1"/>
                <w:color w:val="auto"/>
              </w:rPr>
            </w:pPr>
          </w:p>
        </w:tc>
      </w:tr>
      <w:tr>
        <w:trPr>
          <w:trHeight w:val="214"/>
        </w:trPr>
        <w:tc>
          <w:tcPr>
            <w:tcW w:w="4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154</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2,967</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4"/>
        </w:trPr>
        <w:tc>
          <w:tcPr>
            <w:tcW w:w="4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4,877</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Cash bonuses to vested option holders </w:t>
            </w: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38,800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Financing related expenses </w:t>
            </w:r>
            <w:r>
              <w:rPr>
                <w:rFonts w:ascii="Times New Roman" w:cs="Times New Roman" w:eastAsia="Times New Roman" w:hAnsi="Times New Roman"/>
                <w:sz w:val="15"/>
                <w:szCs w:val="15"/>
                <w:color w:val="auto"/>
              </w:rPr>
              <w:t>(2)</w:t>
            </w: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463</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14"/>
        </w:trPr>
        <w:tc>
          <w:tcPr>
            <w:tcW w:w="4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Acquisition related expenses </w:t>
            </w: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142</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2,170</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14"/>
        </w:trPr>
        <w:tc>
          <w:tcPr>
            <w:tcW w:w="4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Stock based compensation </w:t>
            </w:r>
            <w:r>
              <w:rPr>
                <w:rFonts w:ascii="Times New Roman" w:cs="Times New Roman" w:eastAsia="Times New Roman" w:hAnsi="Times New Roman"/>
                <w:sz w:val="15"/>
                <w:szCs w:val="15"/>
                <w:color w:val="auto"/>
              </w:rPr>
              <w:t>(4)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3,747</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30,008</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62,956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127,634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5"/>
              </w:rPr>
              <w:t>159,629</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74,521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101,152</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160" w:type="dxa"/>
            <w:vAlign w:val="bottom"/>
            <w:tcBorders>
              <w:bottom w:val="single" w:sz="8" w:color="auto"/>
            </w:tcBorders>
          </w:tcPr>
          <w:p>
            <w:pPr>
              <w:spacing w:after="0"/>
              <w:rPr>
                <w:sz w:val="11"/>
                <w:szCs w:val="11"/>
                <w:color w:val="auto"/>
              </w:rPr>
            </w:pPr>
          </w:p>
        </w:tc>
        <w:tc>
          <w:tcPr>
            <w:tcW w:w="3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60" w:hanging="406"/>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Discretionary cash bonuses paid to vested option holders concurrent with our financings in 2017 and 2018.</w:t>
      </w:r>
    </w:p>
    <w:p>
      <w:pPr>
        <w:spacing w:after="0" w:line="24" w:lineRule="exact"/>
        <w:rPr>
          <w:rFonts w:ascii="Times New Roman" w:cs="Times New Roman" w:eastAsia="Times New Roman" w:hAnsi="Times New Roman"/>
          <w:sz w:val="16"/>
          <w:szCs w:val="16"/>
          <w:color w:val="auto"/>
        </w:rPr>
      </w:pPr>
    </w:p>
    <w:p>
      <w:pPr>
        <w:ind w:left="760" w:hanging="406"/>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Financing related expenses include third party fees related to proposed financings.</w:t>
      </w:r>
    </w:p>
    <w:p>
      <w:pPr>
        <w:spacing w:after="0" w:line="16" w:lineRule="exact"/>
        <w:rPr>
          <w:rFonts w:ascii="Times New Roman" w:cs="Times New Roman" w:eastAsia="Times New Roman" w:hAnsi="Times New Roman"/>
          <w:sz w:val="16"/>
          <w:szCs w:val="16"/>
          <w:color w:val="auto"/>
        </w:rPr>
      </w:pPr>
    </w:p>
    <w:p>
      <w:pPr>
        <w:ind w:left="760" w:right="500" w:hanging="406"/>
        <w:spacing w:after="0" w:line="261"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related expenses include third party fees for actual or planned acquisitions, including related legal, consulting and other expenditures, and retention bonuses to employees related to acquisitions.</w:t>
      </w:r>
    </w:p>
    <w:p>
      <w:pPr>
        <w:ind w:left="760" w:right="320" w:hanging="406"/>
        <w:spacing w:after="0" w:line="282"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Non-cash expenses related to equity-based compensation programs, which vary from period to period depending on various factors including the timing, number and the valuation of awards.</w:t>
      </w:r>
    </w:p>
    <w:p>
      <w:pPr>
        <w:spacing w:after="0" w:line="200" w:lineRule="exact"/>
        <w:rPr>
          <w:rFonts w:ascii="Times New Roman" w:cs="Times New Roman" w:eastAsia="Times New Roman" w:hAnsi="Times New Roman"/>
          <w:sz w:val="16"/>
          <w:szCs w:val="16"/>
          <w:color w:val="auto"/>
        </w:rPr>
      </w:pPr>
    </w:p>
    <w:p>
      <w:pPr>
        <w:spacing w:after="0" w:line="396" w:lineRule="exact"/>
        <w:rPr>
          <w:rFonts w:ascii="Times New Roman" w:cs="Times New Roman" w:eastAsia="Times New Roman" w:hAnsi="Times New Roman"/>
          <w:sz w:val="16"/>
          <w:szCs w:val="16"/>
          <w:color w:val="auto"/>
        </w:rPr>
      </w:pPr>
    </w:p>
    <w:p>
      <w:pPr>
        <w:ind w:left="5540" w:hanging="109"/>
        <w:spacing w:after="0"/>
        <w:tabs>
          <w:tab w:leader="none" w:pos="5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10880"/>
          </w:cols>
          <w:pgMar w:left="320" w:top="454" w:right="69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2" w:lineRule="exact"/>
        <w:rPr>
          <w:sz w:val="20"/>
          <w:szCs w:val="20"/>
          <w:color w:val="auto"/>
        </w:rPr>
      </w:pPr>
    </w:p>
    <w:p>
      <w:pPr>
        <w:ind w:left="180" w:right="20" w:firstLine="436"/>
        <w:spacing w:after="0" w:line="252"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and uncertainties described below, together with all of the other information in this prospectus, including the section titled “Management’s Discussion and Analysis of Financial Condition and Results of Operations” and our consolidated financial statements and the accompanying notes thereto included elsewhere in this prospectus before investing in our Class A common stock.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Class A common stock could decline and you could lose part or all of your investment.</w:t>
      </w:r>
    </w:p>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and Early Stage of Growth</w:t>
      </w:r>
    </w:p>
    <w:p>
      <w:pPr>
        <w:spacing w:after="0" w:line="114" w:lineRule="exact"/>
        <w:rPr>
          <w:sz w:val="20"/>
          <w:szCs w:val="20"/>
          <w:color w:val="auto"/>
        </w:rPr>
      </w:pPr>
    </w:p>
    <w:p>
      <w:pPr>
        <w:ind w:left="180" w:right="6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our evolving business make it difficult to evaluate our future prospects and the risks and challenges we may encounter.</w:t>
      </w:r>
    </w:p>
    <w:p>
      <w:pPr>
        <w:spacing w:after="0" w:line="52" w:lineRule="exact"/>
        <w:rPr>
          <w:sz w:val="20"/>
          <w:szCs w:val="20"/>
          <w:color w:val="auto"/>
        </w:rPr>
      </w:pPr>
    </w:p>
    <w:p>
      <w:pPr>
        <w:ind w:left="180" w:right="680" w:firstLine="436"/>
        <w:spacing w:after="0" w:line="277" w:lineRule="auto"/>
        <w:rPr>
          <w:sz w:val="20"/>
          <w:szCs w:val="20"/>
          <w:color w:val="auto"/>
        </w:rPr>
      </w:pPr>
      <w:r>
        <w:rPr>
          <w:rFonts w:ascii="Times New Roman" w:cs="Times New Roman" w:eastAsia="Times New Roman" w:hAnsi="Times New Roman"/>
          <w:sz w:val="18"/>
          <w:szCs w:val="18"/>
          <w:color w:val="auto"/>
        </w:rPr>
        <w:t>Our limited operating history and evolving business make it difficult to evaluate and assess the success of our business to date, our future prospects and the risks and challenges that we may encounter. These risks and challenges include our ability to:</w:t>
      </w:r>
    </w:p>
    <w:p>
      <w:pPr>
        <w:spacing w:after="0" w:line="70" w:lineRule="exact"/>
        <w:rPr>
          <w:sz w:val="20"/>
          <w:szCs w:val="20"/>
          <w:color w:val="auto"/>
        </w:rPr>
      </w:pPr>
    </w:p>
    <w:p>
      <w:pPr>
        <w:ind w:left="1140" w:right="580" w:hanging="432"/>
        <w:spacing w:after="0" w:line="277"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consumers to our platform and position our platform as an important way to make purchasing decisions for prescription medications and other healthcare products and services;</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our consumers and encourage them to continue to utilize our platform when purchasing healthcare products and services;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and existing consumers to rapidly adopt new offerings on our platform;</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consumers that use our subscription offerings or the number of subscription programs that we manage;</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and retain our consumers that subscribe to our subscription offerings, such as Gold and Kroger Savings;</w:t>
      </w:r>
    </w:p>
    <w:p>
      <w:pPr>
        <w:spacing w:after="0" w:line="126" w:lineRule="exact"/>
        <w:rPr>
          <w:rFonts w:ascii="Times New Roman" w:cs="Times New Roman" w:eastAsia="Times New Roman" w:hAnsi="Times New Roman"/>
          <w:sz w:val="18"/>
          <w:szCs w:val="18"/>
          <w:color w:val="auto"/>
        </w:rPr>
      </w:pPr>
    </w:p>
    <w:p>
      <w:pPr>
        <w:ind w:left="1140" w:right="1020" w:hanging="432"/>
        <w:spacing w:after="0" w:line="277"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industry players for inclusion in our platform, including pharmacies, pharmacy benefit managers, or PBMs, pharmaceutical manufacturers and telehealth providers;</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laws and regulations applicable to our business and in our industry;</w:t>
      </w:r>
    </w:p>
    <w:p>
      <w:pPr>
        <w:spacing w:after="0" w:line="126" w:lineRule="exact"/>
        <w:rPr>
          <w:rFonts w:ascii="Times New Roman" w:cs="Times New Roman" w:eastAsia="Times New Roman" w:hAnsi="Times New Roman"/>
          <w:sz w:val="18"/>
          <w:szCs w:val="18"/>
          <w:color w:val="auto"/>
        </w:rPr>
      </w:pPr>
    </w:p>
    <w:p>
      <w:pPr>
        <w:ind w:left="1140" w:right="360" w:hanging="432"/>
        <w:spacing w:after="0" w:line="277"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 changes in medication pricing and industry pricing benchmarks and changes in the markets in which we operate;</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challenges from existing and new competitors;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the value of our reputation and brand;</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our growth;</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 at all levels of our organization;</w:t>
      </w:r>
    </w:p>
    <w:p>
      <w:pPr>
        <w:spacing w:after="0" w:line="126" w:lineRule="exact"/>
        <w:rPr>
          <w:rFonts w:ascii="Times New Roman" w:cs="Times New Roman" w:eastAsia="Times New Roman" w:hAnsi="Times New Roman"/>
          <w:sz w:val="18"/>
          <w:szCs w:val="18"/>
          <w:color w:val="auto"/>
        </w:rPr>
      </w:pPr>
    </w:p>
    <w:p>
      <w:pPr>
        <w:ind w:left="1140" w:hanging="432"/>
        <w:spacing w:after="0" w:line="277"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the infrastructure underlying our platform, including our apps and websites, including with respect to data protection and cybersecurity; and</w:t>
      </w:r>
    </w:p>
    <w:p>
      <w:pPr>
        <w:spacing w:after="0" w:line="69" w:lineRule="exact"/>
        <w:rPr>
          <w:rFonts w:ascii="Times New Roman" w:cs="Times New Roman" w:eastAsia="Times New Roman" w:hAnsi="Times New Roman"/>
          <w:sz w:val="18"/>
          <w:szCs w:val="18"/>
          <w:color w:val="auto"/>
        </w:rPr>
      </w:pPr>
    </w:p>
    <w:p>
      <w:pPr>
        <w:ind w:left="1140" w:right="140" w:hanging="432"/>
        <w:spacing w:after="0" w:line="277"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update our platform, including expanding our platform and offerings into different healthcare products and services, develop and update our apps, features, offerings and services to benefit our consumers and enhance the consumer experience.</w:t>
      </w:r>
    </w:p>
    <w:p>
      <w:pPr>
        <w:spacing w:after="0" w:line="96"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ectPr>
          <w:pgSz w:w="11900" w:h="16838" w:orient="portrait"/>
          <w:cols w:equalWidth="0" w:num="1">
            <w:col w:w="11060"/>
          </w:cols>
          <w:pgMar w:left="320" w:top="454" w:right="51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firstLine="436"/>
        <w:spacing w:after="0" w:line="251" w:lineRule="auto"/>
        <w:rPr>
          <w:sz w:val="20"/>
          <w:szCs w:val="20"/>
          <w:color w:val="auto"/>
        </w:rPr>
      </w:pPr>
      <w:r>
        <w:rPr>
          <w:rFonts w:ascii="Times New Roman" w:cs="Times New Roman" w:eastAsia="Times New Roman" w:hAnsi="Times New Roman"/>
          <w:sz w:val="18"/>
          <w:szCs w:val="18"/>
          <w:color w:val="auto"/>
        </w:rPr>
        <w:t>If we fail to address the risks and difficulties that we face, including those associated with the challenges listed above and those described elsewhere in this “Risk Factors” section, our business, financial condition and results of operations could be adversely affected. Further, because we have limited historical financial data and our business continues to evolve and expand within the U.S. healthcare industry, any predictions about our future revenue and expenses may not be as accurate as they would be if we had a longer operating history, operated a more predictable business or operated in a less regulated industry. We have encountered in the past, and will encounter in the future, risks and uncertainties frequently experienced by growing companies with limited operating histories and evolving business that operate in highly regulated and competitive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would be adversely affected.</w:t>
      </w:r>
    </w:p>
    <w:p>
      <w:pPr>
        <w:spacing w:after="0" w:line="2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Our recent growth rates may not be sustainable or indicative of future growth and we expect our growth rate to slow.</w:t>
      </w:r>
    </w:p>
    <w:p>
      <w:pPr>
        <w:spacing w:after="0" w:line="118" w:lineRule="exact"/>
        <w:rPr>
          <w:sz w:val="20"/>
          <w:szCs w:val="20"/>
          <w:color w:val="auto"/>
        </w:rPr>
      </w:pPr>
    </w:p>
    <w:p>
      <w:pPr>
        <w:ind w:left="180" w:right="40" w:firstLine="436"/>
        <w:spacing w:after="0" w:line="251" w:lineRule="auto"/>
        <w:rPr>
          <w:sz w:val="20"/>
          <w:szCs w:val="20"/>
          <w:color w:val="auto"/>
        </w:rPr>
      </w:pPr>
      <w:r>
        <w:rPr>
          <w:rFonts w:ascii="Times New Roman" w:cs="Times New Roman" w:eastAsia="Times New Roman" w:hAnsi="Times New Roman"/>
          <w:sz w:val="18"/>
          <w:szCs w:val="18"/>
          <w:color w:val="auto"/>
        </w:rPr>
        <w:t>We have experienced significant growth since our founding in 2011. Revenue increased from $99.4 million for 2016 to $388.2 million for 2019 and from $173.2 million for the first half of 2019 to $256.7 million for the first half of 2020. Our historical rate of growth may not be sustainable or indicative of our future rate of growth. We believe that our continued growth in revenue, as well as our ability to improve or maintain margins and profitability, will depend upon, among other factors, our ability to address the challenges, risks and difficulties described elsewhere in this “Risk Factors” section and the extent to which our various offerings grow and contribute to our results of operations. We cannot provide assurance that we will be able to successfully manage any such challenges or risks to our future growth. In addition, our base of consumers may not continue to grow or may decline due to a variety of possible risks, including increased competition, changes in the regulatory landscape and the maturation of our business. Any of these factors could cause our revenue growth to decline and may adversely affect our margins and profitability. Failure to continue our revenue growth or improve margins would have a material adverse effect on our business, financial condition and results of operations. You should not rely on our historical rate of revenue growth as an indication of our future performance.</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vary and may fluctuate significantly from period-to-period.</w:t>
      </w:r>
    </w:p>
    <w:p>
      <w:pPr>
        <w:spacing w:after="0" w:line="118" w:lineRule="exact"/>
        <w:rPr>
          <w:sz w:val="20"/>
          <w:szCs w:val="20"/>
          <w:color w:val="auto"/>
        </w:rPr>
      </w:pPr>
    </w:p>
    <w:p>
      <w:pPr>
        <w:ind w:left="180" w:right="20" w:firstLine="436"/>
        <w:spacing w:after="0" w:line="251" w:lineRule="auto"/>
        <w:rPr>
          <w:sz w:val="20"/>
          <w:szCs w:val="20"/>
          <w:color w:val="auto"/>
        </w:rPr>
      </w:pPr>
      <w:r>
        <w:rPr>
          <w:rFonts w:ascii="Times New Roman" w:cs="Times New Roman" w:eastAsia="Times New Roman" w:hAnsi="Times New Roman"/>
          <w:sz w:val="18"/>
          <w:szCs w:val="18"/>
          <w:color w:val="auto"/>
        </w:rPr>
        <w:t>Our quarterly and annual results of operations have historically varied from period-to-period and we expect that our results of operations will continue to do so for a variety of reasons, many of which are outside of our control and are difficult to predict. We have presented many of the factors that may cause our results of operations to fluctuate in this “Risk Factors” section, including the extent to which our various offerings, such as our telehealth offerings, grow and contribute to our results of operations. In addition, we typically experience stronger consumer demand during the first and fourth quarters of each year, which coincide with generally higher consumer healthcare spending, doctor office visits, annual benefit enrollment season and seasonal cold and flu trends. The rapid growth of our business may have masked these trends to date, and we expect the impact of seasonality to be more pronounced in the future. The cumulative effects of such factors could result in large fluctuations and unpredictability in our quarterly and annual results of operations. As a result, comparing our results of operations on a period-to-period basis may not be meaningful and investors should not rely on our past results as an indication of our future performance.</w:t>
      </w:r>
    </w:p>
    <w:p>
      <w:pPr>
        <w:spacing w:after="0" w:line="189" w:lineRule="exact"/>
        <w:rPr>
          <w:sz w:val="20"/>
          <w:szCs w:val="20"/>
          <w:color w:val="auto"/>
        </w:rPr>
      </w:pPr>
    </w:p>
    <w:p>
      <w:pPr>
        <w:ind w:left="180" w:right="100" w:firstLine="436"/>
        <w:spacing w:after="0" w:line="257"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results of operations fall below the expectations of analysts or investors or below any guidance we may provide, or if the guidance we provide is below the expectations of analysts or investors, the price of our Class A common stock could decline substantially. Such a stock price decline could occur even when we have met any previously publicly stated guidance we may provide.</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4" w:right="4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future growth effectively, which could make it difficult to execute our business strategy.</w:t>
      </w:r>
    </w:p>
    <w:p>
      <w:pPr>
        <w:spacing w:after="0" w:line="118" w:lineRule="exact"/>
        <w:rPr>
          <w:sz w:val="20"/>
          <w:szCs w:val="20"/>
          <w:color w:val="auto"/>
        </w:rPr>
      </w:pPr>
    </w:p>
    <w:p>
      <w:pPr>
        <w:ind w:left="180" w:firstLine="436"/>
        <w:spacing w:after="0" w:line="250" w:lineRule="auto"/>
        <w:rPr>
          <w:sz w:val="20"/>
          <w:szCs w:val="20"/>
          <w:color w:val="auto"/>
        </w:rPr>
      </w:pPr>
      <w:r>
        <w:rPr>
          <w:rFonts w:ascii="Times New Roman" w:cs="Times New Roman" w:eastAsia="Times New Roman" w:hAnsi="Times New Roman"/>
          <w:sz w:val="18"/>
          <w:szCs w:val="18"/>
          <w:color w:val="auto"/>
        </w:rPr>
        <w:t>Since 2011, we have experienced rapid growth in our business operations and the number of consumers that use our offerings, and we may continue to experience growth in the future. For example, the number of our full-time employees increased from 137 as of December 31, 2017 to 338 as of June 30, 2020, and the number of Monthly Active Consumers has increased from 1.3 million for the first quarter of 2017 to 4.4 million for the second quarter of 2020. This growth has placed, and may continue to place, significant demands on our management and our operational and financial infrastructure. Our ability to manage our growth effectively and to integrate new employees, technologies and acquisitions into our existing business will require us to continue to expand our operational and financial infrastructure and to continue to retain, attract, train, motivate and manage employees. Management of growth is particularly difficult as employees work from home as a result of the COVID-19 pandemic. Continued growth could strain our ability to develop and improve our operational, financial and management controls, enhance our reporting systems and procedures, recruit, train and retain highly skilled personnel and maintain consumer satisfaction. Additionally, if we do not effectively manage the growth of our business and operations, the quality of our platform and offerings could suffer, which could negatively affect our reputation and brand, business, financial condition and results of operations.</w:t>
      </w:r>
    </w:p>
    <w:p>
      <w:pPr>
        <w:spacing w:after="0" w:line="2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lower margins as HeyDoctor continues to grow as a portion of our overall business.</w:t>
      </w:r>
    </w:p>
    <w:p>
      <w:pPr>
        <w:spacing w:after="0" w:line="118" w:lineRule="exact"/>
        <w:rPr>
          <w:sz w:val="20"/>
          <w:szCs w:val="20"/>
          <w:color w:val="auto"/>
        </w:rPr>
      </w:pPr>
    </w:p>
    <w:p>
      <w:pPr>
        <w:ind w:left="180" w:right="240" w:firstLine="436"/>
        <w:spacing w:after="0" w:line="252" w:lineRule="auto"/>
        <w:rPr>
          <w:sz w:val="20"/>
          <w:szCs w:val="20"/>
          <w:color w:val="auto"/>
        </w:rPr>
      </w:pPr>
      <w:r>
        <w:rPr>
          <w:rFonts w:ascii="Times New Roman" w:cs="Times New Roman" w:eastAsia="Times New Roman" w:hAnsi="Times New Roman"/>
          <w:sz w:val="18"/>
          <w:szCs w:val="18"/>
          <w:color w:val="auto"/>
        </w:rPr>
        <w:t>HeyDoctor, which we launched in 2019, has experienced significant growth and we expect it to continue to grow in the future. However, the telehealth market is rapidly developing and is subject to significant price competition, and we may be unable to achieve satisfactory prices for our HeyDoctor offering or maintain prices at competitive levels. Due in part to this price competition, HeyDoctor currently generates lower margins than our other offerings. If we are unable to maintain our prices, or if our costs increase and we are unable to offset such increase with an increase in our prices, our margins could decline. In addition, as HeyDoctor continues to grow as a portion of our overall business, we expect such growth to have an adverse impact on our margins. We will continue to be subject to significant pricing pressure, and expect that HeyDoctor will continue to grow as a source of revenue, which would likely have a material adverse effect on our margins.</w:t>
      </w:r>
    </w:p>
    <w:p>
      <w:pPr>
        <w:spacing w:after="0" w:line="2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achieving broad market education and changing consumer purchasing habits.</w:t>
      </w:r>
    </w:p>
    <w:p>
      <w:pPr>
        <w:spacing w:after="0" w:line="118" w:lineRule="exact"/>
        <w:rPr>
          <w:sz w:val="20"/>
          <w:szCs w:val="20"/>
          <w:color w:val="auto"/>
        </w:rPr>
      </w:pPr>
    </w:p>
    <w:p>
      <w:pPr>
        <w:ind w:left="180" w:right="20" w:firstLine="436"/>
        <w:spacing w:after="0" w:line="250" w:lineRule="auto"/>
        <w:rPr>
          <w:sz w:val="20"/>
          <w:szCs w:val="20"/>
          <w:color w:val="auto"/>
        </w:rPr>
      </w:pPr>
      <w:r>
        <w:rPr>
          <w:rFonts w:ascii="Times New Roman" w:cs="Times New Roman" w:eastAsia="Times New Roman" w:hAnsi="Times New Roman"/>
          <w:sz w:val="18"/>
          <w:szCs w:val="18"/>
          <w:color w:val="auto"/>
        </w:rPr>
        <w:t>Our success and future growth largely depend on our ability to increase consumer awareness of our platform and offerings, and on the willingness of consumers to utilize our platform to access information, discounted prices for prescription medications and other healthcare products and services, including telehealth services. We believe the vast majority of consumers make purchasing decisions for healthcare products and services on the basis of traditional factors, such as insurance coverage, availability at nearby pharmacies and availability of nearby medical testing. This traditional decision-making process does not always account for restrictive and complex insurance plans, high deductibles, expensive co-pays and other factors, such as discounts or savings available at alternative pharmacies or practices. To effectively market our platform, we must educate consumers about the various purchase options and the benefits of using GoodRx codes when purchasing prescription medications and other healthcare products and services without using their health insurance benefits. We focus our marketing and education efforts on consumers, but also aim to educate and inform healthcare providers, pharmacists and other participants that interact with consumers, including at the point of purchase. However, we cannot assure you that we will be successful in changing consumer purchasing habits or that we will achieve broad market education or awareness among consumers. Even if we are able to raise awareness among consumers, they may be slow in changing their habits and may be hesitant to use our platform for a variety of reasons, including:</w:t>
      </w:r>
    </w:p>
    <w:p>
      <w:pPr>
        <w:spacing w:after="0" w:line="98" w:lineRule="exact"/>
        <w:rPr>
          <w:sz w:val="20"/>
          <w:szCs w:val="20"/>
          <w:color w:val="auto"/>
        </w:rPr>
      </w:pPr>
    </w:p>
    <w:p>
      <w:pPr>
        <w:ind w:left="1140" w:hanging="43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company and platform, and concerns that we are relatively new to the industry;</w:t>
      </w:r>
    </w:p>
    <w:p>
      <w:pPr>
        <w:spacing w:after="0" w:line="153"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ectPr>
          <w:pgSz w:w="11900" w:h="16838" w:orient="portrait"/>
          <w:cols w:equalWidth="0" w:num="1">
            <w:col w:w="11080"/>
          </w:cols>
          <w:pgMar w:left="320" w:top="454" w:right="49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140" w:right="580" w:hanging="432"/>
        <w:spacing w:after="0" w:line="277"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health, safety or quality risks associated with the use of a new platform and applications to shop for discounted prices for prescription medications;</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awareness that there is a disparity of pricing for prescription medicines and other medical products and services;</w:t>
      </w:r>
    </w:p>
    <w:p>
      <w:pPr>
        <w:spacing w:after="0" w:line="126" w:lineRule="exact"/>
        <w:rPr>
          <w:rFonts w:ascii="Times New Roman" w:cs="Times New Roman" w:eastAsia="Times New Roman" w:hAnsi="Times New Roman"/>
          <w:sz w:val="18"/>
          <w:szCs w:val="18"/>
          <w:color w:val="auto"/>
        </w:rPr>
      </w:pPr>
    </w:p>
    <w:p>
      <w:pPr>
        <w:ind w:left="1140" w:right="440" w:hanging="432"/>
        <w:spacing w:after="0" w:line="277"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that our platform does not provide adequate discounted prices or only offers savings for a limited selection of prescription medications;</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that discounted prices offered through our platform are less competitive than insurance coverage;</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regarding acceptance rates of pharmacies for our GoodRx codes available through our platform;</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or existing relationships with pharmacies, pharmacists or other providers that sell healthcare products and services;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about the privacy and security of the data that consumers share with or through our platform;</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negative selling efforts from competitors, including competing platforms and price matching programs; and</w:t>
      </w:r>
    </w:p>
    <w:p>
      <w:pPr>
        <w:spacing w:after="0" w:line="126" w:lineRule="exact"/>
        <w:rPr>
          <w:rFonts w:ascii="Times New Roman" w:cs="Times New Roman" w:eastAsia="Times New Roman" w:hAnsi="Times New Roman"/>
          <w:sz w:val="18"/>
          <w:szCs w:val="18"/>
          <w:color w:val="auto"/>
        </w:rPr>
      </w:pPr>
    </w:p>
    <w:p>
      <w:pPr>
        <w:ind w:left="1140" w:right="580" w:hanging="432"/>
        <w:spacing w:after="0" w:line="277"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regarding the time and complexity of using our platform or using and applying our GoodRx codes available through our platform at the point of purchase.</w:t>
      </w:r>
    </w:p>
    <w:p>
      <w:pPr>
        <w:spacing w:after="0" w:line="163" w:lineRule="exact"/>
        <w:rPr>
          <w:sz w:val="20"/>
          <w:szCs w:val="20"/>
          <w:color w:val="auto"/>
        </w:rPr>
      </w:pPr>
    </w:p>
    <w:p>
      <w:pPr>
        <w:ind w:left="180" w:right="500" w:firstLine="436"/>
        <w:spacing w:after="0" w:line="308" w:lineRule="auto"/>
        <w:rPr>
          <w:sz w:val="20"/>
          <w:szCs w:val="20"/>
          <w:color w:val="auto"/>
        </w:rPr>
      </w:pPr>
      <w:r>
        <w:rPr>
          <w:rFonts w:ascii="Times New Roman" w:cs="Times New Roman" w:eastAsia="Times New Roman" w:hAnsi="Times New Roman"/>
          <w:sz w:val="17"/>
          <w:szCs w:val="17"/>
          <w:color w:val="auto"/>
        </w:rPr>
        <w:t>If we fail to achieve broad market education of our platform and/or the options for purchasing healthcare products and services, or if we are unsuccessful in changing consumer purchasing habits, our business, financial condition and results of operations would be adversely affected.</w:t>
      </w:r>
    </w:p>
    <w:p>
      <w:pPr>
        <w:spacing w:after="0" w:line="2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continue to attract, acquire and retain consumers, or may fail to do so in a cost-effective manner.</w:t>
      </w:r>
    </w:p>
    <w:p>
      <w:pPr>
        <w:spacing w:after="0" w:line="118" w:lineRule="exact"/>
        <w:rPr>
          <w:sz w:val="20"/>
          <w:szCs w:val="20"/>
          <w:color w:val="auto"/>
        </w:rPr>
      </w:pPr>
    </w:p>
    <w:p>
      <w:pPr>
        <w:ind w:left="180" w:firstLine="436"/>
        <w:spacing w:after="0" w:line="249" w:lineRule="auto"/>
        <w:rPr>
          <w:sz w:val="20"/>
          <w:szCs w:val="20"/>
          <w:color w:val="auto"/>
        </w:rPr>
      </w:pPr>
      <w:r>
        <w:rPr>
          <w:rFonts w:ascii="Times New Roman" w:cs="Times New Roman" w:eastAsia="Times New Roman" w:hAnsi="Times New Roman"/>
          <w:sz w:val="18"/>
          <w:szCs w:val="18"/>
          <w:color w:val="auto"/>
        </w:rPr>
        <w:t>Our success depends in part on our ability to cost-effectively attract and acquire new consumers, retain our existing consumers and encourage our consumers to continue to utilize our platform when making purchasing decisions for prescription medications and other healthcare products and services. To expand our base of consumers, we must appeal to consumers who have historically used traditional outlets for their healthcare products and services, and who may be unaware of the possibility or benefits of using discounted prices to purchase healthcare products and services outside of insurance programs. We have made significant investments related to consumer acquisition and expect to continue to spend significant amounts to acquire additional consumers. For example, spending on advertising was $28 million, $57 million, $71 million, $89 million and $164 million in 2015, 2016, 2017, 2018 and 2019, respectively, representing a CAGR of 55% from 2015 to 2019. Advertising spending was $37 million, $35 million, $42 million, $50 million, $58 million and $46 million in the first, second, third and fourth quarters of 2019, and the first and second quarters of 2020, respectively. We increased our expenditures on advertising by $74.4 million in 2019, and we expect to continue to invest in sales and marketing in the near term. We cannot assure you that this spending will be effective or that revenue from new consumers that we acquire will ultimately exceed the cost of acquiring those consumers. If we fail to deliver reliable and significant discounted prices for prescription medications, we may be unable to acquire or retain consumers. If we are unable to acquire or retain consumers who use our platform in volumes and with recurrence sufficient to grow our business, we may be unable to maintain the scale necessary for operational efficiency and to drive beneficial and self-reinforcing network effects across the broader healthcare ecosystem, including pharmacies, PBMs, pharmaceutical manufacturers and telehealth providers. Consequently, we may not be able to present the same quality or range of solutions on our platform or otherwise, which may adversely impact consumer interest in our platform, in which case our business, financial condition and results of operations would be adversely affected.</w:t>
      </w:r>
    </w:p>
    <w:p>
      <w:pPr>
        <w:spacing w:after="0" w:line="197" w:lineRule="exact"/>
        <w:rPr>
          <w:sz w:val="20"/>
          <w:szCs w:val="20"/>
          <w:color w:val="auto"/>
        </w:rPr>
      </w:pPr>
    </w:p>
    <w:p>
      <w:pPr>
        <w:ind w:left="180" w:right="280" w:firstLine="436"/>
        <w:spacing w:after="0" w:line="277" w:lineRule="auto"/>
        <w:rPr>
          <w:sz w:val="20"/>
          <w:szCs w:val="20"/>
          <w:color w:val="auto"/>
        </w:rPr>
      </w:pPr>
      <w:r>
        <w:rPr>
          <w:rFonts w:ascii="Times New Roman" w:cs="Times New Roman" w:eastAsia="Times New Roman" w:hAnsi="Times New Roman"/>
          <w:sz w:val="18"/>
          <w:szCs w:val="18"/>
          <w:color w:val="auto"/>
        </w:rPr>
        <w:t>We believe that our paid and non-paid marketing initiatives have been critical in promoting consumer awareness of our platform and offerings, which in turn has driven new consumer growth and increased the extent</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60"/>
          </w:cols>
          <w:pgMar w:left="320" w:top="454" w:right="51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40"/>
        <w:spacing w:after="0" w:line="249" w:lineRule="auto"/>
        <w:rPr>
          <w:sz w:val="20"/>
          <w:szCs w:val="20"/>
          <w:color w:val="auto"/>
        </w:rPr>
      </w:pPr>
      <w:r>
        <w:rPr>
          <w:rFonts w:ascii="Times New Roman" w:cs="Times New Roman" w:eastAsia="Times New Roman" w:hAnsi="Times New Roman"/>
          <w:sz w:val="18"/>
          <w:szCs w:val="18"/>
          <w:color w:val="auto"/>
        </w:rPr>
        <w:t>to which existing consumers have used our platform. Our paid marketing initiatives include television, search engine marketing, mail to consumers and healthcare provider offices, email, display, radio and magazine advertising and social media marketing. For example, we actively market our platform and offerings through television and we rely on direct mail to distribute marketing materials to consumers. If we are unable to cost-effectively market to consumers and drive traffic to our apps and websites, our ability to acquire new consumers and our financial condition would be materially and adversely affected. We also buy search advertising primarily through search engines such as Google and Bing, and use internal analytics and external vendors for bid optimization and channel strategy. Our non-paid advertising efforts include search engine optimization, non-paid social media and e-mail marketing. Search engines frequently modify their search algorithms and these changes can cause our websites to receive less favorable placements, which could reduce the number of consumers who visit our websites. The costs associated with advertising through search engines can also vary significantly from period to period, and have generally increased over time. We may be unable to modify our strategies in response to any future search algorithm changes made by the search engines, which could require a change in the strategy we use to generate consumer traffic to our websites. In addition, our websites must comply with search engine guidelines and policies, which are complex and may change at any time. If we fail to follow such guidelines and policies properly, search engines may rank our content lower in search results or could remove our content altogether from their indices. Although consumer traffic to our apps is not reliant on search results, growth in mobile device usage may not decrease our overall reliance on search results if consumers use our mobile websites rather than our apps or use search to initially find our apps. In fact, growth in mobile device usage may exacerbate the risks associated with how and where our websites are displayed in search results because mobile device screens are smaller than desktop computer screens and therefore display fewer search results.</w:t>
      </w:r>
    </w:p>
    <w:p>
      <w:pPr>
        <w:spacing w:after="0" w:line="198" w:lineRule="exact"/>
        <w:rPr>
          <w:sz w:val="20"/>
          <w:szCs w:val="20"/>
          <w:color w:val="auto"/>
        </w:rPr>
      </w:pPr>
    </w:p>
    <w:p>
      <w:pPr>
        <w:jc w:val="both"/>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In addition, we actively encourage new and existing consumers to use our apps to access our platform. We believe that our apps help to facilitate increased consumer retention and that consumers that access our platform through our apps are more likely to utilize GoodRx codes at the final point of purchase. While we have invested and will continue to invest in the development of our apps to improve consumer utilization, there can be no assurance that our efforts to drive adoption and use of our apps will be effective.</w:t>
      </w:r>
    </w:p>
    <w:p>
      <w:pPr>
        <w:spacing w:after="0" w:line="182" w:lineRule="exact"/>
        <w:rPr>
          <w:sz w:val="20"/>
          <w:szCs w:val="20"/>
          <w:color w:val="auto"/>
        </w:rPr>
      </w:pPr>
    </w:p>
    <w:p>
      <w:pPr>
        <w:ind w:left="180" w:firstLine="436"/>
        <w:spacing w:after="0" w:line="255" w:lineRule="auto"/>
        <w:rPr>
          <w:sz w:val="20"/>
          <w:szCs w:val="20"/>
          <w:color w:val="auto"/>
        </w:rPr>
      </w:pPr>
      <w:r>
        <w:rPr>
          <w:rFonts w:ascii="Times New Roman" w:cs="Times New Roman" w:eastAsia="Times New Roman" w:hAnsi="Times New Roman"/>
          <w:sz w:val="18"/>
          <w:szCs w:val="18"/>
          <w:color w:val="auto"/>
        </w:rPr>
        <w:t>Our consumer education, acquisition and retention initiatives can be expensive and may be ineffective in driving consumer education or interest in our platform. Further, if new or existing consumers do not perceive that the discounted prices presented through our platform are reliable or meaningful, or if we fail to offer new and relevant offerings and application features, we may not be able to attract or retain consumers or increase the extent to which they use our platform and applications for other or future purchases. If we fail to continue to grow our base of consumers, retain existing consumers or increase consumer engagement, our business, financial condition and results of operations would be adversely affected.</w:t>
      </w:r>
    </w:p>
    <w:p>
      <w:pPr>
        <w:spacing w:after="0" w:line="286" w:lineRule="exact"/>
        <w:rPr>
          <w:sz w:val="20"/>
          <w:szCs w:val="20"/>
          <w:color w:val="auto"/>
        </w:rPr>
      </w:pPr>
    </w:p>
    <w:p>
      <w:pPr>
        <w:ind w:left="180" w:right="20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our prescription offering and may not be successful in expanding our offerings within our markets, particularly the U.S. prescriptions market, or to other segments of the healthcare industry.</w:t>
      </w:r>
    </w:p>
    <w:p>
      <w:pPr>
        <w:spacing w:after="0" w:line="52" w:lineRule="exact"/>
        <w:rPr>
          <w:sz w:val="20"/>
          <w:szCs w:val="20"/>
          <w:color w:val="auto"/>
        </w:rPr>
      </w:pPr>
    </w:p>
    <w:p>
      <w:pPr>
        <w:ind w:left="180" w:firstLine="436"/>
        <w:spacing w:after="0" w:line="267" w:lineRule="auto"/>
        <w:rPr>
          <w:sz w:val="20"/>
          <w:szCs w:val="20"/>
          <w:color w:val="auto"/>
        </w:rPr>
      </w:pPr>
      <w:r>
        <w:rPr>
          <w:rFonts w:ascii="Times New Roman" w:cs="Times New Roman" w:eastAsia="Times New Roman" w:hAnsi="Times New Roman"/>
          <w:sz w:val="17"/>
          <w:szCs w:val="17"/>
          <w:color w:val="auto"/>
        </w:rPr>
        <w:t>To date, the vast majority of our revenue has been, and we expect it to continue to substantially be, derived from our prescription offering. When a consumer uses a GoodRx code to fill a prescription and saves money compared to the list price at that pharmacy, we receive fees from our partners, primarily PBMs. Revenue from our prescription offering represented 97% and 94% of our revenue for 2018 and 2019, respectively, and 95% and 91% for the first half of 2019 and 2020, respectively. Substantially all of this revenue was generated from consumer transactions at brick and mortar pharmacies. In addition, we have experienced a significant increase in revenue generated by our telehealth offerings. The introduction of competing offerings with lower prices for consumers, fluctuations in prescription prices, changes in consumer purchasing habits, including an increase in the use of mail-order prescriptions, changes in the regulatory landscape, and other factors could result in changes to our contracts or a decline in our revenue, which may have an adverse effect on our business, financial condition and results of operations. Because we derive a vast majority of our revenue from our prescription offering, any material decline in the use of such offering or in the fees we receive from our partners in connection with such offering would have a pronounced impact on our future revenue and results of operations, particularly if we are unable to expand our offerings overall.</w:t>
      </w:r>
    </w:p>
    <w:p>
      <w:pPr>
        <w:spacing w:after="0" w:line="1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40"/>
          </w:cols>
          <w:pgMar w:left="320" w:top="454" w:right="5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20" w:firstLine="436"/>
        <w:spacing w:after="0" w:line="265" w:lineRule="auto"/>
        <w:rPr>
          <w:sz w:val="20"/>
          <w:szCs w:val="20"/>
          <w:color w:val="auto"/>
        </w:rPr>
      </w:pPr>
      <w:r>
        <w:rPr>
          <w:rFonts w:ascii="Times New Roman" w:cs="Times New Roman" w:eastAsia="Times New Roman" w:hAnsi="Times New Roman"/>
          <w:sz w:val="17"/>
          <w:szCs w:val="17"/>
          <w:color w:val="auto"/>
        </w:rPr>
        <w:t>We seek to expand our offerings within the prescriptions market, the pharmaceutical manufacturer solutions market and the telehealth market in the United States. For example, within the prescriptions market, we developed our subscription offerings, Gold and Kroger Savings in 2017 and 2018, respectively. Additionally, we have expanded into the pharmaceutical manufacturer solutions markets with our pharmaceutical manufacturer solutions offering. We have also expanded into the telehealth market through our acquisition and integration of HeyDoctor in 2019 and the launch of the GoodRx Telehealth Marketplace, which is a marketplace designed to bring third party providers to our ecosystem so that we can provide consumers with a breadth of services in a single platform, in 2020. We are actively investing in each of these growth areas. However, expanding our offerings and entering into new markets requires substantial additional resources, and our ability to succeed is not certain. During and following periods of active investment, we may experience a decrease in profitability or margins, particularly if the area of investment generates lower margins than our other offerings. For example, HeyDoctor generates substantially lower margins than our other offerings and we expect that it will continue to do so for the foreseeable future. As we expand our offerings, we will need to take additional steps, such as hiring additional personnel, partnering with new third parties and incurring considerable research and development expenses, in order to pursue such an expansion successfully. Any such expansion would be subject to additional uncertainties and would likely be subject to additional laws and regulations. As a result, we may not be successful in future efforts to expand into or achieve profitability from new markets, new business models or strategies or new offering types, and our ability to generate revenue from our current offerings and continue our existing business may be negatively affected. If any such expansion does not enhance our ability to maintain or grow revenue or recover any associated development costs, our business, financial condition and results of operations could be adversely affected.</w:t>
      </w:r>
    </w:p>
    <w:p>
      <w:pPr>
        <w:spacing w:after="0" w:line="285" w:lineRule="exact"/>
        <w:rPr>
          <w:sz w:val="20"/>
          <w:szCs w:val="20"/>
          <w:color w:val="auto"/>
        </w:rPr>
      </w:pPr>
    </w:p>
    <w:p>
      <w:pPr>
        <w:ind w:left="180" w:right="94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changes in medication pricing and is significantly impacted by pricing structures negotiated by industry participants.</w:t>
      </w:r>
    </w:p>
    <w:p>
      <w:pPr>
        <w:spacing w:after="0" w:line="52" w:lineRule="exact"/>
        <w:rPr>
          <w:sz w:val="20"/>
          <w:szCs w:val="20"/>
          <w:color w:val="auto"/>
        </w:rPr>
      </w:pPr>
    </w:p>
    <w:p>
      <w:pPr>
        <w:ind w:left="180" w:firstLine="436"/>
        <w:spacing w:after="0" w:line="252" w:lineRule="auto"/>
        <w:rPr>
          <w:sz w:val="20"/>
          <w:szCs w:val="20"/>
          <w:color w:val="auto"/>
        </w:rPr>
      </w:pPr>
      <w:r>
        <w:rPr>
          <w:rFonts w:ascii="Times New Roman" w:cs="Times New Roman" w:eastAsia="Times New Roman" w:hAnsi="Times New Roman"/>
          <w:sz w:val="18"/>
          <w:szCs w:val="18"/>
          <w:color w:val="auto"/>
        </w:rPr>
        <w:t>Our platform aggregates and analyzes pricing data from a number of different sources. The discounted prices that we present through our platform are based in large part upon pricing structures negotiated by industry participants. We do not control the pricing strategies of pharmaceutical manufacturers, wholesalers, PBMs and pharmacies, each of which is motivated by independent considerations and drivers that are outside our control and has the ability to set or significantly impact market prices for different prescription medications. While we have contractual and non-contractual relationships with certain industry participants, such as pharmacies, PBMs and pharmaceutical manufacturers, these and other industry participants often negotiate complex and multi-party pricing structures, and we have no control over these participants and the policies and strategies that they implement in negotiating these pricing structures.</w:t>
      </w:r>
    </w:p>
    <w:p>
      <w:pPr>
        <w:spacing w:after="0" w:line="189" w:lineRule="exact"/>
        <w:rPr>
          <w:sz w:val="20"/>
          <w:szCs w:val="20"/>
          <w:color w:val="auto"/>
        </w:rPr>
      </w:pPr>
    </w:p>
    <w:p>
      <w:pPr>
        <w:ind w:left="180" w:right="160" w:firstLine="436"/>
        <w:spacing w:after="0" w:line="251" w:lineRule="auto"/>
        <w:rPr>
          <w:sz w:val="20"/>
          <w:szCs w:val="20"/>
          <w:color w:val="auto"/>
        </w:rPr>
      </w:pPr>
      <w:r>
        <w:rPr>
          <w:rFonts w:ascii="Times New Roman" w:cs="Times New Roman" w:eastAsia="Times New Roman" w:hAnsi="Times New Roman"/>
          <w:sz w:val="18"/>
          <w:szCs w:val="18"/>
          <w:color w:val="auto"/>
        </w:rPr>
        <w:t>Pharmaceutical manufacturers generally direct medication pricing by setting medication list prices and offering rebates and discounts for their medications. List prices are impacted by, among other things, market considerations such as the number of competitor medications and availability of alternative treatment options. Wholesalers can impact medication pricing by purchasing medications in bulk from pharmaceutical manufacturers and then reselling such medications to pharmacies. PBMs generally impact medication pricing through their bargaining power, negotiated rebates with pharmaceutical manufacturers and contracts with different pharmacy providers and health insurance companies. PBMs work with pharmacies to determine the negotiated rate that will be paid at the pharmacy by consumers. Medication pricing is also impacted by health insurance companies and the extent to which a health insurance plan provides for, among other things, covered medications, preferred tiers for different medications and high or low deductibles. Approximately 90% of the total prescription volume and 26% of prescription spending in the United States was for generic forms of medication in 2018, with the remainder being brand medications, according to a report by the IQVIA Institute. Similar to the total prescription volume in the United States, a vast majority of the utilization of our platform relates to generic medications.</w:t>
      </w:r>
    </w:p>
    <w:p>
      <w:pPr>
        <w:spacing w:after="0" w:line="186" w:lineRule="exact"/>
        <w:rPr>
          <w:sz w:val="20"/>
          <w:szCs w:val="20"/>
          <w:color w:val="auto"/>
        </w:rPr>
      </w:pPr>
    </w:p>
    <w:p>
      <w:pPr>
        <w:ind w:left="180" w:right="240" w:firstLine="436"/>
        <w:spacing w:after="0" w:line="262" w:lineRule="auto"/>
        <w:rPr>
          <w:sz w:val="20"/>
          <w:szCs w:val="20"/>
          <w:color w:val="auto"/>
        </w:rPr>
      </w:pPr>
      <w:r>
        <w:rPr>
          <w:rFonts w:ascii="Times New Roman" w:cs="Times New Roman" w:eastAsia="Times New Roman" w:hAnsi="Times New Roman"/>
          <w:sz w:val="18"/>
          <w:szCs w:val="18"/>
          <w:color w:val="auto"/>
        </w:rPr>
        <w:t>Our ability to present discounted prices through our platform, the value of any such discounts and our ability to generate revenue are directly affected by the pricing structures in place amongst these industry participants, and changes in medication pricing and in the general pricing structures that are in place could have an adverse</w:t>
      </w:r>
    </w:p>
    <w:p>
      <w:pPr>
        <w:spacing w:after="0" w:line="1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60"/>
          </w:cols>
          <w:pgMar w:left="320" w:top="454" w:right="51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140"/>
        <w:spacing w:after="0" w:line="266" w:lineRule="auto"/>
        <w:rPr>
          <w:sz w:val="20"/>
          <w:szCs w:val="20"/>
          <w:color w:val="auto"/>
        </w:rPr>
      </w:pPr>
      <w:r>
        <w:rPr>
          <w:rFonts w:ascii="Times New Roman" w:cs="Times New Roman" w:eastAsia="Times New Roman" w:hAnsi="Times New Roman"/>
          <w:sz w:val="17"/>
          <w:szCs w:val="17"/>
          <w:color w:val="auto"/>
        </w:rPr>
        <w:t>effect on our business, financial condition and results of operations. For example, changes in the negotiated rates of the PBMs on our platform at pharmacies could negatively impact the prices that we present through our platform, and changes in insurance plan coverage for specific medications could reduce demand for and/or our ability to offer competitive discounts for certain medications, any of which could have an adverse effect on our ability to generate revenue and business. In addition, changes in the fee and pricing structures among industry participants, whether due to regulatory requirements, competitive pressures or otherwise, that reduce or adversely impact fees generated by PBMs would have an adverse effect on our ability to generate revenue and business. Due in part to existing pricing structures, we generate a small portion of our revenue through contracts with pharmaceutical manufacturers and other intermediaries. Changes in the roles of industry participants and in general pricing structures, as well as price competition among industry participants, could have an adverse impact on our business. For example, integration of PBMs and pharmacy providers could result in pricing structures whereby such entities would have greater pricing power and flexibility or industry players could implement direct to consumer initiatives that could significantly alter existing pricing structures, either of which would have an adverse impact on our ability to present competitive and low prices to consumers and, as a result, the value of our platform for consumers and our results of operations.</w:t>
      </w:r>
    </w:p>
    <w:p>
      <w:pPr>
        <w:spacing w:after="0" w:line="2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generally do not control the categories and types of prescriptions for which we can offer savings or discounted prices.</w:t>
      </w:r>
    </w:p>
    <w:p>
      <w:pPr>
        <w:spacing w:after="0" w:line="118" w:lineRule="exact"/>
        <w:rPr>
          <w:sz w:val="20"/>
          <w:szCs w:val="20"/>
          <w:color w:val="auto"/>
        </w:rPr>
      </w:pPr>
    </w:p>
    <w:p>
      <w:pPr>
        <w:ind w:left="180" w:right="20" w:firstLine="436"/>
        <w:spacing w:after="0" w:line="251" w:lineRule="auto"/>
        <w:rPr>
          <w:sz w:val="20"/>
          <w:szCs w:val="20"/>
          <w:color w:val="auto"/>
        </w:rPr>
      </w:pPr>
      <w:r>
        <w:rPr>
          <w:rFonts w:ascii="Times New Roman" w:cs="Times New Roman" w:eastAsia="Times New Roman" w:hAnsi="Times New Roman"/>
          <w:sz w:val="18"/>
          <w:szCs w:val="18"/>
          <w:color w:val="auto"/>
        </w:rPr>
        <w:t>The categories and brands of medications for which we can present discounted prices are largely determined by PBMs. PBMs work with insurance companies, employers and other organizations and enter into contracts with pharmacies to determine negotiated rates. They also negotiate rebates with pharmaceutical manufacturers. The terms that different PBMs negotiate with each pharmacy are generally different and result in different negotiated rates available via each PBM’s network, all of which is outside our control. Different PBMs prioritize and allocate discounts across different medications, and continuously update these allocations in accordance with their internal strategies and expectations. As we have agreements with PBMs to market their negotiated rates through our platform, our ability to present discounted prices is dependent upon the arrangements that PBMs have negotiated with pharmacies and upon the resulting availability and allocation of discounts for medications subject to these arrangements. In general, industry participants are less likely to allocate or provide for discounts or rebates on brand medications that are covered by patents. As a result, the discounted prices that we are able to present for brand medications may not be as competitive as for generic medications. Similar to the total prescription volume in the United States, the vast majority of the utilization of our platform relates to generic medications.</w:t>
      </w:r>
    </w:p>
    <w:p>
      <w:pPr>
        <w:spacing w:after="0" w:line="186"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color w:val="auto"/>
        </w:rPr>
        <w:t>Changes in the categories and types of medications for which we can present pricing through our platform could have an adverse effect on our business, financial condition and results of operations. In addition, demand for our offerings and the use and utility of our platform is impacted by the value of the discounts that we are able to present and the extent to which there is inconsistency in the price of a particular prescription across the market. If pharmacies, PBMs or others do not allocate or otherwise facilitate adequate discounts for these medications, or if there is significant price similarity or competition across PBMs and pharmacies, the perceived value of our platform and the demand for our offerings would decrease and there would be a significant impact on our business, financial condition and results of operations.</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rely on a limited number of industry participants.</w:t>
      </w:r>
    </w:p>
    <w:p>
      <w:pPr>
        <w:spacing w:after="0" w:line="118" w:lineRule="exact"/>
        <w:rPr>
          <w:sz w:val="20"/>
          <w:szCs w:val="20"/>
          <w:color w:val="auto"/>
        </w:rPr>
      </w:pPr>
    </w:p>
    <w:p>
      <w:pPr>
        <w:ind w:left="180" w:right="120" w:firstLine="436"/>
        <w:spacing w:after="0" w:line="277" w:lineRule="auto"/>
        <w:rPr>
          <w:sz w:val="20"/>
          <w:szCs w:val="20"/>
          <w:color w:val="auto"/>
        </w:rPr>
      </w:pPr>
      <w:r>
        <w:rPr>
          <w:rFonts w:ascii="Times New Roman" w:cs="Times New Roman" w:eastAsia="Times New Roman" w:hAnsi="Times New Roman"/>
          <w:sz w:val="17"/>
          <w:szCs w:val="17"/>
          <w:color w:val="auto"/>
        </w:rPr>
        <w:t>There is currently significant concentration in the U.S. healthcare industry, and in particular there are a limited number of PBMs, including pharmacies’ in-house PBMs, and a limited number of national pharmacy chains. If we are unable to retain favorable contractual arrangements with our PBMs, including any successor PBMs should there be further consolidation of PBMs, we may lose them as customers, or the negotiated rates provided by such PBMs may become less competitive, which could have an adverse impact on the discounted prices we present through our platform.</w:t>
      </w:r>
    </w:p>
    <w:p>
      <w:pPr>
        <w:spacing w:after="0" w:line="166" w:lineRule="exact"/>
        <w:rPr>
          <w:sz w:val="20"/>
          <w:szCs w:val="20"/>
          <w:color w:val="auto"/>
        </w:rPr>
      </w:pPr>
    </w:p>
    <w:p>
      <w:pPr>
        <w:ind w:left="180" w:right="300" w:firstLine="436"/>
        <w:spacing w:after="0" w:line="277" w:lineRule="auto"/>
        <w:rPr>
          <w:sz w:val="20"/>
          <w:szCs w:val="20"/>
          <w:color w:val="auto"/>
        </w:rPr>
      </w:pPr>
      <w:r>
        <w:rPr>
          <w:rFonts w:ascii="Times New Roman" w:cs="Times New Roman" w:eastAsia="Times New Roman" w:hAnsi="Times New Roman"/>
          <w:sz w:val="18"/>
          <w:szCs w:val="18"/>
          <w:color w:val="auto"/>
        </w:rPr>
        <w:t>A limited number of PBMs generate a significant percentage of the discounted prices that we present through our platform and, as a result, we generate a significant portion of our revenue from contracts with a</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40"/>
          </w:cols>
          <w:pgMar w:left="320" w:top="454" w:right="5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spacing w:after="0" w:line="268" w:lineRule="auto"/>
        <w:rPr>
          <w:sz w:val="20"/>
          <w:szCs w:val="20"/>
          <w:color w:val="auto"/>
        </w:rPr>
      </w:pPr>
      <w:r>
        <w:rPr>
          <w:rFonts w:ascii="Times New Roman" w:cs="Times New Roman" w:eastAsia="Times New Roman" w:hAnsi="Times New Roman"/>
          <w:sz w:val="17"/>
          <w:szCs w:val="17"/>
          <w:color w:val="auto"/>
        </w:rPr>
        <w:t>limited number of PBMs. We work with more than a dozen PBMs that maintain cash networks and prices, and the number of PBMs we work with has significantly increased over time, limiting the extent to which any one PBM contributes to our overall revenue; however, we may not expand beyond our existing PBM partners and the number of our PBM partners may even decline. Our three largest PBM partners accounted for 61% of our revenue in 2018, 55% of our revenue in 2019 and 48% of our revenue in the first half of 2020. Revenue from each PBM fluctuates from period to period as the discounts and prices available through our platform change, and different PBMs experience increases and decreases in the volume of transactions processed through their respective networks. In 2018, Optum, Navitus and MedImpact each accounted for more than 10% of revenue. In 2019, Navitus and MedImpact each accounted for more than 10% of revenue, and in the first half of 2020, Navitus, MedImpact and Express Scripts each accounted for more than 10% of revenue. The loss of any of these large PBMs may negatively impact the breadth of the pricing that we are able to offer consumers.</w:t>
      </w:r>
    </w:p>
    <w:p>
      <w:pPr>
        <w:spacing w:after="0" w:line="177" w:lineRule="exact"/>
        <w:rPr>
          <w:sz w:val="20"/>
          <w:szCs w:val="20"/>
          <w:color w:val="auto"/>
        </w:rPr>
      </w:pPr>
    </w:p>
    <w:p>
      <w:pPr>
        <w:ind w:left="180" w:firstLine="436"/>
        <w:spacing w:after="0" w:line="249" w:lineRule="auto"/>
        <w:rPr>
          <w:sz w:val="20"/>
          <w:szCs w:val="20"/>
          <w:color w:val="auto"/>
        </w:rPr>
      </w:pPr>
      <w:r>
        <w:rPr>
          <w:rFonts w:ascii="Times New Roman" w:cs="Times New Roman" w:eastAsia="Times New Roman" w:hAnsi="Times New Roman"/>
          <w:sz w:val="18"/>
          <w:szCs w:val="18"/>
          <w:color w:val="auto"/>
        </w:rPr>
        <w:t>Most of our PBM contracts provide for monthly payments from PBMs, including our contracts with MedImpact, Navitus and Optum. Our PBM contracts generally can be divided into two categories: PBM contracts featuring a percentage of fee arrangement, where fees are a percentage of the fees that PBMs charge to pharmacies, and PBM contracts featuring a fixed fee per transaction arrangement. Our percentage of fee contracts often also include a minimum fixed fee per transaction. The majority of our PBM contracts, including our contracts with MedImpact and Navitus, are percentage of fee contracts, and a minority of our contracts, including our PBM contract with Optum, provide for fixed fee per transaction arrangements. Our PBM contracts generally, including our contracts with MedImpact, Navitus and Optum, have a tiered fee structure based on volume generated in the applicable payment period. Our PBM contracts, including our contracts with MedImpact, Navitus and Optum, do not contain minimum volume requirements, and thus do not provide for any assurance as to minimum payments to us. Our PBM contracts generally renew automatically, including our contracts with MedImpact, Navitus and Optum. In addition, our PBM contracts generally provide for continuing payments to us after such contracts are terminated, including our contracts with MedImpact, Navitus and Optum. Some of our PBM contracts provide for these continuing payments for so long as negotiated rates related to the applicable PBM contract continue to be used after termination, and other contracts provide for these continuing payments for specified multi-year payment periods after termination. Our contracts with MedImpact, Navitus and Optum provide for periods of five years, three years and three years, respectively, during which payments will be made as negotiated rates related to the applicable PBM contract continue to be used. Between contract renewals, our contracts generally provide for limited termination rights and do not provide for termination for convenience. None of our contracts with MedImpact, Navitus and Optum provide for termination for convenience.</w:t>
      </w:r>
    </w:p>
    <w:p>
      <w:pPr>
        <w:spacing w:after="0" w:line="199" w:lineRule="exact"/>
        <w:rPr>
          <w:sz w:val="20"/>
          <w:szCs w:val="20"/>
          <w:color w:val="auto"/>
        </w:rPr>
      </w:pPr>
    </w:p>
    <w:p>
      <w:pPr>
        <w:ind w:left="180" w:firstLine="436"/>
        <w:spacing w:after="0" w:line="252" w:lineRule="auto"/>
        <w:rPr>
          <w:sz w:val="20"/>
          <w:szCs w:val="20"/>
          <w:color w:val="auto"/>
        </w:rPr>
      </w:pPr>
      <w:r>
        <w:rPr>
          <w:rFonts w:ascii="Times New Roman" w:cs="Times New Roman" w:eastAsia="Times New Roman" w:hAnsi="Times New Roman"/>
          <w:sz w:val="18"/>
          <w:szCs w:val="18"/>
          <w:color w:val="auto"/>
        </w:rPr>
        <w:t>In addition, our PBM contracts typically include provisions that prevent PBMs from circumventing our platform, redirecting volumes outside of our platform and other protective measures. For example, our PBM contracts, including our contracts with MedImpact, Navitus and Optum, contain provisions that limit PBM use of our intellectual property related to our brand and platform and require PBMs to maintain the confidentiality of our data. While we have consistently renewed and extended the term of our contracts with PBMs over time, there can be no assurance that PBMs will enter into future contracts or renew existing contracts with us, or that any future contracts they enter into will be on equally favorable terms. Changes that limit or otherwise negatively impact our ability to receive fees from these partners would have an adverse effect on our business, financial condition and results of operations. Consolidation of PBMs or the loss of a PBM could negatively impact the discounts and prices that we present through our platform and may result in less competitive discounts and prices on our platform.</w:t>
      </w:r>
    </w:p>
    <w:p>
      <w:pPr>
        <w:spacing w:after="0" w:line="185" w:lineRule="exact"/>
        <w:rPr>
          <w:sz w:val="20"/>
          <w:szCs w:val="20"/>
          <w:color w:val="auto"/>
        </w:rPr>
      </w:pPr>
    </w:p>
    <w:p>
      <w:pPr>
        <w:ind w:left="180" w:firstLine="436"/>
        <w:spacing w:after="0" w:line="255" w:lineRule="auto"/>
        <w:rPr>
          <w:sz w:val="20"/>
          <w:szCs w:val="20"/>
          <w:color w:val="auto"/>
        </w:rPr>
      </w:pPr>
      <w:r>
        <w:rPr>
          <w:rFonts w:ascii="Times New Roman" w:cs="Times New Roman" w:eastAsia="Times New Roman" w:hAnsi="Times New Roman"/>
          <w:sz w:val="18"/>
          <w:szCs w:val="18"/>
          <w:color w:val="auto"/>
        </w:rPr>
        <w:t>Our consumers use GoodRx codes at the point of purchase at nearby pharmacies. These codes can be used at over 70,000 pharmacies in the United States. The U.S. prescriptions market is dominated by a limited number of national and regional pharmacy chains, such as CVS, Kroger, Walmart and Walgreens. These pharmacy chains represent a significant portion of overall prescription medication transactions in the United States. Similarly, a significant portion of our discounted prices are used at a limited number of pharmacy chains and, as a result, a significant portion of our revenue is derived from transactions processed at a limited number of pharmacy chains.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60"/>
          </w:cols>
          <w:pgMar w:left="320" w:top="454" w:right="51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20"/>
        <w:spacing w:after="0" w:line="252" w:lineRule="auto"/>
        <w:rPr>
          <w:sz w:val="20"/>
          <w:szCs w:val="20"/>
          <w:color w:val="auto"/>
        </w:rPr>
      </w:pPr>
      <w:r>
        <w:rPr>
          <w:rFonts w:ascii="Times New Roman" w:cs="Times New Roman" w:eastAsia="Times New Roman" w:hAnsi="Times New Roman"/>
          <w:sz w:val="18"/>
          <w:szCs w:val="18"/>
          <w:color w:val="auto"/>
        </w:rPr>
        <w:t>We do not generate a significant percentage of revenue from mail-order prescriptions or mail-order pharmacies. If one or more of these pharmacy chains terminates its cash network contracts with PBMs that we work with or enters into cash network contracts with PBMs that we work with at less competitive rates, our business may be negatively affected. This could be exacerbated by further consolidation of PBMs or pharmacy chains. If such changes, individually or in the aggregate, are material, they would have an adverse effect on our business, results of operations and financial condition. If there is a decline in revenue generated from any of the PBMs we contract with, as a result of consolidation of PBMs or pharmacy chains, pricing competition among industry participants or otherwise, if we are unable to maintain or grow our relationships with PBMs or if we lose one or more of the PBMs we contract with and cannot replace the PBM in a timely manner or at all, there would be an adverse effect on our business, financial condition and results of operations.</w:t>
      </w:r>
    </w:p>
    <w:p>
      <w:pPr>
        <w:spacing w:after="0" w:line="288" w:lineRule="exact"/>
        <w:rPr>
          <w:sz w:val="20"/>
          <w:szCs w:val="20"/>
          <w:color w:val="auto"/>
        </w:rPr>
      </w:pPr>
    </w:p>
    <w:p>
      <w:pPr>
        <w:ind w:left="180" w:right="12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industry and we may fail to effectively differentiate our offerings and services from those of our competitors, which could impair our ability to attract and acquire new consumers and retain existing consumers.</w:t>
      </w:r>
    </w:p>
    <w:p>
      <w:pPr>
        <w:spacing w:after="0" w:line="52" w:lineRule="exact"/>
        <w:rPr>
          <w:sz w:val="20"/>
          <w:szCs w:val="20"/>
          <w:color w:val="auto"/>
        </w:rPr>
      </w:pPr>
    </w:p>
    <w:p>
      <w:pPr>
        <w:ind w:left="180" w:right="20" w:firstLine="436"/>
        <w:spacing w:after="0" w:line="271" w:lineRule="auto"/>
        <w:rPr>
          <w:sz w:val="20"/>
          <w:szCs w:val="20"/>
          <w:color w:val="auto"/>
        </w:rPr>
      </w:pPr>
      <w:r>
        <w:rPr>
          <w:rFonts w:ascii="Times New Roman" w:cs="Times New Roman" w:eastAsia="Times New Roman" w:hAnsi="Times New Roman"/>
          <w:sz w:val="17"/>
          <w:szCs w:val="17"/>
          <w:color w:val="auto"/>
        </w:rPr>
        <w:t>The U.S. prescriptions market, pharmaceutical manufacturer solutions market and telehealth market are highly competitive and subject to ongoing innovation and development. Our ability to remain competitive is dependent upon our ability to appeal to consumers and attract and acquire new consumers to our platform, including through our apps. Our ability to remain competitive is also dependent upon our ability to retain existing consumers and encourage them to continue to use our platform as a tool for purchasing healthcare products and services. We operate in a highly competitive environment and in an industry that is subject to significant market pressures brought about by consumer demands, a limited number of major PBMs, fluctuations in medication pricing, legislative and regulatory activity, significant changes in demand and interest in telehealth and other market factors.</w:t>
      </w:r>
    </w:p>
    <w:p>
      <w:pPr>
        <w:spacing w:after="0" w:line="172" w:lineRule="exact"/>
        <w:rPr>
          <w:sz w:val="20"/>
          <w:szCs w:val="20"/>
          <w:color w:val="auto"/>
        </w:rPr>
      </w:pPr>
    </w:p>
    <w:p>
      <w:pPr>
        <w:ind w:left="180" w:firstLine="436"/>
        <w:spacing w:after="0" w:line="249" w:lineRule="auto"/>
        <w:rPr>
          <w:sz w:val="20"/>
          <w:szCs w:val="20"/>
          <w:color w:val="auto"/>
        </w:rPr>
      </w:pPr>
      <w:r>
        <w:rPr>
          <w:rFonts w:ascii="Times New Roman" w:cs="Times New Roman" w:eastAsia="Times New Roman" w:hAnsi="Times New Roman"/>
          <w:sz w:val="18"/>
          <w:szCs w:val="18"/>
          <w:color w:val="auto"/>
        </w:rPr>
        <w:t>We compete with companies that provide savings on prescriptions, as well as companies that offer telehealth services and advertising and market access for pharmaceutical manufacturers. Within the prescriptions market, our competition is fragmented and consists of competitors that are smaller than us in scale. There can be no assurance that competitors will not develop and market similar offerings to ours, or that industry participants, such as integrated PBMs and pharmacy providers, will not seek to leverage our platform to drive consumer demand and traffic to their networks and eventually away from, or outside of, our platform. We may face increased competition from those that attempt to replicate our business model or marketing tactics, such as discount websites, apps, cash back and loyalty programs and new comparison shopping sites from various industry participants, any of which could impact our ability to attract and retain consumers. We also face competition in the telehealth market from a range of companies, including providers of telehealth services that are larger than us, and which usually provide telehealth services on behalf of employers and insurance plans, such as Teladoc, Amwell, MDLIVE, and Doctor on Demand. Our pharmaceutical manufacturer solutions offering competes for advertising and market access budget allocation against traditional direct to consumer and other platforms on which pharmaceuticals manufacturers can reach consumers, such as through physicians, health-related apps and websites, television advertisements and services supporting patient access. A competitor’s offerings, reputation and marketing strategies can have a substantial impact on its ability to attract and retain consumers, and we may face competition from existing or new market entrants with greater resources and better offerings, reputations and market strategies, which would have a negative impact on our business. Any such competitor may be better able to respond quickly to new technologies, develop deeper relationships with consumers and industry participants, including pharmacies, PBMs and telehealth providers, or offer more competitive discounts or pricing. While we negotiate protective terms related to our discounted prices, our intellectual property and our consumers with PBMs, our contacts with these parties are not exclusive and PBMs work with others in the industry to drive volume to their networks. For example, our contracts include provisions that, among others, restrict the ability of PBMs to compete with us and solicit our consumers. We aim to differentiate our business through scale and by innovating and delivering offerings and services, including medical care and advice through our telehealth offerings, that demonstrate value to consumers and to our existing consumers, particularly in response to frequent changes in medication pricing and the cost of medical care. Our failure to innovate and deliver offerings and services that demonstrate value, or to market such offerings and</w:t>
      </w:r>
    </w:p>
    <w:p>
      <w:pPr>
        <w:spacing w:after="0" w:line="1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60"/>
          </w:cols>
          <w:pgMar w:left="320" w:top="454" w:right="51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680"/>
        <w:spacing w:after="0" w:line="277" w:lineRule="auto"/>
        <w:rPr>
          <w:sz w:val="20"/>
          <w:szCs w:val="20"/>
          <w:color w:val="auto"/>
        </w:rPr>
      </w:pPr>
      <w:r>
        <w:rPr>
          <w:rFonts w:ascii="Times New Roman" w:cs="Times New Roman" w:eastAsia="Times New Roman" w:hAnsi="Times New Roman"/>
          <w:sz w:val="18"/>
          <w:szCs w:val="18"/>
          <w:color w:val="auto"/>
        </w:rPr>
        <w:t>services effectively, may affect our ability to acquire or retain consumers, which could have a material adverse effect on our business, results of operations and financial condition.</w:t>
      </w:r>
    </w:p>
    <w:p>
      <w:pPr>
        <w:spacing w:after="0" w:line="163"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We may also face competition from companies that we do not yet know about. If existing or new companies develop or market an offering similar to ours, develop an entirely new solution for access to affordable healthcare, acquire one of our existing competitors or form a strategic alliance with one of our competitors or other industry participants, our ability to compete effectively could be significantly impacted, which would have a material adverse effect on our business, results of operations and financial condition.</w:t>
      </w:r>
    </w:p>
    <w:p>
      <w:pPr>
        <w:spacing w:after="0" w:line="285" w:lineRule="exact"/>
        <w:rPr>
          <w:sz w:val="20"/>
          <w:szCs w:val="20"/>
          <w:color w:val="auto"/>
        </w:rPr>
      </w:pPr>
    </w:p>
    <w:p>
      <w:pPr>
        <w:ind w:left="180" w:right="46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in the United States, including the outbreak of the novel strain of coronavirus disease, could impact our business.</w:t>
      </w:r>
    </w:p>
    <w:p>
      <w:pPr>
        <w:spacing w:after="0" w:line="52" w:lineRule="exact"/>
        <w:rPr>
          <w:sz w:val="20"/>
          <w:szCs w:val="20"/>
          <w:color w:val="auto"/>
        </w:rPr>
      </w:pPr>
    </w:p>
    <w:p>
      <w:pPr>
        <w:ind w:left="180" w:right="20" w:firstLine="436"/>
        <w:spacing w:after="0" w:line="250" w:lineRule="auto"/>
        <w:rPr>
          <w:sz w:val="20"/>
          <w:szCs w:val="20"/>
          <w:color w:val="auto"/>
        </w:rPr>
      </w:pPr>
      <w:r>
        <w:rPr>
          <w:rFonts w:ascii="Times New Roman" w:cs="Times New Roman" w:eastAsia="Times New Roman" w:hAnsi="Times New Roman"/>
          <w:sz w:val="18"/>
          <w:szCs w:val="18"/>
          <w:color w:val="auto"/>
        </w:rPr>
        <w:t>In December 2019, a novel strain of coronavirus, SARS-CoV-2, was identified in Wuhan, China. Since then, SARS-CoV-2, and the resulting disease, COVID-19, has spread to almost every country in the world and all 50 states within the United States. Global health concerns relating to the outbreak of COVID-19 have been weighing on the macroeconomic environment, and the outbreak has significantly increased economic uncertainty. The outbreak has resulted in authorities implementing numerous measures to try to contain the virus, such as travel bans and restrictions, quarantines, shelter-in-place orders, and business shutdowns. In particular for our business, governmental authorities have also recommended, and in certain cases, required, that elective or other medical appointments be suspended or cancelled to avoid non-essential patient exposure to medical environments and potential infection. These and other measures have not only negatively impacted consumer spending and business spending habits, they have adversely impacted and may further impact our workforce and operations and the operations of healthcare professionals, pharmacies, consumers, PBMs and others in the broader healthcare ecosystem. Although certain of these measures are beginning to ease in some geographic regions, overall measures to contain the COVID-19 outbreak may remain in place for a significant period of time, and certain geographic regions are experiencing a resurgence of COVID-19 infections. The duration and severity of this pandemic is unknown and the extent of the business disruption and financial impact depend on factors beyond our knowledge and control.</w:t>
      </w:r>
    </w:p>
    <w:p>
      <w:pPr>
        <w:spacing w:after="0" w:line="191" w:lineRule="exact"/>
        <w:rPr>
          <w:sz w:val="20"/>
          <w:szCs w:val="20"/>
          <w:color w:val="auto"/>
        </w:rPr>
      </w:pPr>
    </w:p>
    <w:p>
      <w:pPr>
        <w:ind w:left="180" w:right="140" w:firstLine="436"/>
        <w:spacing w:after="0" w:line="250" w:lineRule="auto"/>
        <w:rPr>
          <w:sz w:val="20"/>
          <w:szCs w:val="20"/>
          <w:color w:val="auto"/>
        </w:rPr>
      </w:pPr>
      <w:r>
        <w:rPr>
          <w:rFonts w:ascii="Times New Roman" w:cs="Times New Roman" w:eastAsia="Times New Roman" w:hAnsi="Times New Roman"/>
          <w:sz w:val="18"/>
          <w:szCs w:val="18"/>
          <w:color w:val="auto"/>
        </w:rPr>
        <w:t>Given the uncertainty around the duration and extent of the COVID-19 pandemic, we expect the evolving COVID-19 pandemic to continue to impact our business, financial condition, results of operations and liquidity, but cannot accurately predict at this time the future potential impact on our business, financial condition, results of operations or liquidity. Various government measures, community self-isolation practices and shelter-in-place requirements, as well as the perceived need by individuals to continue such practices to avoid infection, have generally reduced the extent to which consumers visit healthcare professionals in-person, seek treatment for certain conditions or ailments, and receive and fill new prescriptions. Consumers may also increasingly elect to receive prescriptions by mail order instead of at the pharmacy, which could have an adverse impact on our prescription offering. In addition, many pharmacies and healthcare providers have reduced staffing, closed locations or otherwise limited operations, and many prescribing healthcare professionals have reduced or postponed treatment of certain patients. The number of Monthly Active Consumers decreased and our prescription offering experienced a decline in activity in the second quarter of 2020 as compared to the first quarter of 2020, as many consumers avoided visiting healthcare professionals and pharmacies in-person, which we believe has had a similar effect across the industry. Any decrease in the number of consumers seeking to fill prescriptions could negatively impact demand for and use of certain of our offerings, particularly our prescription offering, which would have an adverse effect on our business, financial condition and results of operations.</w:t>
      </w:r>
    </w:p>
    <w:p>
      <w:pPr>
        <w:spacing w:after="0" w:line="191" w:lineRule="exact"/>
        <w:rPr>
          <w:sz w:val="20"/>
          <w:szCs w:val="20"/>
          <w:color w:val="auto"/>
        </w:rPr>
      </w:pPr>
    </w:p>
    <w:p>
      <w:pPr>
        <w:ind w:left="180" w:right="40" w:firstLine="436"/>
        <w:spacing w:after="0" w:line="255" w:lineRule="auto"/>
        <w:rPr>
          <w:sz w:val="20"/>
          <w:szCs w:val="20"/>
          <w:color w:val="auto"/>
        </w:rPr>
      </w:pPr>
      <w:r>
        <w:rPr>
          <w:rFonts w:ascii="Times New Roman" w:cs="Times New Roman" w:eastAsia="Times New Roman" w:hAnsi="Times New Roman"/>
          <w:sz w:val="18"/>
          <w:szCs w:val="18"/>
          <w:color w:val="auto"/>
        </w:rPr>
        <w:t>Conversely, pandemics, epidemics and outbreaks may significantly and temporarily increase demand for our telehealth offerings. COVID-19 has significantly accelerated the awareness and use of our telehealth offerings, including demand for our HeyDoctor offering and the utilization of our GoodRx Telehealth Marketplace. While we have experienced a significant increase in demand for the telehealth offerings, there can be no assurance that the levels of interest, demand and use of our telehealth offerings will continue at current levels or will not decrease during or after the pandemic. Any such decrease could have an adverse effect on our growth and the success of our telehealth offerings.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4" w:right="49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firstLine="436"/>
        <w:spacing w:after="0" w:line="267" w:lineRule="auto"/>
        <w:rPr>
          <w:sz w:val="20"/>
          <w:szCs w:val="20"/>
          <w:color w:val="auto"/>
        </w:rPr>
      </w:pPr>
      <w:r>
        <w:rPr>
          <w:rFonts w:ascii="Times New Roman" w:cs="Times New Roman" w:eastAsia="Times New Roman" w:hAnsi="Times New Roman"/>
          <w:sz w:val="17"/>
          <w:szCs w:val="17"/>
          <w:color w:val="auto"/>
        </w:rPr>
        <w:t>The spread of COVID-19 has also caused us to modify our business practices (including employee travel, employee work locations, and the cancellation of physical participation in meetings, events and conferences), and we may take further actions as may be required by government authorities or that we determine are in the best interests of our employees, consumers and partners. For example, we have implemented work-from-home measures, which have required us to provide technical support to our employees to enable them to connect to our systems from their homes. In addition, COVID-19 and the determination of appropriate measures and business practices has diverted management’s time and attention. If our employees are not able to effectively work from home, or if our employees contract COVID-19 or another contagious disease, we may experience a decrease in productivity and operational efficiency, which would negatively impact our business, financial condition and results of operations. There is also no certainty that the measures we have taken to mitigate the impact of COVID-19 on our business will be sufficient or otherwise be satisfactory to government authorities. Further, because most of our employees are working remotely in connection with the COVID-19 pandemic, we may experience an increased risk of security breaches, loss of data, and other disruptions as a result of accessing sensitive information from remote locations.</w:t>
      </w:r>
    </w:p>
    <w:p>
      <w:pPr>
        <w:spacing w:after="0" w:line="176" w:lineRule="exact"/>
        <w:rPr>
          <w:sz w:val="20"/>
          <w:szCs w:val="20"/>
          <w:color w:val="auto"/>
        </w:rPr>
      </w:pPr>
    </w:p>
    <w:p>
      <w:pPr>
        <w:ind w:left="180" w:right="520" w:firstLine="436"/>
        <w:spacing w:after="0" w:line="262"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reducing our ability to access capital, which could in the future negatively affect our liquidity.</w:t>
      </w:r>
    </w:p>
    <w:p>
      <w:pPr>
        <w:spacing w:after="0" w:line="177" w:lineRule="exact"/>
        <w:rPr>
          <w:sz w:val="20"/>
          <w:szCs w:val="20"/>
          <w:color w:val="auto"/>
        </w:rPr>
      </w:pPr>
    </w:p>
    <w:p>
      <w:pPr>
        <w:ind w:left="180" w:right="140" w:firstLine="436"/>
        <w:spacing w:after="0" w:line="255" w:lineRule="auto"/>
        <w:rPr>
          <w:sz w:val="20"/>
          <w:szCs w:val="20"/>
          <w:color w:val="auto"/>
        </w:rPr>
      </w:pPr>
      <w:r>
        <w:rPr>
          <w:rFonts w:ascii="Times New Roman" w:cs="Times New Roman" w:eastAsia="Times New Roman" w:hAnsi="Times New Roman"/>
          <w:sz w:val="18"/>
          <w:szCs w:val="18"/>
          <w:color w:val="auto"/>
        </w:rPr>
        <w:t>The full extent to which the outbreak of COVID-19 will impact our business, results of operations and financial condition is still unknown and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outbreak of COVID-19 has subsided, we may experience materially adverse impacts to our business as a result of its global economic impact, including any recession that has occurred or may occur in the future.</w:t>
      </w:r>
    </w:p>
    <w:p>
      <w:pPr>
        <w:spacing w:after="0" w:line="183" w:lineRule="exact"/>
        <w:rPr>
          <w:sz w:val="20"/>
          <w:szCs w:val="20"/>
          <w:color w:val="auto"/>
        </w:rPr>
      </w:pPr>
    </w:p>
    <w:p>
      <w:pPr>
        <w:ind w:left="180" w:right="160" w:firstLine="436"/>
        <w:spacing w:after="0" w:line="277" w:lineRule="auto"/>
        <w:rPr>
          <w:sz w:val="20"/>
          <w:szCs w:val="20"/>
          <w:color w:val="auto"/>
        </w:rPr>
      </w:pPr>
      <w:r>
        <w:rPr>
          <w:rFonts w:ascii="Times New Roman" w:cs="Times New Roman" w:eastAsia="Times New Roman" w:hAnsi="Times New Roman"/>
          <w:sz w:val="18"/>
          <w:szCs w:val="18"/>
          <w:color w:val="auto"/>
        </w:rPr>
        <w:t>To the extent the COVID-19 pandemic adversely affects our business, financial condition and results of operations, it may also have the effect of heightening many of the other risks described in this “Risk Factors” section.</w:t>
      </w:r>
    </w:p>
    <w:p>
      <w:pPr>
        <w:spacing w:after="0" w:line="266" w:lineRule="exact"/>
        <w:rPr>
          <w:sz w:val="20"/>
          <w:szCs w:val="20"/>
          <w:color w:val="auto"/>
        </w:rPr>
      </w:pPr>
    </w:p>
    <w:p>
      <w:pPr>
        <w:ind w:left="180" w:right="36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estimated addressable market is subject to inherent challenges and uncertainties. If we have overestimated the size of our addressable market or the various markets in which we operate, our future growth opportunities may be limited.</w:t>
      </w:r>
    </w:p>
    <w:p>
      <w:pPr>
        <w:spacing w:after="0" w:line="52" w:lineRule="exact"/>
        <w:rPr>
          <w:sz w:val="20"/>
          <w:szCs w:val="20"/>
          <w:color w:val="auto"/>
        </w:rPr>
      </w:pPr>
    </w:p>
    <w:p>
      <w:pPr>
        <w:ind w:left="180" w:right="20" w:firstLine="436"/>
        <w:spacing w:after="0" w:line="250" w:lineRule="auto"/>
        <w:rPr>
          <w:sz w:val="20"/>
          <w:szCs w:val="20"/>
          <w:color w:val="auto"/>
        </w:rPr>
      </w:pPr>
      <w:r>
        <w:rPr>
          <w:rFonts w:ascii="Times New Roman" w:cs="Times New Roman" w:eastAsia="Times New Roman" w:hAnsi="Times New Roman"/>
          <w:sz w:val="18"/>
          <w:szCs w:val="18"/>
          <w:color w:val="auto"/>
        </w:rPr>
        <w:t>Our total addressable market, or TAM, is based on internal estimates and third-party estimates regarding the size of each of the U.S. prescriptions market, pharmaceutical manufacturer solutions market and telehealth market, and is subject to significant uncertainty and is based on assumptions that may not prove to be accurate. In particular, we calculated the TAM for our prescription opportunity based on data from CMS regarding the expected size of the U.S. prescription market in 2020, plus our estimated value of prescriptions that are written but not filled. This estimate is based on third-party reports and is subject to significant assumptions and estimates. Additionally, we calculated the TAM for our pharmaceutical manufacturer solutions opportunity based on data published in an article in the Journal of the American Medical Association regarding the amount of advertising and marketing spending by U.S. pharmaceutical manufacturers in 2016. We calculated the TAM for our telehealth opportunity based on a report by McKinsey &amp; Company regarding the extent to which amounts spent on outpatient office and home health visits in 2020 can be addressed via telehealth offerings. These estimates, as well as the estimates and forecasts in this prospectus relating to the size and expected growth of the markets in which we operate, may change or prove to be inaccurate. While we believe the information on which we base our TAM is generally reliable, such information is inherently imprecise. In addition, our expectations, assumptions and estimates of future opportunities are 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4" w:right="49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spacing w:after="0" w:line="257" w:lineRule="auto"/>
        <w:rPr>
          <w:sz w:val="20"/>
          <w:szCs w:val="20"/>
          <w:color w:val="auto"/>
        </w:rPr>
      </w:pPr>
      <w:r>
        <w:rPr>
          <w:rFonts w:ascii="Times New Roman" w:cs="Times New Roman" w:eastAsia="Times New Roman" w:hAnsi="Times New Roman"/>
          <w:sz w:val="18"/>
          <w:szCs w:val="18"/>
          <w:color w:val="auto"/>
        </w:rPr>
        <w:t>affected. Additionally, our TAM for our prescription offering includes medications for which we are currently not able to offer savings on the prices paid by non-insured and insured consumers and for which we may not be able to provide savings on in the future. If our TAM, or the size of any of the various markets in which we operate, proves to be inaccurate, our future growth opportunities may be limited and there could be a material adverse effect on our prospects, business, financial condition and results of operations.</w:t>
      </w:r>
    </w:p>
    <w:p>
      <w:pPr>
        <w:spacing w:after="0" w:line="285" w:lineRule="exact"/>
        <w:rPr>
          <w:sz w:val="20"/>
          <w:szCs w:val="20"/>
          <w:color w:val="auto"/>
        </w:rPr>
      </w:pPr>
    </w:p>
    <w:p>
      <w:pPr>
        <w:jc w:val="both"/>
        <w:ind w:left="180" w:right="240" w:firstLine="43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calculate certain operational metrics using internal systems and tools and do not independently verify such metrics. Certain metrics are subject to inherent challenges in measurement, and real or perceived inaccuracies in such metrics may harm our reputation and negatively affect our business.</w:t>
      </w:r>
    </w:p>
    <w:p>
      <w:pPr>
        <w:spacing w:after="0" w:line="66" w:lineRule="exact"/>
        <w:rPr>
          <w:sz w:val="20"/>
          <w:szCs w:val="20"/>
          <w:color w:val="auto"/>
        </w:rPr>
      </w:pPr>
    </w:p>
    <w:p>
      <w:pPr>
        <w:ind w:left="180" w:firstLine="436"/>
        <w:spacing w:after="0" w:line="250" w:lineRule="auto"/>
        <w:rPr>
          <w:sz w:val="20"/>
          <w:szCs w:val="20"/>
          <w:color w:val="auto"/>
        </w:rPr>
      </w:pPr>
      <w:r>
        <w:rPr>
          <w:rFonts w:ascii="Times New Roman" w:cs="Times New Roman" w:eastAsia="Times New Roman" w:hAnsi="Times New Roman"/>
          <w:sz w:val="18"/>
          <w:szCs w:val="18"/>
          <w:color w:val="auto"/>
        </w:rPr>
        <w:t>We present certain operational metrics herein, including Monthly Active Consumers, Monthly Visitors, GMV, savings and other metrics. We calculate these metrics using internal systems and tools that are not independently verified by any third party. These metrics may differ from estimates or similar metrics published by third parties or other companies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on an ongoing basis. If the internal systems and tools we use to track these metrics undercount or overcount performance or contain algorithmic or other technical errors, the data we present may not be accurate. While these numbers are based on what we believe to be reasonable estimates of our metrics for the applicable period of measurement, there are inherent challenges in measuring savings, the use of our platform and offerings and other metrics. For example, we believe that there are consumers who access our offerings through multiple accounts or channels, and that there are groups of consumers, such as families, who access our offerings through single accounts or channels, both of which impact our number of Monthly Visitors, as each channel is counted independently. In addition, limitations or errors with respect to how we measure data or with respect to the data that we measure may affect our understanding of certain details of our business, which would affect our long-term strategies. If our operating metrics or our estimates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290" w:lineRule="exact"/>
        <w:rPr>
          <w:sz w:val="20"/>
          <w:szCs w:val="20"/>
          <w:color w:val="auto"/>
        </w:rPr>
      </w:pPr>
    </w:p>
    <w:p>
      <w:pPr>
        <w:ind w:left="180" w:right="48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telehealth market is immature and volatile, and if it does not develop, or if it develops more slowly than we expect, the growth of our business will be harmed.</w:t>
      </w:r>
    </w:p>
    <w:p>
      <w:pPr>
        <w:spacing w:after="0" w:line="52"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color w:val="auto"/>
        </w:rPr>
        <w:t>The telehealth market is relatively new and unproven, and it is uncertain whether it will achieve and sustain high levels of demand, consumer acceptance and market adoption. The success of our telehealth offerings will depend to a substantial extent on the willingness of our consumers to use, and to increase the frequency and extent of their utilization of, our platform, as well as on our ability to demonstrate the value of telehealth to employers, health plans, government agencies and other purchasers of healthcare for beneficiaries. Furthermore, the GoodRx Telehealth Marketplace will require marketplace participants to offer their services and for consumers to purchase such services if it is to be successful. If any of these events do not occur or do not occur quickly, it could have a material adverse effect on our business, financial condition and results of operations.</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Our telehealth offerings depend in part on our ability to maintain and expand a network of skilled telehealth providers.</w:t>
      </w:r>
    </w:p>
    <w:p>
      <w:pPr>
        <w:spacing w:after="0" w:line="118" w:lineRule="exact"/>
        <w:rPr>
          <w:sz w:val="20"/>
          <w:szCs w:val="20"/>
          <w:color w:val="auto"/>
        </w:rPr>
      </w:pPr>
    </w:p>
    <w:p>
      <w:pPr>
        <w:ind w:left="180" w:right="60" w:firstLine="436"/>
        <w:spacing w:after="0" w:line="253" w:lineRule="auto"/>
        <w:rPr>
          <w:sz w:val="20"/>
          <w:szCs w:val="20"/>
          <w:color w:val="auto"/>
        </w:rPr>
      </w:pPr>
      <w:r>
        <w:rPr>
          <w:rFonts w:ascii="Times New Roman" w:cs="Times New Roman" w:eastAsia="Times New Roman" w:hAnsi="Times New Roman"/>
          <w:sz w:val="18"/>
          <w:szCs w:val="18"/>
          <w:color w:val="auto"/>
        </w:rPr>
        <w:t>The success of our telehealth offerings, including HeyDoctor and the GoodRx Telehealth Marketplace, depends in part on our continued ability to maintain a network of skilled and qualified telehealth providers. With respect to the GoodRx Telehealth Marketplace in particular, we are dependent on third-party entities, which we do not own or control, to provide healthcare services to consumers. There is significant competition in the telehealth market for qualified telehealth providers, and if we are unable to recruit or retain physicians and other healthcare professionals and service providers, it would negatively impact the growth of our telehealth offerings and would have a material adverse effect on our business, financial condition and results of operations.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60"/>
          </w:cols>
          <w:pgMar w:left="320" w:top="454" w:right="51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Negative media coverage could adversely affect our business.</w:t>
      </w:r>
    </w:p>
    <w:p>
      <w:pPr>
        <w:spacing w:after="0" w:line="118" w:lineRule="exact"/>
        <w:rPr>
          <w:sz w:val="20"/>
          <w:szCs w:val="20"/>
          <w:color w:val="auto"/>
        </w:rPr>
      </w:pPr>
    </w:p>
    <w:p>
      <w:pPr>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We receive a high degree of media coverage in the United States. Unfavorable publicity regarding, for example, the healthcare industry, litigation or regulatory activity, the actions of the entities included or otherwise involved in our platform, negative perceptions of prescriptions included on our platform, medication pricing, pricing structures in place amongst the industry participants, our data privacy or data security practices, our platform or our revenue could materially adversely affect our reputation. Such negative publicity also could have an adverse effect on our ability to attract and retain consumers, partners, or employees, and result in decreased revenue, which would materially adversely affect our business, financial condition and results of operations.</w:t>
      </w:r>
    </w:p>
    <w:p>
      <w:pPr>
        <w:spacing w:after="0" w:line="290" w:lineRule="exact"/>
        <w:rPr>
          <w:sz w:val="20"/>
          <w:szCs w:val="20"/>
          <w:color w:val="auto"/>
        </w:rPr>
      </w:pPr>
    </w:p>
    <w:p>
      <w:pPr>
        <w:ind w:left="180" w:right="22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respond to changes in the market for prescription pricing, and may fail to maintain and expand the use of GoodRx codes through our apps and websites.</w:t>
      </w:r>
    </w:p>
    <w:p>
      <w:pPr>
        <w:spacing w:after="0" w:line="52" w:lineRule="exact"/>
        <w:rPr>
          <w:sz w:val="20"/>
          <w:szCs w:val="20"/>
          <w:color w:val="auto"/>
        </w:rPr>
      </w:pPr>
    </w:p>
    <w:p>
      <w:pPr>
        <w:ind w:left="180" w:firstLine="436"/>
        <w:spacing w:after="0" w:line="250" w:lineRule="auto"/>
        <w:rPr>
          <w:sz w:val="20"/>
          <w:szCs w:val="20"/>
          <w:color w:val="auto"/>
        </w:rPr>
      </w:pPr>
      <w:r>
        <w:rPr>
          <w:rFonts w:ascii="Times New Roman" w:cs="Times New Roman" w:eastAsia="Times New Roman" w:hAnsi="Times New Roman"/>
          <w:sz w:val="18"/>
          <w:szCs w:val="18"/>
          <w:color w:val="auto"/>
        </w:rPr>
        <w:t>In recent years, we believe that consumer preferences and access to prescription medication discounts has increasingly shifted from traditional offline or analog channels, such newspapers and by direct mail, to digital or electronic channels, such as apps, websites and by email. It is difficult to predict whether the pace of the transition from traditional to digital channels will continue at the same rate and whether the growth of the digital channel will continue. While we actively promote the use of our apps and websites, if the demand for digital channels does not continue to grow as we expect, or if we fail to successfully address this demand through our platforms, our business could be harmed. Consumer access and preferences for purchasing medications may evolve in ways which may be difficult to predict. Further, if PBMs or pharmacy chains elect to directly distribute pricing information through their own digital channels, or if new or existing competitors are faster or better at addressing consumer demand and preferences for digital channels, or are able to offer more accessible discounted prices to consumers, our ability and success in presenting discounted prices on our platform may be impeded and our business, financial condition and results of operations would be adversely affected. If we cannot maintain a sufficient offering of discounted prices on our platform, consumers and existing consumers may perceive our platform as less relevant, consumer traffic to our platform could decline and, as a result, consumers and existing consumers may decrease their use of our platform or subscription offerings, which would affect our contracts with certain partners included or otherwise involved in our platform and have a material adverse effect on our business, financial condition and results of operations.</w:t>
      </w:r>
    </w:p>
    <w:p>
      <w:pPr>
        <w:spacing w:after="0" w:line="2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maintain a positive perception regarding our platform or maintain and enhance our brand.</w:t>
      </w:r>
    </w:p>
    <w:p>
      <w:pPr>
        <w:spacing w:after="0" w:line="118" w:lineRule="exact"/>
        <w:rPr>
          <w:sz w:val="20"/>
          <w:szCs w:val="20"/>
          <w:color w:val="auto"/>
        </w:rPr>
      </w:pPr>
    </w:p>
    <w:p>
      <w:pPr>
        <w:ind w:left="180" w:right="140" w:firstLine="436"/>
        <w:spacing w:after="0" w:line="252" w:lineRule="auto"/>
        <w:rPr>
          <w:sz w:val="20"/>
          <w:szCs w:val="20"/>
          <w:color w:val="auto"/>
        </w:rPr>
      </w:pPr>
      <w:r>
        <w:rPr>
          <w:rFonts w:ascii="Times New Roman" w:cs="Times New Roman" w:eastAsia="Times New Roman" w:hAnsi="Times New Roman"/>
          <w:sz w:val="18"/>
          <w:szCs w:val="18"/>
          <w:color w:val="auto"/>
        </w:rPr>
        <w:t>A decrease in the quality or perceived quality of the discounted prices available through our platform, or of our telehealth offerings, including HeyDoctor and the GoodRx Telehealth Marketplace, could harm our reputation and damage our ability to attract and retain consumers and partners included or otherwise involved in our platform, which could adversely affect our business. Many factors that impact the perception of our offerings are beyond our control. For example, the success and perception of the GoodRx Telehealth Marketplace depends in part on the number, availability, and quality of service delivered by the telehealth providers included on the marketplace. While we can control which providers we include on the GoodRx Telehealth Marketplace, there can be no assurance that all such providers will consistently deliver the quality of service necessary to fulfill consumer expectations, and any negative experiences could have an adverse impact on our brand and reputation, which could impact consumer demand for our telehealth offerings and the extent to which providers seek to be included on or associated with the marketplace.</w:t>
      </w:r>
    </w:p>
    <w:p>
      <w:pPr>
        <w:spacing w:after="0" w:line="185" w:lineRule="exact"/>
        <w:rPr>
          <w:sz w:val="20"/>
          <w:szCs w:val="20"/>
          <w:color w:val="auto"/>
        </w:rPr>
      </w:pPr>
    </w:p>
    <w:p>
      <w:pPr>
        <w:ind w:left="180" w:right="80" w:firstLine="436"/>
        <w:spacing w:after="0" w:line="252" w:lineRule="auto"/>
        <w:rPr>
          <w:sz w:val="20"/>
          <w:szCs w:val="20"/>
          <w:color w:val="auto"/>
        </w:rPr>
      </w:pPr>
      <w:r>
        <w:rPr>
          <w:rFonts w:ascii="Times New Roman" w:cs="Times New Roman" w:eastAsia="Times New Roman" w:hAnsi="Times New Roman"/>
          <w:sz w:val="18"/>
          <w:szCs w:val="18"/>
          <w:color w:val="auto"/>
        </w:rPr>
        <w:t>Maintaining and enhancing our GoodRx brand and the branding and image of our various offerings, such as HeyDoctor, is critical to our business and our ability to attract new and existing consumers to our platform. We expect that the promotion of our brand will require us to make substantial investments and as our market becomes more competitive, these branding initiatives may become increasingly difficult and expensive. The successful promotion of our brand will depend largely on our marketing and public relations efforts. If we do not successfully maintain and enhance our brand, we could lose consumer traffic, which could, in turn, cause PBMs and others to terminate or reduce the extent of their relationship with us. Our brand promotion activities may not be successful or may not yield net revenues sufficient to offset this cost, which could adversely affect our reputation and business.</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60"/>
          </w:cols>
          <w:pgMar w:left="320" w:top="454" w:right="51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right="80" w:firstLine="43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and may identify material weaknesses in the future or otherwise fail to maintain an effective system of internal controls in the future, as a result of which, we may not be able to accurately report our financial condition or results of operations, which may adversely affect investor confidence in us and, as a result, the value of our Class A common stock.</w:t>
      </w:r>
    </w:p>
    <w:p>
      <w:pPr>
        <w:spacing w:after="0" w:line="72" w:lineRule="exact"/>
        <w:rPr>
          <w:sz w:val="20"/>
          <w:szCs w:val="20"/>
          <w:color w:val="auto"/>
        </w:rPr>
      </w:pPr>
    </w:p>
    <w:p>
      <w:pPr>
        <w:ind w:left="180" w:firstLine="436"/>
        <w:spacing w:after="0" w:line="251" w:lineRule="auto"/>
        <w:rPr>
          <w:sz w:val="20"/>
          <w:szCs w:val="20"/>
          <w:color w:val="auto"/>
        </w:rPr>
      </w:pPr>
      <w:r>
        <w:rPr>
          <w:rFonts w:ascii="Times New Roman" w:cs="Times New Roman" w:eastAsia="Times New Roman" w:hAnsi="Times New Roman"/>
          <w:sz w:val="18"/>
          <w:szCs w:val="18"/>
          <w:color w:val="auto"/>
        </w:rPr>
        <w:t>We have been a private company since our inception and, as such, we have not had the internal control and financial reporting requirements that are required of a publicly-traded company. We are required to comply with the requirements of The Sarbanes-Oxley Act of 2002, or the Sarbanes-Oxley Act, following the date we are deemed to be an “accelerated filer” or a “large accelerated filer,” each as defined in the Exchange Act, which could be as early as our first fiscal year beginning after the effective date of this offering. 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2021. This assessment will need to include disclosure of any material weaknesses identified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89" w:lineRule="exact"/>
        <w:rPr>
          <w:sz w:val="20"/>
          <w:szCs w:val="20"/>
          <w:color w:val="auto"/>
        </w:rPr>
      </w:pPr>
    </w:p>
    <w:p>
      <w:pPr>
        <w:ind w:left="180" w:right="240" w:firstLine="436"/>
        <w:spacing w:after="0" w:line="277" w:lineRule="auto"/>
        <w:rPr>
          <w:sz w:val="20"/>
          <w:szCs w:val="20"/>
          <w:color w:val="auto"/>
        </w:rPr>
      </w:pPr>
      <w:r>
        <w:rPr>
          <w:rFonts w:ascii="Times New Roman" w:cs="Times New Roman" w:eastAsia="Times New Roman" w:hAnsi="Times New Roman"/>
          <w:sz w:val="18"/>
          <w:szCs w:val="18"/>
          <w:color w:val="auto"/>
        </w:rPr>
        <w:t>In connection with the preparation of our financial statements for 2019, we identified certain control deficiencies in the design and operation of our internal control over financial reporting that constituted material weaknesses. The material weaknesses were:</w:t>
      </w:r>
    </w:p>
    <w:p>
      <w:pPr>
        <w:spacing w:after="0" w:line="70" w:lineRule="exact"/>
        <w:rPr>
          <w:sz w:val="20"/>
          <w:szCs w:val="20"/>
          <w:color w:val="auto"/>
        </w:rPr>
      </w:pPr>
    </w:p>
    <w:p>
      <w:pPr>
        <w:ind w:left="1140" w:right="260" w:hanging="432"/>
        <w:spacing w:after="0" w:line="255"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or maintain an effective control environment commensurate with our financial reporting requirements. We lacked a sufficient number of professionals with an appropriate level of accounting knowledge, training and experience to appropriately analyze, record and disclose accounting matters timely and accurately. Additionally, the limited personnel resulted in an inability to consistently establish appropriate authorities and responsibilities in pursuit of our financial reporting objectives, as demonstrated by, amongst other things, insufficient segregation of duties in our finance and accounting functions.</w:t>
      </w:r>
    </w:p>
    <w:p>
      <w:pPr>
        <w:spacing w:after="0" w:line="89" w:lineRule="exact"/>
        <w:rPr>
          <w:rFonts w:ascii="Times New Roman" w:cs="Times New Roman" w:eastAsia="Times New Roman" w:hAnsi="Times New Roman"/>
          <w:sz w:val="18"/>
          <w:szCs w:val="18"/>
          <w:color w:val="auto"/>
        </w:rPr>
      </w:pPr>
    </w:p>
    <w:p>
      <w:pPr>
        <w:jc w:val="both"/>
        <w:ind w:left="1140" w:right="380" w:hanging="432"/>
        <w:spacing w:after="0" w:line="26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effectively design and maintain controls in response to the risks of material misstatement. Specifically, changes to existing controls or the implementation of new controls have not been sufficient to respond to changes to the risks of material misstatement to financial reporting, due in part to acquisitions and other changes to our business.</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These material weaknesses contributed to the following additional material weaknesses:</w:t>
      </w:r>
    </w:p>
    <w:p>
      <w:pPr>
        <w:spacing w:after="0" w:line="127" w:lineRule="exact"/>
        <w:rPr>
          <w:sz w:val="20"/>
          <w:szCs w:val="20"/>
          <w:color w:val="auto"/>
        </w:rPr>
      </w:pPr>
    </w:p>
    <w:p>
      <w:pPr>
        <w:ind w:left="1140" w:right="800" w:hanging="432"/>
        <w:spacing w:after="0" w:line="277"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formal accounting policies, processes and controls to analyze, account for and disclose complex transactions.</w:t>
      </w:r>
    </w:p>
    <w:p>
      <w:pPr>
        <w:spacing w:after="0" w:line="69" w:lineRule="exact"/>
        <w:rPr>
          <w:rFonts w:ascii="Times New Roman" w:cs="Times New Roman" w:eastAsia="Times New Roman" w:hAnsi="Times New Roman"/>
          <w:sz w:val="18"/>
          <w:szCs w:val="18"/>
          <w:color w:val="auto"/>
        </w:rPr>
      </w:pPr>
    </w:p>
    <w:p>
      <w:pPr>
        <w:ind w:left="1140" w:right="320" w:hanging="432"/>
        <w:spacing w:after="0" w:line="257"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formal accounting policies, procedures and controls to achieve complete, accurate and timely financial accounting, reporting and disclosures, including controls over the preparation and review of business performance reviews, account reconciliations and journal entries. Additionally, we did not design and maintain controls over the classification and presentation of accounts and disclosures in the financial statements.</w:t>
      </w:r>
    </w:p>
    <w:p>
      <w:pPr>
        <w:spacing w:after="0" w:line="88" w:lineRule="exact"/>
        <w:rPr>
          <w:rFonts w:ascii="Times New Roman" w:cs="Times New Roman" w:eastAsia="Times New Roman" w:hAnsi="Times New Roman"/>
          <w:sz w:val="18"/>
          <w:szCs w:val="18"/>
          <w:color w:val="auto"/>
        </w:rPr>
      </w:pPr>
    </w:p>
    <w:p>
      <w:pPr>
        <w:ind w:left="1140" w:right="80" w:hanging="432"/>
        <w:spacing w:after="0" w:line="271" w:lineRule="auto"/>
        <w:tabs>
          <w:tab w:leader="none" w:pos="11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effective controls over certain information technology (IT) general controls for information systems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certain financial applications, programs and data to appropriate company personnel; (iii) computer operations controls to ensure that critical batch jobs are monitored and data backups are authorized and monitored,</w:t>
      </w:r>
    </w:p>
    <w:p>
      <w:pPr>
        <w:spacing w:after="0" w:line="104" w:lineRule="exact"/>
        <w:rPr>
          <w:rFonts w:ascii="Times New Roman" w:cs="Times New Roman" w:eastAsia="Times New Roman" w:hAnsi="Times New Roman"/>
          <w:sz w:val="17"/>
          <w:szCs w:val="17"/>
          <w:color w:val="auto"/>
        </w:rPr>
      </w:pPr>
    </w:p>
    <w:p>
      <w:pPr>
        <w:ind w:left="5540" w:hanging="109"/>
        <w:spacing w:after="0"/>
        <w:tabs>
          <w:tab w:leader="none" w:pos="5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ectPr>
          <w:pgSz w:w="11900" w:h="16838" w:orient="portrait"/>
          <w:cols w:equalWidth="0" w:num="1">
            <w:col w:w="11060"/>
          </w:cols>
          <w:pgMar w:left="320" w:top="454" w:right="51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140" w:right="160"/>
        <w:spacing w:after="0" w:line="277" w:lineRule="auto"/>
        <w:rPr>
          <w:sz w:val="20"/>
          <w:szCs w:val="20"/>
          <w:color w:val="auto"/>
        </w:rPr>
      </w:pPr>
      <w:r>
        <w:rPr>
          <w:rFonts w:ascii="Times New Roman" w:cs="Times New Roman" w:eastAsia="Times New Roman" w:hAnsi="Times New Roman"/>
          <w:sz w:val="18"/>
          <w:szCs w:val="18"/>
          <w:color w:val="auto"/>
        </w:rPr>
        <w:t>and (iv) testing and approval controls for program development to ensure that new software development is aligned with business and IT requirements.</w:t>
      </w:r>
    </w:p>
    <w:p>
      <w:pPr>
        <w:spacing w:after="0" w:line="163" w:lineRule="exact"/>
        <w:rPr>
          <w:sz w:val="20"/>
          <w:szCs w:val="20"/>
          <w:color w:val="auto"/>
        </w:rPr>
      </w:pPr>
    </w:p>
    <w:p>
      <w:pPr>
        <w:ind w:left="180" w:right="40" w:firstLine="436"/>
        <w:spacing w:after="0" w:line="257" w:lineRule="auto"/>
        <w:rPr>
          <w:sz w:val="20"/>
          <w:szCs w:val="20"/>
          <w:color w:val="auto"/>
        </w:rPr>
      </w:pPr>
      <w:r>
        <w:rPr>
          <w:rFonts w:ascii="Times New Roman" w:cs="Times New Roman" w:eastAsia="Times New Roman" w:hAnsi="Times New Roman"/>
          <w:sz w:val="18"/>
          <w:szCs w:val="18"/>
          <w:color w:val="auto"/>
        </w:rPr>
        <w:t>These material weaknesses resulted in adjustments identified by our independent registered public accounting firm and recorded by us primarily related to goodwill, capitalized software, leases, debt extinguishment, revenue recognition and sales allowances. These material weaknesses could result in a misstatement of our accounts or disclosures that would result in a material misstatement to the annual or interim consolidated financial statements that would not be prevented or detected.</w:t>
      </w:r>
    </w:p>
    <w:p>
      <w:pPr>
        <w:spacing w:after="0" w:line="182" w:lineRule="exact"/>
        <w:rPr>
          <w:sz w:val="20"/>
          <w:szCs w:val="20"/>
          <w:color w:val="auto"/>
        </w:rPr>
      </w:pPr>
    </w:p>
    <w:p>
      <w:pPr>
        <w:ind w:left="180" w:right="40" w:firstLine="436"/>
        <w:spacing w:after="0" w:line="253" w:lineRule="auto"/>
        <w:rPr>
          <w:sz w:val="20"/>
          <w:szCs w:val="20"/>
          <w:color w:val="auto"/>
        </w:rPr>
      </w:pPr>
      <w:r>
        <w:rPr>
          <w:rFonts w:ascii="Times New Roman" w:cs="Times New Roman" w:eastAsia="Times New Roman" w:hAnsi="Times New Roman"/>
          <w:sz w:val="18"/>
          <w:szCs w:val="18"/>
          <w:color w:val="auto"/>
        </w:rPr>
        <w:t>Our management and independent registered public accounting firm did not perform an evaluation of our internal control over financial reporting during any period in accordance with the provisions of Sarbanes-Oxley Act. Had we performed an evaluation and had our independent registered public accounting firm performed an audit of our internal control over financial reporting in accordance with the provisions of Sarbanes-Oxley Act, additional material weaknesses may have been identified. We are in the very early stages of the costly and challenging process of compiling the system and processing documentation necessary to perform the evaluation needed to comply with Section 404(a) of Sarbanes-Oxley Act and we are taking steps to remediate the material weaknesses. Those remediation measures are ongoing and include the following:</w:t>
      </w:r>
    </w:p>
    <w:p>
      <w:pPr>
        <w:spacing w:after="0" w:line="93" w:lineRule="exact"/>
        <w:rPr>
          <w:sz w:val="20"/>
          <w:szCs w:val="20"/>
          <w:color w:val="auto"/>
        </w:rPr>
      </w:pPr>
    </w:p>
    <w:p>
      <w:pPr>
        <w:ind w:left="1140" w:right="40" w:hanging="432"/>
        <w:spacing w:after="0" w:line="26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recently hired, and plan to continue to hire, additional accounting and IT personnel during 2020 to bolster our technical reporting, transactional accounting and IT capabilities. We are implementing controls to formalize roles and review responsibilities to align with our team’s skills and experience and implement formal controls over segregation of duties.</w:t>
      </w:r>
    </w:p>
    <w:p>
      <w:pPr>
        <w:spacing w:after="0" w:line="83"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procedures to identify and evaluate changes in our business and the impact on our controls.</w:t>
      </w:r>
    </w:p>
    <w:p>
      <w:pPr>
        <w:spacing w:after="0" w:line="126" w:lineRule="exact"/>
        <w:rPr>
          <w:rFonts w:ascii="Times New Roman" w:cs="Times New Roman" w:eastAsia="Times New Roman" w:hAnsi="Times New Roman"/>
          <w:sz w:val="18"/>
          <w:szCs w:val="18"/>
          <w:color w:val="auto"/>
        </w:rPr>
      </w:pPr>
    </w:p>
    <w:p>
      <w:pPr>
        <w:ind w:left="1140" w:right="40" w:hanging="432"/>
        <w:spacing w:after="0" w:line="277"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Formally assessing complex accounting transactions and other technical accounting and financial reporting matters including controls over the preparation and review of accounting memoranda addressing these matters.</w:t>
      </w:r>
    </w:p>
    <w:p>
      <w:pPr>
        <w:spacing w:after="0" w:line="69" w:lineRule="exact"/>
        <w:rPr>
          <w:rFonts w:ascii="Times New Roman" w:cs="Times New Roman" w:eastAsia="Times New Roman" w:hAnsi="Times New Roman"/>
          <w:sz w:val="18"/>
          <w:szCs w:val="18"/>
          <w:color w:val="auto"/>
        </w:rPr>
      </w:pPr>
    </w:p>
    <w:p>
      <w:pPr>
        <w:ind w:left="1140" w:right="100" w:hanging="432"/>
        <w:spacing w:after="0" w:line="26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2020, we implemented a new enterprise resource planning, or ERP, system. We are in the process of designing and implementing controls over this ERP system to, among other things, automate certain controls, enforce segregation of duties and facilitate the review of journal entries.</w:t>
      </w:r>
    </w:p>
    <w:p>
      <w:pPr>
        <w:spacing w:after="0" w:line="83" w:lineRule="exact"/>
        <w:rPr>
          <w:rFonts w:ascii="Times New Roman" w:cs="Times New Roman" w:eastAsia="Times New Roman" w:hAnsi="Times New Roman"/>
          <w:sz w:val="18"/>
          <w:szCs w:val="18"/>
          <w:color w:val="auto"/>
        </w:rPr>
      </w:pPr>
    </w:p>
    <w:p>
      <w:pPr>
        <w:ind w:left="1140" w:right="100" w:hanging="432"/>
        <w:spacing w:after="0" w:line="26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formal processes, policies, and procedures supporting our financial close process, including creating standard balance sheet reconciliation templates, establishing and reviewing thresholds for business performance reviews, and formalizing procedures over the review of financial statements.</w:t>
      </w:r>
    </w:p>
    <w:p>
      <w:pPr>
        <w:spacing w:after="0" w:line="83" w:lineRule="exact"/>
        <w:rPr>
          <w:rFonts w:ascii="Times New Roman" w:cs="Times New Roman" w:eastAsia="Times New Roman" w:hAnsi="Times New Roman"/>
          <w:sz w:val="18"/>
          <w:szCs w:val="18"/>
          <w:color w:val="auto"/>
        </w:rPr>
      </w:pPr>
    </w:p>
    <w:p>
      <w:pPr>
        <w:ind w:left="1140" w:hanging="432"/>
        <w:spacing w:after="0" w:line="26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IT governance processes, including automating components of our change management and logical access processes, enhancing role-based access and logging capabilities, implementing automated controls and implementing more robust IT policies and procedures over change management and computer operations.</w:t>
      </w:r>
    </w:p>
    <w:p>
      <w:pPr>
        <w:spacing w:after="0" w:line="177" w:lineRule="exact"/>
        <w:rPr>
          <w:sz w:val="20"/>
          <w:szCs w:val="20"/>
          <w:color w:val="auto"/>
        </w:rPr>
      </w:pPr>
    </w:p>
    <w:p>
      <w:pPr>
        <w:ind w:left="180" w:right="40" w:firstLine="436"/>
        <w:spacing w:after="0" w:line="255" w:lineRule="auto"/>
        <w:rPr>
          <w:sz w:val="20"/>
          <w:szCs w:val="20"/>
          <w:color w:val="auto"/>
        </w:rPr>
      </w:pPr>
      <w:r>
        <w:rPr>
          <w:rFonts w:ascii="Times New Roman" w:cs="Times New Roman" w:eastAsia="Times New Roman" w:hAnsi="Times New Roman"/>
          <w:sz w:val="18"/>
          <w:szCs w:val="18"/>
          <w:color w:val="auto"/>
        </w:rPr>
        <w:t>While we believe these efforts will remediate the material weaknesses, we may not be able to complete our evaluation, testing or any required remediation in a timely fashion. We cannot assure you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Any failure to maintain effective internal control over financial reporting could severely inhibit our ability to accurately report our financial condition or results of operations.</w:t>
      </w:r>
    </w:p>
    <w:p>
      <w:pPr>
        <w:spacing w:after="0" w:line="183" w:lineRule="exact"/>
        <w:rPr>
          <w:sz w:val="20"/>
          <w:szCs w:val="20"/>
          <w:color w:val="auto"/>
        </w:rPr>
      </w:pPr>
    </w:p>
    <w:p>
      <w:pPr>
        <w:ind w:left="180" w:right="80" w:firstLine="436"/>
        <w:spacing w:after="0" w:line="285" w:lineRule="auto"/>
        <w:rPr>
          <w:sz w:val="20"/>
          <w:szCs w:val="20"/>
          <w:color w:val="auto"/>
        </w:rPr>
      </w:pPr>
      <w:r>
        <w:rPr>
          <w:rFonts w:ascii="Times New Roman" w:cs="Times New Roman" w:eastAsia="Times New Roman" w:hAnsi="Times New Roman"/>
          <w:sz w:val="17"/>
          <w:szCs w:val="17"/>
          <w:color w:val="auto"/>
        </w:rPr>
        <w:t>If we fail to remediate these material weaknesses or identify new material weaknesses by the time we have to issue our first Section 404(a) assessment on the effectiveness of our internal control over financial reporting, we will not be able to conclude that our internal control over financial reporting is effective, which may cause investors to lose confidence in our financial statements, and the trading price of our Class A common stock may</w:t>
      </w:r>
    </w:p>
    <w:p>
      <w:pPr>
        <w:spacing w:after="0" w:line="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60"/>
          </w:cols>
          <w:pgMar w:left="320" w:top="454" w:right="51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140"/>
        <w:spacing w:after="0" w:line="277" w:lineRule="auto"/>
        <w:rPr>
          <w:sz w:val="20"/>
          <w:szCs w:val="20"/>
          <w:color w:val="auto"/>
        </w:rPr>
      </w:pPr>
      <w:r>
        <w:rPr>
          <w:rFonts w:ascii="Times New Roman" w:cs="Times New Roman" w:eastAsia="Times New Roman" w:hAnsi="Times New Roman"/>
          <w:sz w:val="18"/>
          <w:szCs w:val="18"/>
          <w:color w:val="auto"/>
        </w:rPr>
        <w:t>decline. If we fail to remedy any material weakness, our financial statements may be inaccurate, our access to the capital markets may be restricted and the trading price of our Class A common stock may suffer.</w:t>
      </w:r>
    </w:p>
    <w:p>
      <w:pPr>
        <w:spacing w:after="0" w:line="266" w:lineRule="exact"/>
        <w:rPr>
          <w:sz w:val="20"/>
          <w:szCs w:val="20"/>
          <w:color w:val="auto"/>
        </w:rPr>
      </w:pPr>
    </w:p>
    <w:p>
      <w:pPr>
        <w:ind w:left="180" w:right="22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Use of social media, emails and text messages may adversely impact our reputation, subject us to fines or other penalties or be an ineffective source to market our offerings.</w:t>
      </w:r>
    </w:p>
    <w:p>
      <w:pPr>
        <w:spacing w:after="0" w:line="52" w:lineRule="exact"/>
        <w:rPr>
          <w:sz w:val="20"/>
          <w:szCs w:val="20"/>
          <w:color w:val="auto"/>
        </w:rPr>
      </w:pPr>
    </w:p>
    <w:p>
      <w:pPr>
        <w:ind w:left="180" w:firstLine="436"/>
        <w:spacing w:after="0" w:line="268" w:lineRule="auto"/>
        <w:rPr>
          <w:sz w:val="20"/>
          <w:szCs w:val="20"/>
          <w:color w:val="auto"/>
        </w:rPr>
      </w:pPr>
      <w:r>
        <w:rPr>
          <w:rFonts w:ascii="Times New Roman" w:cs="Times New Roman" w:eastAsia="Times New Roman" w:hAnsi="Times New Roman"/>
          <w:sz w:val="17"/>
          <w:szCs w:val="17"/>
          <w:color w:val="auto"/>
        </w:rPr>
        <w:t>We use social media, emails and text messages as part of our omnichannel approach to marketing and consumer outreach. Changes to these social networking services’ terms of use or terms of service that limit promotional communications, restrictions that would limit our ability or our consumers’ ability to send communications through their services, disruptions or downtime experienced by these social networking services or reductions in the use of or engagement with social networking services by consumers and potential consumers could also harm our business. As laws and regulations rapidly evolve to govern the use of these channels, the failure by us, our employees or third parties acting at our direction to abide by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consumers or others. Any such inappropriate use of social media, emails and text messages could also cause reputational damage and adversely affect our business.</w:t>
      </w:r>
    </w:p>
    <w:p>
      <w:pPr>
        <w:spacing w:after="0" w:line="173" w:lineRule="exact"/>
        <w:rPr>
          <w:sz w:val="20"/>
          <w:szCs w:val="20"/>
          <w:color w:val="auto"/>
        </w:rPr>
      </w:pPr>
    </w:p>
    <w:p>
      <w:pPr>
        <w:ind w:left="180" w:firstLine="436"/>
        <w:spacing w:after="0" w:line="255" w:lineRule="auto"/>
        <w:rPr>
          <w:sz w:val="20"/>
          <w:szCs w:val="20"/>
          <w:color w:val="auto"/>
        </w:rPr>
      </w:pPr>
      <w:r>
        <w:rPr>
          <w:rFonts w:ascii="Times New Roman" w:cs="Times New Roman" w:eastAsia="Times New Roman" w:hAnsi="Times New Roman"/>
          <w:sz w:val="18"/>
          <w:szCs w:val="18"/>
          <w:color w:val="auto"/>
        </w:rPr>
        <w:t>Our consumers may engage with us online through our social media pages, including, for example, our presence on Facebook, Instagram and Twitter, by providing feedback and public commentary about all aspects of our business. Information concerning us or our offerings and brands, whether accurate or not, may be posted on social media pages at any time and may have a disproportionately adverse impact on our brand, reputation or business. The harm may be immediate without affording us an opportunity for redress or correction and could have a material adverse effect on our business, financial condition, results of operations and prospects.</w:t>
      </w:r>
    </w:p>
    <w:p>
      <w:pPr>
        <w:spacing w:after="0" w:line="183" w:lineRule="exact"/>
        <w:rPr>
          <w:sz w:val="20"/>
          <w:szCs w:val="20"/>
          <w:color w:val="auto"/>
        </w:rPr>
      </w:pPr>
    </w:p>
    <w:p>
      <w:pPr>
        <w:ind w:left="180" w:right="20" w:firstLine="436"/>
        <w:spacing w:after="0" w:line="252" w:lineRule="auto"/>
        <w:rPr>
          <w:sz w:val="20"/>
          <w:szCs w:val="20"/>
          <w:color w:val="auto"/>
        </w:rPr>
      </w:pPr>
      <w:r>
        <w:rPr>
          <w:rFonts w:ascii="Times New Roman" w:cs="Times New Roman" w:eastAsia="Times New Roman" w:hAnsi="Times New Roman"/>
          <w:sz w:val="18"/>
          <w:szCs w:val="18"/>
          <w:color w:val="auto"/>
        </w:rPr>
        <w:t>Additionally, we use emails and text messages to communicate with consumers and we collect consumer data, including email addresses and phone numbers, to further our marketing efforts with such consenting consumers. If we fail to adequately or accurately collect such data or if our data collection systems are breached, our business, financial condition and results of operations could be harmed. Further, any failure, or perceived failure, by us, or any third parties processing such data, to comply with privacy policies or with any federal or state privacy or consumer protection-related laws, regulations, industry self-regulatory principles, industry standards or codes of conduct, regulatory guidance, orders to which we may be subject or other legal obligations relating to privacy or consumer protection would adversely affect our reputation, brand and business, and may result in claims, proceedings or actions against us by governmental entities, consumers, suppliers or others or other liabilities or may require us to change our operations and/or cease using certain data sets.</w:t>
      </w:r>
    </w:p>
    <w:p>
      <w:pPr>
        <w:spacing w:after="0" w:line="2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accurately forecast revenue and appropriately plan our expenses in the future.</w:t>
      </w:r>
    </w:p>
    <w:p>
      <w:pPr>
        <w:spacing w:after="0" w:line="118"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color w:val="auto"/>
        </w:rPr>
        <w:t>We base our current and future expense levels on our operating forecasts and estimates of future income. Income and results of operations are difficult to forecast because they generally depend on the number and timing of our consumers using our platform, signing up for a subscription or using the services provided by our telehealth platform, which are uncertain. Additionally, our business is affected by general economic and business conditions around the world, including the impact of COVID-19. A softening in income, whether caused by changes in consumer preferences or a weakening in global economies, may result in decreased revenue levels, and we may be unable to adjust our spending in a timely manner to compensate for any unexpected shortfall in income. This inability could result in lower net income or greater net loss in a given quarter than expected.</w:t>
      </w:r>
    </w:p>
    <w:p>
      <w:pPr>
        <w:spacing w:after="0" w:line="290" w:lineRule="exact"/>
        <w:rPr>
          <w:sz w:val="20"/>
          <w:szCs w:val="20"/>
          <w:color w:val="auto"/>
        </w:rPr>
      </w:pPr>
    </w:p>
    <w:p>
      <w:pPr>
        <w:ind w:left="180" w:right="30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to operate our business and maintain competitiveness, and must adapt to technological developments or industry trends.</w:t>
      </w:r>
    </w:p>
    <w:p>
      <w:pPr>
        <w:spacing w:after="0" w:line="52" w:lineRule="exact"/>
        <w:rPr>
          <w:sz w:val="20"/>
          <w:szCs w:val="20"/>
          <w:color w:val="auto"/>
        </w:rPr>
      </w:pPr>
    </w:p>
    <w:p>
      <w:pPr>
        <w:ind w:left="180" w:right="600" w:firstLine="436"/>
        <w:spacing w:after="0" w:line="277" w:lineRule="auto"/>
        <w:rPr>
          <w:sz w:val="20"/>
          <w:szCs w:val="20"/>
          <w:color w:val="auto"/>
        </w:rPr>
      </w:pPr>
      <w:r>
        <w:rPr>
          <w:rFonts w:ascii="Times New Roman" w:cs="Times New Roman" w:eastAsia="Times New Roman" w:hAnsi="Times New Roman"/>
          <w:sz w:val="18"/>
          <w:szCs w:val="18"/>
          <w:color w:val="auto"/>
        </w:rPr>
        <w:t>Our ability to attract new consumers and increase revenue from our existing consumers depends in large part on our ability to enhance and improve our existing offerings, increase adoption and usage of our offerings,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4" w:right="49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240"/>
        <w:spacing w:after="0" w:line="262" w:lineRule="auto"/>
        <w:rPr>
          <w:sz w:val="20"/>
          <w:szCs w:val="20"/>
          <w:color w:val="auto"/>
        </w:rPr>
      </w:pPr>
      <w:r>
        <w:rPr>
          <w:rFonts w:ascii="Times New Roman" w:cs="Times New Roman" w:eastAsia="Times New Roman" w:hAnsi="Times New Roman"/>
          <w:sz w:val="18"/>
          <w:szCs w:val="18"/>
          <w:color w:val="auto"/>
        </w:rPr>
        <w:t>and introduce new features and capabilities. The markets in which we compete are relatively new and subject to rapid technological change, evolving industry standards, and changing regulations, as well as changing consumer needs, requirements and preferences. The success of our business will depend, in part, on our ability to adapt and respond effectively to these changes on a timely basis.</w:t>
      </w:r>
    </w:p>
    <w:p>
      <w:pPr>
        <w:spacing w:after="0" w:line="177" w:lineRule="exact"/>
        <w:rPr>
          <w:sz w:val="20"/>
          <w:szCs w:val="20"/>
          <w:color w:val="auto"/>
        </w:rPr>
      </w:pPr>
    </w:p>
    <w:p>
      <w:pPr>
        <w:ind w:left="180" w:firstLine="436"/>
        <w:spacing w:after="0" w:line="250" w:lineRule="auto"/>
        <w:rPr>
          <w:sz w:val="20"/>
          <w:szCs w:val="20"/>
          <w:color w:val="auto"/>
        </w:rPr>
      </w:pPr>
      <w:r>
        <w:rPr>
          <w:rFonts w:ascii="Times New Roman" w:cs="Times New Roman" w:eastAsia="Times New Roman" w:hAnsi="Times New Roman"/>
          <w:sz w:val="18"/>
          <w:szCs w:val="18"/>
          <w:color w:val="auto"/>
        </w:rPr>
        <w:t>We depend on the use of information technologies and systems. As our operations grow, we must continuously improve and upgrade our systems and infrastructure while maintaining or improving the reliability and integrity of our infrastructure. Our future success also depends on our ability to adapt our systems and infrastructure to meet rapidly evolving consumer trends and demands while continuing to improve the performance, features and reliability of our solutions in response to competitive services and offerings. The emergence of alternative platforms such as smartphones and tablets and the emergence of niche competitors who may be able to optimize offerings, services or strategies for such platforms will require new investment in technology. New developments in other areas, such as cloud computing, have made it easier for competition to enter our markets due to lower up-front technology costs. In addition, we may not be able to maintain our existing systems or replace or introduce new technologies and systems as quickly as we would like or in a cost-effective manner. There is also no guarantee that we will possess the financial resources or personnel, for the research, design and development of new applications or services, or that we will be able to utilize these resources successfully and avoid technological or market obsolescence. Further, there can be no assurance that technological advances by one or more of our competitors or future competitors will not result in our present or future applications and services becoming uncompetitive or obsolete. If we were unable to enhance our offerings and platform capabilities to keep pace with rapid technological and regulatory change, or if new technologies emerge that are able to deliver competitive offerings at lower prices, more efficiently, more conveniently or more securely than our offerings, our business, financial condition and results of operations could be adversely affected.</w:t>
      </w:r>
    </w:p>
    <w:p>
      <w:pPr>
        <w:spacing w:after="0" w:line="290" w:lineRule="exact"/>
        <w:rPr>
          <w:sz w:val="20"/>
          <w:szCs w:val="20"/>
          <w:color w:val="auto"/>
        </w:rPr>
      </w:pPr>
    </w:p>
    <w:p>
      <w:pPr>
        <w:jc w:val="both"/>
        <w:ind w:left="180" w:right="380" w:firstLine="43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those of our third-party vendors, contractors and consultants, and any failure or significant disruptions of these systems, security breaches or loss of data could materially adversely affect our business, financial condition and results of operations.</w:t>
      </w:r>
    </w:p>
    <w:p>
      <w:pPr>
        <w:spacing w:after="0" w:line="66" w:lineRule="exact"/>
        <w:rPr>
          <w:sz w:val="20"/>
          <w:szCs w:val="20"/>
          <w:color w:val="auto"/>
        </w:rPr>
      </w:pPr>
    </w:p>
    <w:p>
      <w:pPr>
        <w:ind w:left="180" w:right="20" w:firstLine="436"/>
        <w:spacing w:after="0" w:line="252"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or IT Systems,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IT Systems and the processing, transmission and storage of digital information. We have also outsourced elements of our IT Systems and data storage systems, and as a result a number of third-party vendors may or could have access to our confidential information.</w:t>
      </w:r>
    </w:p>
    <w:p>
      <w:pPr>
        <w:spacing w:after="0" w:line="185" w:lineRule="exact"/>
        <w:rPr>
          <w:sz w:val="20"/>
          <w:szCs w:val="20"/>
          <w:color w:val="auto"/>
        </w:rPr>
      </w:pPr>
    </w:p>
    <w:p>
      <w:pPr>
        <w:ind w:left="180" w:right="140" w:firstLine="436"/>
        <w:spacing w:after="0" w:line="251" w:lineRule="auto"/>
        <w:rPr>
          <w:sz w:val="20"/>
          <w:szCs w:val="20"/>
          <w:color w:val="auto"/>
        </w:rPr>
      </w:pPr>
      <w:r>
        <w:rPr>
          <w:rFonts w:ascii="Times New Roman" w:cs="Times New Roman" w:eastAsia="Times New Roman" w:hAnsi="Times New Roman"/>
          <w:sz w:val="18"/>
          <w:szCs w:val="18"/>
          <w:color w:val="auto"/>
        </w:rPr>
        <w:t>Despite the implementation of preventative and detective security controls, such IT Systems are vulnerable to damage or interruption from a variety of sources, including telecommunications or network failures or interruptions, system malfunction, natural disasters, malicious human acts, terrorism and war. Such IT Systems, including our servers, are additionally vulnerable to physical or electronic break-ins, security breaches from inadvertent or intentional actions by our employees, third-party service providers,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As a result of the COVID-19 pandemic, we may face increased cybersecurity risks due to our reliance on internet technology and the number of our employees who are working remotely, which may create additional opportunities for cybercriminals to exploit vulnerabilities. We may not be able to anticipate all types of security threats, and we may not be able to implement preventive measures effective against all such security threats. The techniques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60"/>
          </w:cols>
          <w:pgMar w:left="320" w:top="454" w:right="51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240"/>
        <w:spacing w:after="0" w:line="277" w:lineRule="auto"/>
        <w:rPr>
          <w:sz w:val="20"/>
          <w:szCs w:val="20"/>
          <w:color w:val="auto"/>
        </w:rPr>
      </w:pPr>
      <w:r>
        <w:rPr>
          <w:rFonts w:ascii="Times New Roman" w:cs="Times New Roman" w:eastAsia="Times New Roman" w:hAnsi="Times New Roman"/>
          <w:sz w:val="18"/>
          <w:szCs w:val="18"/>
          <w:color w:val="auto"/>
        </w:rPr>
        <w:t>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spacing w:after="0" w:line="163" w:lineRule="exact"/>
        <w:rPr>
          <w:sz w:val="20"/>
          <w:szCs w:val="20"/>
          <w:color w:val="auto"/>
        </w:rPr>
      </w:pPr>
    </w:p>
    <w:p>
      <w:pPr>
        <w:ind w:left="180" w:right="20" w:firstLine="436"/>
        <w:spacing w:after="0" w:line="265" w:lineRule="auto"/>
        <w:rPr>
          <w:sz w:val="20"/>
          <w:szCs w:val="20"/>
          <w:color w:val="auto"/>
        </w:rPr>
      </w:pPr>
      <w:r>
        <w:rPr>
          <w:rFonts w:ascii="Times New Roman" w:cs="Times New Roman" w:eastAsia="Times New Roman" w:hAnsi="Times New Roman"/>
          <w:sz w:val="17"/>
          <w:szCs w:val="17"/>
          <w:color w:val="auto"/>
        </w:rPr>
        <w:t>In addition, the prevalent use of mobile devices that access confidential information increases the risk of data security breaches, which could lead to the loss of confidential information or other intellectual property. We can provide no assurance that our current IT Systems, or those of the third parties upon which we rely, are fully protected against cybersecurity threats. It is possible that we or our third-party vendors may experience cybersecurity and other breach incidents that remain undetected for an extended period. Even when a security breach is detected, the full extent of the breach may not be determined immediately. The costs to us to mitigate network security problems, bugs, viruses, worms, malicious software programs and security vulnerabilities could be significant, and while we have implemented security measures to protect our data security and IT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offerings to consumers. Moreover, we and our third-party vendors collect, store and transmit sensitive data, including health-related information, personally identifiable information, intellectual property and proprietary business information in the ordinary course of our business.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the federal Health Insurance Portability and Accountability Act of 1996, or HIPAA, as well as regulations promulgated by the Federal Trade Commission, or FTC, and state breach notification laws. We would also be exposed to a risk of loss or litigation and potential liability, which could materially adversely affect our business, results of operations and financial condition.</w:t>
      </w:r>
    </w:p>
    <w:p>
      <w:pPr>
        <w:spacing w:after="0" w:line="182" w:lineRule="exact"/>
        <w:rPr>
          <w:sz w:val="20"/>
          <w:szCs w:val="20"/>
          <w:color w:val="auto"/>
        </w:rPr>
      </w:pPr>
    </w:p>
    <w:p>
      <w:pPr>
        <w:ind w:left="180" w:firstLine="436"/>
        <w:spacing w:after="0" w:line="250" w:lineRule="auto"/>
        <w:rPr>
          <w:sz w:val="20"/>
          <w:szCs w:val="20"/>
          <w:color w:val="auto"/>
        </w:rPr>
      </w:pPr>
      <w:r>
        <w:rPr>
          <w:rFonts w:ascii="Times New Roman" w:cs="Times New Roman" w:eastAsia="Times New Roman" w:hAnsi="Times New Roman"/>
          <w:sz w:val="18"/>
          <w:szCs w:val="18"/>
          <w:color w:val="auto"/>
        </w:rPr>
        <w:t>If our or our third-party vendors’ security measures fail or are breached, it could result in unauthorized access to confidential and proprietary business information, intellectual property, sensitive consumer data (including health-related information) or other personally identifiable information of our consumers, employees, partners or contractors, a loss of or damage to our data, or an inability to access data sources, process data or provide our services. Such failures or breaches of our or our third-party vendors’ security measures, or our or our third-party vendors’ inability to effectively resolve such failures or breaches in a timely manner, could severely damage our reputation, adversely impact consumer, partner, or investor confidence in us, and reduce the demand for our solutions and services. In addition, we could face litigation, significant damages for contract breach or other breaches of law, significant monetary penalties, or regulatory actions for violation of applicable laws or regulations, and incur significant costs for remedial measures to prevent future occurrences and mitigate past violations. The costs related to significant security breaches or disruptions could be material and exceed the limits of the cybersecurity insurance we maintain against such risks. If the IT Systems of our third-party vendors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Any disruption or loss to IT Systems on which critical aspects of our operations depend could have an adverse effect on our business.</w:t>
      </w:r>
    </w:p>
    <w:p>
      <w:pPr>
        <w:spacing w:after="0" w:line="294" w:lineRule="exact"/>
        <w:rPr>
          <w:sz w:val="20"/>
          <w:szCs w:val="20"/>
          <w:color w:val="auto"/>
        </w:rPr>
      </w:pPr>
    </w:p>
    <w:p>
      <w:pPr>
        <w:ind w:left="180" w:right="22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and e-commerce is evolving, and unfavorable changes or failure by us to comply with these laws and regulations could substantially harm our business and results of operations.</w:t>
      </w:r>
    </w:p>
    <w:p>
      <w:pPr>
        <w:spacing w:after="0" w:line="52" w:lineRule="exact"/>
        <w:rPr>
          <w:sz w:val="20"/>
          <w:szCs w:val="20"/>
          <w:color w:val="auto"/>
        </w:rPr>
      </w:pPr>
    </w:p>
    <w:p>
      <w:pPr>
        <w:ind w:left="180" w:firstLine="436"/>
        <w:spacing w:after="0" w:line="257" w:lineRule="auto"/>
        <w:rPr>
          <w:sz w:val="20"/>
          <w:szCs w:val="20"/>
          <w:color w:val="auto"/>
        </w:rPr>
      </w:pPr>
      <w:r>
        <w:rPr>
          <w:rFonts w:ascii="Times New Roman" w:cs="Times New Roman" w:eastAsia="Times New Roman" w:hAnsi="Times New Roman"/>
          <w:sz w:val="18"/>
          <w:szCs w:val="18"/>
          <w:color w:val="auto"/>
        </w:rPr>
        <w:t>We are subject to general business regulations and laws specifically governing the internet and e-commerce. Furthermore, the regulatory landscape impacting these areas is constantly evolving. Existing and future regulations and laws could impede the growth of the internet, e-commerce or other online services. These regulations and laws may involve taxation, tariffs, privacy and data security, anti-spam, data protection, content, copyrights, distribution, electronic contracts, electronic communications, money laundering, electronic payments</w:t>
      </w:r>
    </w:p>
    <w:p>
      <w:pPr>
        <w:spacing w:after="0" w:line="1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40"/>
          </w:cols>
          <w:pgMar w:left="320" w:top="454" w:right="5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160"/>
        <w:spacing w:after="0" w:line="255" w:lineRule="auto"/>
        <w:rPr>
          <w:sz w:val="20"/>
          <w:szCs w:val="20"/>
          <w:color w:val="auto"/>
        </w:rPr>
      </w:pPr>
      <w:r>
        <w:rPr>
          <w:rFonts w:ascii="Times New Roman" w:cs="Times New Roman" w:eastAsia="Times New Roman" w:hAnsi="Times New Roman"/>
          <w:sz w:val="18"/>
          <w:szCs w:val="18"/>
          <w:color w:val="auto"/>
        </w:rPr>
        <w:t>and consumer protection. It is not clear how existing laws and regulations governing issues such as property ownership, sales and other taxes, libel and personal privacy apply to the internet as the vast majority of these laws and regulations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jurisdiction to another and may conflict with other rules or our practices.</w:t>
      </w:r>
    </w:p>
    <w:p>
      <w:pPr>
        <w:spacing w:after="0" w:line="183" w:lineRule="exact"/>
        <w:rPr>
          <w:sz w:val="20"/>
          <w:szCs w:val="20"/>
          <w:color w:val="auto"/>
        </w:rPr>
      </w:pPr>
    </w:p>
    <w:p>
      <w:pPr>
        <w:ind w:left="180" w:right="160" w:firstLine="436"/>
        <w:spacing w:after="0" w:line="251" w:lineRule="auto"/>
        <w:rPr>
          <w:sz w:val="20"/>
          <w:szCs w:val="20"/>
          <w:color w:val="auto"/>
        </w:rPr>
      </w:pPr>
      <w:r>
        <w:rPr>
          <w:rFonts w:ascii="Times New Roman" w:cs="Times New Roman" w:eastAsia="Times New Roman" w:hAnsi="Times New Roman"/>
          <w:sz w:val="18"/>
          <w:szCs w:val="18"/>
          <w:color w:val="auto"/>
        </w:rPr>
        <w:t>We cannot assure you that our practices have complied, comply or will in the future comply with all such laws and regulations. Any failure, or perceived failure, by us to comply with any of these laws or regulations could result in damage to our reputation, a loss in business, and proceedings or actions against us by governmental entities or others. For example, recent automatic renewal laws, which require companies to adhere to enhanced disclosure requirements when entering into automatically renewing contracts with consumers, resulted in class action lawsuits against companies that offer online products and services on a subscription or recurring basis. These and similar proceedings or actions could hurt our reputation, force us to spend significant resources in defense of these proceedings, distract our management, increase our costs of doing business, and cause consumers and paid merchants to decrease their use of our platform, and may result in the imposition of monetary liability. We may also be contractually liable to indemnify and hold harmless third parties from the costs or consequences of non-compliance with any such laws or regulations. In addition, it is possible that governments of one or more countries may seek to censor content available on our apps and websites or may even attempt to completely block access to our platform. Adverse legal or regulatory developments could substantially harm our business.</w:t>
      </w:r>
    </w:p>
    <w:p>
      <w:pPr>
        <w:spacing w:after="0" w:line="289" w:lineRule="exact"/>
        <w:rPr>
          <w:sz w:val="20"/>
          <w:szCs w:val="20"/>
          <w:color w:val="auto"/>
        </w:rPr>
      </w:pPr>
    </w:p>
    <w:p>
      <w:pPr>
        <w:ind w:left="180" w:right="70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on email, mail and other messaging channels and any technical, legal or other restrictions on the sending of such correspondence or a decrease in consumer willingness to receive such correspondence could adversely affect our business.</w:t>
      </w:r>
    </w:p>
    <w:p>
      <w:pPr>
        <w:spacing w:after="0" w:line="52" w:lineRule="exact"/>
        <w:rPr>
          <w:sz w:val="20"/>
          <w:szCs w:val="20"/>
          <w:color w:val="auto"/>
        </w:rPr>
      </w:pPr>
    </w:p>
    <w:p>
      <w:pPr>
        <w:ind w:left="180" w:firstLine="436"/>
        <w:spacing w:after="0" w:line="252" w:lineRule="auto"/>
        <w:rPr>
          <w:sz w:val="20"/>
          <w:szCs w:val="20"/>
          <w:color w:val="auto"/>
        </w:rPr>
      </w:pPr>
      <w:r>
        <w:rPr>
          <w:rFonts w:ascii="Times New Roman" w:cs="Times New Roman" w:eastAsia="Times New Roman" w:hAnsi="Times New Roman"/>
          <w:sz w:val="18"/>
          <w:szCs w:val="18"/>
          <w:color w:val="auto"/>
        </w:rPr>
        <w:t>Our business depends in part upon the emailing and mailing of promotional materials, cards with GoodRx codes and other information to consumers and healthcare providers, and is also significantly dependent on email and other messaging channels, such as text messages. We distribute pricing information and other promotional materials in the mail, and also provide emails, mobile alerts and other messages to consumers informing them of the discounted prices available on our apps and websites. These communications help generate a significant portion of our revenues. Because email, mail and other messaging channels are important to our business, if we are unable to successfully deliver messages to consumers through these channels, if there are legal restrictions on delivering such messages to consumers, if consumers do not or cannot open or otherwise utilize our messages or if consumers reject the receipt of communications referencing particular prescriptions or conditions, our revenues and profitability would be adversely affected.</w:t>
      </w:r>
    </w:p>
    <w:p>
      <w:pPr>
        <w:spacing w:after="0" w:line="185" w:lineRule="exact"/>
        <w:rPr>
          <w:sz w:val="20"/>
          <w:szCs w:val="20"/>
          <w:color w:val="auto"/>
        </w:rPr>
      </w:pPr>
    </w:p>
    <w:p>
      <w:pPr>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Actions taken by third parties that block, impose restrictions on or charge for the delivery of these communications could also harm our business. For example, from time to time, internet service providers or other third parties may block bulk communications or otherwise experience difficulties that result in our inability to successfully deliver communications to consumers. In addition, our use of mail, email and other messaging channels to send communications about our platform or other matters, including health related topics referencing particular prescriptions or conditions, may result in legal claims against us, which if successful might limit or prohibit our ability to send such communications.</w:t>
      </w:r>
    </w:p>
    <w:p>
      <w:pPr>
        <w:spacing w:after="0" w:line="183" w:lineRule="exact"/>
        <w:rPr>
          <w:sz w:val="20"/>
          <w:szCs w:val="20"/>
          <w:color w:val="auto"/>
        </w:rPr>
      </w:pPr>
    </w:p>
    <w:p>
      <w:pPr>
        <w:ind w:left="180" w:right="100" w:firstLine="436"/>
        <w:spacing w:after="0" w:line="253" w:lineRule="auto"/>
        <w:rPr>
          <w:sz w:val="20"/>
          <w:szCs w:val="20"/>
          <w:color w:val="auto"/>
        </w:rPr>
      </w:pPr>
      <w:r>
        <w:rPr>
          <w:rFonts w:ascii="Times New Roman" w:cs="Times New Roman" w:eastAsia="Times New Roman" w:hAnsi="Times New Roman"/>
          <w:sz w:val="18"/>
          <w:szCs w:val="18"/>
          <w:color w:val="auto"/>
        </w:rPr>
        <w:t>We rely on a single third-party service provider for the delivery of substantially all of our mailing communications and rely on third-party service providers for delivery of emails, text messages and other forms of electronic communication. If we were unable to use any one of our current service providers, alternate providers are available; however, we believe our revenue could be impacted for some period as we transition to a new provider, and the new provider may be unable to provide equivalent or satisfactory services. Any disruption or restriction on the distribution of our communications, termination or disruption of our relationships with our third-party service providers, particularly our single third-party service provider for the delivery of mail</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54" w:right="49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communications, or any increase in the associated costs, may be beyond our control and would adversely affect our business.</w:t>
      </w:r>
    </w:p>
    <w:p>
      <w:pPr>
        <w:spacing w:after="0" w:line="3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face the risk of litigation resulting from unauthorized text messages sent in violation of the Telephone Consumer Protection Act.</w:t>
      </w:r>
    </w:p>
    <w:p>
      <w:pPr>
        <w:spacing w:after="0" w:line="118" w:lineRule="exact"/>
        <w:rPr>
          <w:sz w:val="20"/>
          <w:szCs w:val="20"/>
          <w:color w:val="auto"/>
        </w:rPr>
      </w:pPr>
    </w:p>
    <w:p>
      <w:pPr>
        <w:ind w:left="180" w:right="20" w:firstLine="436"/>
        <w:spacing w:after="0" w:line="250" w:lineRule="auto"/>
        <w:rPr>
          <w:sz w:val="20"/>
          <w:szCs w:val="20"/>
          <w:color w:val="auto"/>
        </w:rPr>
      </w:pPr>
      <w:r>
        <w:rPr>
          <w:rFonts w:ascii="Times New Roman" w:cs="Times New Roman" w:eastAsia="Times New Roman" w:hAnsi="Times New Roman"/>
          <w:sz w:val="18"/>
          <w:szCs w:val="18"/>
          <w:color w:val="auto"/>
        </w:rPr>
        <w:t>We send short message service, or SMS, text messages to individuals who are eligible to use our service. The actual or perceived improper sending of text messages may subject us to potential risks, including liabilities or claims relating to consumer protection laws. Numerous class action suits under federal and state laws have been filed in recent years against companies who conduct SMS texting programs, with many resulting in multi-million-dollar settlements to the plaintiffs. We have been, and in the future may be subject to such litigation, which could be costly and time-consuming to defend. The Telephone Consumer Protection Act (TCPA) of 1991, a federal statute that protects consumers from unwanted telephone calls, faxes and text messages, restricts telemarketing and the use of automated SMS text messages without proper consent. Federal or state regulatory authorities or private litigants may claim that the notices and disclosures we provide, form of consents we obtain or our SMS texting practices are not adequate or violate applicable law. This has resulted and may in the future result in civil claims against us. The scope and interpretation of the laws that are or may be applicable to the delivery of text messages are continuously evolving and developing. If we do not comply with these laws or regulations or if we become liable under these laws or regulations, we could face direct liability, could be required to change some portions of our business model, could face negative publicity and our business, financial condition and results of operations could be adversely affected. Even an unsuccessful challenge of our SMS texting practices by our consumers, regulatory authorities or other third parties could result in negative publicity and could require a costly response from and defense by us.</w:t>
      </w:r>
    </w:p>
    <w:p>
      <w:pPr>
        <w:spacing w:after="0" w:line="292" w:lineRule="exact"/>
        <w:rPr>
          <w:sz w:val="20"/>
          <w:szCs w:val="20"/>
          <w:color w:val="auto"/>
        </w:rPr>
      </w:pPr>
    </w:p>
    <w:p>
      <w:pPr>
        <w:ind w:left="180" w:right="64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52" w:lineRule="exact"/>
        <w:rPr>
          <w:sz w:val="20"/>
          <w:szCs w:val="20"/>
          <w:color w:val="auto"/>
        </w:rPr>
      </w:pPr>
    </w:p>
    <w:p>
      <w:pPr>
        <w:ind w:left="180" w:right="100" w:firstLine="436"/>
        <w:spacing w:after="0" w:line="262" w:lineRule="auto"/>
        <w:rPr>
          <w:sz w:val="20"/>
          <w:szCs w:val="20"/>
          <w:color w:val="auto"/>
        </w:rPr>
      </w:pPr>
      <w:r>
        <w:rPr>
          <w:rFonts w:ascii="Times New Roman" w:cs="Times New Roman" w:eastAsia="Times New Roman" w:hAnsi="Times New Roman"/>
          <w:sz w:val="18"/>
          <w:szCs w:val="18"/>
          <w:color w:val="auto"/>
        </w:rPr>
        <w:t>We rely on a variety of marketing techniques, including email and social media marketing and postal mailings, and we are subject to various laws and regulations that govern such marketing and advertising practices. A variety of federal and state laws and regulations govern the collection, use, retention, sharing and security of consumer data, particularly in the context of online advertising, which we rely upon to attract new consumers.</w:t>
      </w:r>
    </w:p>
    <w:p>
      <w:pPr>
        <w:spacing w:after="0" w:line="177" w:lineRule="exact"/>
        <w:rPr>
          <w:sz w:val="20"/>
          <w:szCs w:val="20"/>
          <w:color w:val="auto"/>
        </w:rPr>
      </w:pPr>
    </w:p>
    <w:p>
      <w:pPr>
        <w:ind w:left="180" w:firstLine="436"/>
        <w:spacing w:after="0" w:line="250" w:lineRule="auto"/>
        <w:rPr>
          <w:sz w:val="20"/>
          <w:szCs w:val="20"/>
          <w:color w:val="auto"/>
        </w:rPr>
      </w:pPr>
      <w:r>
        <w:rPr>
          <w:rFonts w:ascii="Times New Roman" w:cs="Times New Roman" w:eastAsia="Times New Roman" w:hAnsi="Times New Roman"/>
          <w:sz w:val="18"/>
          <w:szCs w:val="18"/>
          <w:color w:val="auto"/>
        </w:rPr>
        <w:t>Laws and regulations relating to privacy, data protection, marketing and advertising, and consumer protection are evolving and subject to potentially differing interpretations. These requirements may be interpreted and applied in a manner that varies from one jurisdiction to another and/or may conflict with other law or regulations. As a result, our practices may not have complied or may not comply in the future with all such laws, regulations, requirements and obligations. Any failure, or perceived failure, by us or any of our third-party partners, data centers, or service providers to comply with privacy policies or federal or state privacy or consumer protection-related laws, regulations, industry self-regulatory principles,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consumers, suppliers or others. These proceedings may result in financial liabilities or may require us to change our operations, including ceasing the use or sharing of certain data sets. Any such claims, proceedings or actions could hurt our reputation, brand and business, force us to incur significant expenses in defense of such proceedings or actions, distract our management, increase our costs of doing business, result in a loss of consumers, suppliers, and contracts with PBMs and others and result in the imposition of monetary penalties. We are also contractually required to indemnify and hold harmless certain third parties from the costs or consequences of non-compliance with any laws, regulations or other legal obligations relating to privacy or consumer protection or any inadvertent or unauthorized use or disclosure of data that we store or handle as part of operating our business. Federal and state governmental authorities continue</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80"/>
          </w:cols>
          <w:pgMar w:left="320" w:top="454" w:right="49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spacing w:after="0" w:line="251" w:lineRule="auto"/>
        <w:rPr>
          <w:sz w:val="20"/>
          <w:szCs w:val="20"/>
          <w:color w:val="auto"/>
        </w:rPr>
      </w:pPr>
      <w:r>
        <w:rPr>
          <w:rFonts w:ascii="Times New Roman" w:cs="Times New Roman" w:eastAsia="Times New Roman" w:hAnsi="Times New Roman"/>
          <w:sz w:val="18"/>
          <w:szCs w:val="18"/>
          <w:color w:val="auto"/>
        </w:rPr>
        <w:t>to evaluate the privacy implications inherent in the use of third-party “cookies” and other methods of online tracking for behavioral advertising and other purposes. The U.S. federal and state governments have enacted, and may in the future enact legislation or regulations impacting the ability of companies and individuals to engage in these activities, such as by regulating the level of consumer notice and consent required before a company can employ cookies or other electronic tracking tools or the use of data gathered with such tools. Additionally, some providers of consumer devices and web browsers have implemented, or announced plans to implement, limits on behavioral or targeted advertising and/or means to make it easier for internet users to prevent the placement of cookies or to block other tracking technologies, which could, if widely adopted, result in the decreased effectiveness or use of third-party cookies and other methods of online tracking, targeting or re-targeting. The regulation of the use of these cookies and other current online tracking and advertising practices or a loss in our ability to make effective use of services that employ such technologies could increase our costs of operations and limit our ability to acquire new consumers on cost-effective terms and consequently, materially and adversely affect our business, financial condition and results of operations.</w:t>
      </w:r>
    </w:p>
    <w:p>
      <w:pPr>
        <w:spacing w:after="0" w:line="186" w:lineRule="exact"/>
        <w:rPr>
          <w:sz w:val="20"/>
          <w:szCs w:val="20"/>
          <w:color w:val="auto"/>
        </w:rPr>
      </w:pPr>
    </w:p>
    <w:p>
      <w:pPr>
        <w:ind w:left="180" w:right="100" w:firstLine="436"/>
        <w:spacing w:after="0" w:line="249" w:lineRule="auto"/>
        <w:rPr>
          <w:sz w:val="20"/>
          <w:szCs w:val="20"/>
          <w:color w:val="auto"/>
        </w:rPr>
      </w:pPr>
      <w:r>
        <w:rPr>
          <w:rFonts w:ascii="Times New Roman" w:cs="Times New Roman" w:eastAsia="Times New Roman" w:hAnsi="Times New Roman"/>
          <w:sz w:val="18"/>
          <w:szCs w:val="18"/>
          <w:color w:val="auto"/>
        </w:rPr>
        <w:t>In addition, various federal and state legislative and regulatory bodies, or self-regulatory organizations, may expand current laws or regulations, enact new laws or regulations or issue revised rules or guidance regarding privacy, data protection, consumer protection, and advertising. In June 2018, California enacted the California Consumer Privacy Act of 2018, or the CCPA, which became effective on January 1, 2020. The CCPA creates individual privacy rights for California consumers and increases the privacy and security obligations of entities handling certain personal data. For example, the CCPA gives California residents expanded rights to access and require deletion of their personal information, opt out of certain personal information sharing and receive detailed information about how their personal information is used. Failure to comply with the CCPA may result in attorney general enforcement action and damage to our reputation. The CCPA provides for civil penalties for violations, as well as a private right of action for data breaches that is expected to increase data breach litigation. The CCPA may increase our compliance costs and potential liability. Additionally, a new California ballot initiative, the California Privacy Rights Act, appears to have garnered enough signatures to be included on the November 2020 ballot in California, and if voted into law by California residents, would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Further, many similar laws have been proposed at the federal level and in other states. For instance, the state of Nevada recently enacted a law that went into force on October 1, 2019 and requires companies to honor consumers’ requests to no longer sell their data. Violators may be subject to injunctions and civil penalties of up to $5,000 per violation.</w:t>
      </w:r>
    </w:p>
    <w:p>
      <w:pPr>
        <w:spacing w:after="0" w:line="199" w:lineRule="exact"/>
        <w:rPr>
          <w:sz w:val="20"/>
          <w:szCs w:val="20"/>
          <w:color w:val="auto"/>
        </w:rPr>
      </w:pPr>
    </w:p>
    <w:p>
      <w:pPr>
        <w:ind w:left="180" w:firstLine="436"/>
        <w:spacing w:after="0" w:line="250" w:lineRule="auto"/>
        <w:rPr>
          <w:sz w:val="20"/>
          <w:szCs w:val="20"/>
          <w:color w:val="auto"/>
        </w:rPr>
      </w:pPr>
      <w:r>
        <w:rPr>
          <w:rFonts w:ascii="Times New Roman" w:cs="Times New Roman" w:eastAsia="Times New Roman" w:hAnsi="Times New Roman"/>
          <w:sz w:val="18"/>
          <w:szCs w:val="18"/>
          <w:color w:val="auto"/>
        </w:rPr>
        <w:t>Additionally, the interpretations of existing federal and state consumer protection laws relating to online collection, use, dissemination, and security of health related and other personal information adopted by the FTC, state attorneys general, private plaintiffs, and courts have evolved, and may continue to evolve, over time.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and thus violate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In March 2020, we received a letter from the FTC indicating its intent to investigate our privacy and security practices to determine whether such practices comply with Section 5 of the FTC Act. In April 2020, the FTC sent a request for documents and information relating primarily to our products and services as well as our privacy and security practices. We are cooperating with the FTC’s requests for documents and information. Responding to these requests has and may continue to consume</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60"/>
          </w:cols>
          <w:pgMar w:left="320" w:top="454" w:right="51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40"/>
        <w:spacing w:after="0" w:line="255" w:lineRule="auto"/>
        <w:rPr>
          <w:sz w:val="20"/>
          <w:szCs w:val="20"/>
          <w:color w:val="auto"/>
        </w:rPr>
      </w:pPr>
      <w:r>
        <w:rPr>
          <w:rFonts w:ascii="Times New Roman" w:cs="Times New Roman" w:eastAsia="Times New Roman" w:hAnsi="Times New Roman"/>
          <w:sz w:val="18"/>
          <w:szCs w:val="18"/>
          <w:color w:val="auto"/>
        </w:rPr>
        <w:t>substantial amounts of our time and resources and may divert management’s attention from the business. No assurance can be given regarding the timing or outcome of the investigation. As a result of investigations of this nature, we may face litigation or agree to settlements that can include monetary remedies and/or compliance requirements that may impose significant and material cost and resource burdens on us, require certain aspects of our operations to be overseen by an independent monitor, and/or limit or eliminate our ability to use certain targeting marketing strategies or work with certain third-party vendors. Any of these events could adversely affect our ability to operate our business and our financial results.</w:t>
      </w:r>
    </w:p>
    <w:p>
      <w:pPr>
        <w:spacing w:after="0" w:line="183" w:lineRule="exact"/>
        <w:rPr>
          <w:sz w:val="20"/>
          <w:szCs w:val="20"/>
          <w:color w:val="auto"/>
        </w:rPr>
      </w:pPr>
    </w:p>
    <w:p>
      <w:pPr>
        <w:ind w:left="180" w:right="20" w:firstLine="436"/>
        <w:spacing w:after="0" w:line="252" w:lineRule="auto"/>
        <w:rPr>
          <w:sz w:val="20"/>
          <w:szCs w:val="20"/>
          <w:color w:val="auto"/>
        </w:rPr>
      </w:pPr>
      <w:r>
        <w:rPr>
          <w:rFonts w:ascii="Times New Roman" w:cs="Times New Roman" w:eastAsia="Times New Roman" w:hAnsi="Times New Roman"/>
          <w:sz w:val="18"/>
          <w:szCs w:val="18"/>
          <w:color w:val="auto"/>
        </w:rPr>
        <w:t>In addition, HIPAA, which we believe does not currently apply to most of our business as currently operated, imposes on entities within its jurisdiction, among other things, certain standards relating to the privacy, security, transmission and breach reporting of individually identifiable health information. For example,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w:t>
      </w:r>
    </w:p>
    <w:p>
      <w:pPr>
        <w:spacing w:after="0" w:line="189" w:lineRule="exact"/>
        <w:rPr>
          <w:sz w:val="20"/>
          <w:szCs w:val="20"/>
          <w:color w:val="auto"/>
        </w:rPr>
      </w:pPr>
    </w:p>
    <w:p>
      <w:pPr>
        <w:ind w:left="180" w:right="60" w:firstLine="436"/>
        <w:spacing w:after="0" w:line="257" w:lineRule="auto"/>
        <w:rPr>
          <w:sz w:val="20"/>
          <w:szCs w:val="20"/>
          <w:color w:val="auto"/>
        </w:rPr>
      </w:pPr>
      <w:r>
        <w:rPr>
          <w:rFonts w:ascii="Times New Roman" w:cs="Times New Roman" w:eastAsia="Times New Roman" w:hAnsi="Times New Roman"/>
          <w:sz w:val="18"/>
          <w:szCs w:val="18"/>
          <w:color w:val="auto"/>
        </w:rPr>
        <w:t>Certain states have adopted or are considering adopting comparable privacy and security laws and regulations, some of which may be more stringent or expansive than HIPAA. In addition, legislative proposals on the federal level include comparable privacy and security laws and regulations, which may be more stringent or expansive than HIPAA. Such laws and regulations will be subject to interpretation by various courts and other governmental authorities, thus creating potentially complex compliance issues for us and our consumers and strategic partners.</w:t>
      </w:r>
    </w:p>
    <w:p>
      <w:pPr>
        <w:spacing w:after="0" w:line="285" w:lineRule="exact"/>
        <w:rPr>
          <w:sz w:val="20"/>
          <w:szCs w:val="20"/>
          <w:color w:val="auto"/>
        </w:rPr>
      </w:pPr>
    </w:p>
    <w:p>
      <w:pPr>
        <w:ind w:left="180" w:right="60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tax obligations and effective tax rate, which could materially and adversely affect our results of operations.</w:t>
      </w:r>
    </w:p>
    <w:p>
      <w:pPr>
        <w:spacing w:after="0" w:line="52" w:lineRule="exact"/>
        <w:rPr>
          <w:sz w:val="20"/>
          <w:szCs w:val="20"/>
          <w:color w:val="auto"/>
        </w:rPr>
      </w:pPr>
    </w:p>
    <w:p>
      <w:pPr>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We are subject to U.S. federal and state income taxes.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mix and level of earnings in a given taxing jurisdiction or our ownership or capital structures.</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18" w:lineRule="exact"/>
        <w:rPr>
          <w:sz w:val="20"/>
          <w:szCs w:val="20"/>
          <w:color w:val="auto"/>
        </w:rPr>
      </w:pPr>
    </w:p>
    <w:p>
      <w:pPr>
        <w:ind w:left="180" w:firstLine="436"/>
        <w:spacing w:after="0" w:line="267" w:lineRule="auto"/>
        <w:rPr>
          <w:sz w:val="20"/>
          <w:szCs w:val="20"/>
          <w:color w:val="auto"/>
        </w:rPr>
      </w:pPr>
      <w:r>
        <w:rPr>
          <w:rFonts w:ascii="Times New Roman" w:cs="Times New Roman" w:eastAsia="Times New Roman" w:hAnsi="Times New Roman"/>
          <w:sz w:val="17"/>
          <w:szCs w:val="17"/>
          <w:color w:val="auto"/>
        </w:rPr>
        <w:t>Under Sections 382 and 383 of the Internal Revenue Code of 1986, as amended, or the Code, if a corporation undergoes an “ownership change” (generally defined as a change (by value) in its equity ownership by more than 50 percentage points over a rolling three-year period), the corporation’s ability to use its pre-change net operating loss, or NOL, carryforwards and other pre-change tax attributes to offset its post-change income may be limited. At this time, we have not completed a study to assess whether an ownership change under Section 382 of the Code has occurred, or whether there have been multiple ownership changes since our formation. We may also experience ownership changes in the future as a result of subsequent shifts in our stock ownership. If finalized, Treasury Regulations currently proposed under Section 382 of the Code may further limit our ability to utilize our pre-change NOLs or credits if we undergo a future ownership change. Further, U.S. tax laws limit the time during which NOL carryforwards generated before January 1, 2018 may be applied against future taxes. While NOL carryforwards generated on or after January 1, 2018 are not subject to expiration, the deductibility of such NOL carryforwards is limited to 80% of our taxable income for taxable years beginning on or after January 1, 2021. For these reasons, our ability to utilize NOL carryforwards and other tax attributes to reduce future tax liabilities may be limited.</w:t>
      </w:r>
    </w:p>
    <w:p>
      <w:pPr>
        <w:spacing w:after="0" w:line="1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40"/>
          </w:cols>
          <w:pgMar w:left="320" w:top="454" w:right="5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right="52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 and regulatory compliance may divert its attention from the day-to-day management of our business.</w:t>
      </w:r>
    </w:p>
    <w:p>
      <w:pPr>
        <w:spacing w:after="0" w:line="52" w:lineRule="exact"/>
        <w:rPr>
          <w:sz w:val="20"/>
          <w:szCs w:val="20"/>
          <w:color w:val="auto"/>
        </w:rPr>
      </w:pPr>
    </w:p>
    <w:p>
      <w:pPr>
        <w:ind w:left="180" w:right="40" w:firstLine="436"/>
        <w:spacing w:after="0" w:line="255" w:lineRule="auto"/>
        <w:rPr>
          <w:sz w:val="20"/>
          <w:szCs w:val="20"/>
          <w:color w:val="auto"/>
        </w:rPr>
      </w:pPr>
      <w:r>
        <w:rPr>
          <w:rFonts w:ascii="Times New Roman" w:cs="Times New Roman" w:eastAsia="Times New Roman" w:hAnsi="Times New Roman"/>
          <w:sz w:val="18"/>
          <w:szCs w:val="18"/>
          <w:color w:val="auto"/>
        </w:rPr>
        <w:t>Our management team has limited experience managing a publicly-traded company and limited experience complying with the increasingly complex laws and regulations pertaining to public companies. Our management team may not successfully or efficiently manage our transition to being a public company that will be subject to significant regulatory oversight and reporting obligations under the federal securities laws. In particular, these new obligations will require substantial attention from our senior management and could divert their attention away from the day-to-day management of our business, which would adversely impact our business operations.</w:t>
      </w:r>
    </w:p>
    <w:p>
      <w:pPr>
        <w:spacing w:after="0" w:line="286" w:lineRule="exact"/>
        <w:rPr>
          <w:sz w:val="20"/>
          <w:szCs w:val="20"/>
          <w:color w:val="auto"/>
        </w:rPr>
      </w:pPr>
    </w:p>
    <w:p>
      <w:pPr>
        <w:ind w:left="180" w:right="26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rely on the performance of members of management and highly skilled personnel, and if we are unable to attract, develop, motivate and retain well-qualified employees, our business could be harmed.</w:t>
      </w:r>
    </w:p>
    <w:p>
      <w:pPr>
        <w:spacing w:after="0" w:line="52" w:lineRule="exact"/>
        <w:rPr>
          <w:sz w:val="20"/>
          <w:szCs w:val="20"/>
          <w:color w:val="auto"/>
        </w:rPr>
      </w:pPr>
    </w:p>
    <w:p>
      <w:pPr>
        <w:ind w:left="180" w:firstLine="436"/>
        <w:spacing w:after="0" w:line="268" w:lineRule="auto"/>
        <w:rPr>
          <w:sz w:val="20"/>
          <w:szCs w:val="20"/>
          <w:color w:val="auto"/>
        </w:rPr>
      </w:pPr>
      <w:r>
        <w:rPr>
          <w:rFonts w:ascii="Times New Roman" w:cs="Times New Roman" w:eastAsia="Times New Roman" w:hAnsi="Times New Roman"/>
          <w:sz w:val="17"/>
          <w:szCs w:val="17"/>
          <w:color w:val="auto"/>
        </w:rPr>
        <w:t>Our ability to maintain our competitive position is largely dependent on the services of our senior management and other key personnel. In addition, our future success depends on our continuing ability to attract, develop, motivate and retain highly qualified and skilled employees. The market for such positions is competitive. Qualified individuals are in high demand and we may incur significant costs to attract them. In addition, the loss of any of our senior management or other key employees or our inability to recruit and develop mid-level managers could materially and adversely affect our ability to execute our business plan and we may be unable to find adequate replacements. All of our employees are at-will employees, meaning that they may terminate their employment relationship with us at any time, and their knowledge of our business and industry would be extremely difficult to replace. If we fail to retain talented senior management and other key personnel, or if we do not succeed in attracting well-qualified employees or retaining and motivating existing employees, our business, financial condition and results of operations may be materially adversely affected.</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Future litigation could have a material adverse effect on our business and results of operations.</w:t>
      </w:r>
    </w:p>
    <w:p>
      <w:pPr>
        <w:spacing w:after="0" w:line="118" w:lineRule="exact"/>
        <w:rPr>
          <w:sz w:val="20"/>
          <w:szCs w:val="20"/>
          <w:color w:val="auto"/>
        </w:rPr>
      </w:pPr>
    </w:p>
    <w:p>
      <w:pPr>
        <w:ind w:left="180" w:right="20" w:firstLine="436"/>
        <w:spacing w:after="0" w:line="252" w:lineRule="auto"/>
        <w:rPr>
          <w:sz w:val="20"/>
          <w:szCs w:val="20"/>
          <w:color w:val="auto"/>
        </w:rPr>
      </w:pPr>
      <w:r>
        <w:rPr>
          <w:rFonts w:ascii="Times New Roman" w:cs="Times New Roman" w:eastAsia="Times New Roman" w:hAnsi="Times New Roman"/>
          <w:sz w:val="18"/>
          <w:szCs w:val="18"/>
          <w:color w:val="auto"/>
        </w:rPr>
        <w:t>Lawsuits and other administrative or legal proceedings that may arise in the course of our operations can involve substantial costs, including the costs associated with investigation, litigation and possible settlement, judgment, penalty or fine. In addition, lawsuits and other legal proceedings may be time consuming to defend or prosecute and may require a commitment of management and personnel resources that will be diverted from our normal business operations. Although we generally maintain insurance to mitigate certain costs, there can be no assurance that costs associated with lawsuits or other legal proceedings will not exceed the limits of insurance policies. Moreover, we may be unable to continue to maintain our existing insurance at a reasonable cost, if at all, or to secure additional coverage, which may result in costs associated with lawsuits and other legal proceedings being uninsured. Our business, financial condition and results of operations could be adversely affected if a judgment, settlement penalty or fine is not fully covered by insurance.</w:t>
      </w:r>
    </w:p>
    <w:p>
      <w:pPr>
        <w:spacing w:after="0" w:line="288" w:lineRule="exact"/>
        <w:rPr>
          <w:sz w:val="20"/>
          <w:szCs w:val="20"/>
          <w:color w:val="auto"/>
        </w:rPr>
      </w:pPr>
    </w:p>
    <w:p>
      <w:pPr>
        <w:ind w:left="180" w:right="18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General economic factors, natural disasters or other unexpected events may adversely affect our business, financial performance and results of operations.</w:t>
      </w:r>
    </w:p>
    <w:p>
      <w:pPr>
        <w:spacing w:after="0" w:line="52" w:lineRule="exact"/>
        <w:rPr>
          <w:sz w:val="20"/>
          <w:szCs w:val="20"/>
          <w:color w:val="auto"/>
        </w:rPr>
      </w:pPr>
    </w:p>
    <w:p>
      <w:pPr>
        <w:ind w:left="180" w:right="220" w:firstLine="436"/>
        <w:spacing w:after="0" w:line="251" w:lineRule="auto"/>
        <w:rPr>
          <w:sz w:val="20"/>
          <w:szCs w:val="20"/>
          <w:color w:val="auto"/>
        </w:rPr>
      </w:pPr>
      <w:r>
        <w:rPr>
          <w:rFonts w:ascii="Times New Roman" w:cs="Times New Roman" w:eastAsia="Times New Roman" w:hAnsi="Times New Roman"/>
          <w:sz w:val="18"/>
          <w:szCs w:val="18"/>
          <w:color w:val="auto"/>
        </w:rPr>
        <w:t>Although we only operate in the United States, our business, financial performance and results of operations depend in part on worldwide macroeconomic economic conditions and their impact on consumer spending. Recessionary economic cycles, higher interest rates, volatile fuel and energy costs, inflation, levels of unemployment, conditions in the residential real estate and mortgage markets, access to credit, consumer debt levels, unsettled financial markets and other economic factors that may affect costs of manufacturing prescription medications, consumer spending or buying habits could materially and adversely affect demand for our offerings. Volatility in the financial markets has also had and may continue to have a negative impact on consumer spending patterns. In addition, negative national or global economic conditions may materially and adversely affect the PBMs we contract with and their associated pharmacy networks, financial performance, liquidity and access to capital. This may affect their ability to renew contracts with us on the same or better terms, which could impact the competitiveness of the discounted prices we are able to offer our consumers, which could harm our business, financial condition and results of operations.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80"/>
          </w:cols>
          <w:pgMar w:left="320" w:top="454" w:right="4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40" w:firstLine="436"/>
        <w:spacing w:after="0" w:line="252" w:lineRule="auto"/>
        <w:rPr>
          <w:sz w:val="20"/>
          <w:szCs w:val="20"/>
          <w:color w:val="auto"/>
        </w:rPr>
      </w:pPr>
      <w:r>
        <w:rPr>
          <w:rFonts w:ascii="Times New Roman" w:cs="Times New Roman" w:eastAsia="Times New Roman" w:hAnsi="Times New Roman"/>
          <w:sz w:val="18"/>
          <w:szCs w:val="18"/>
          <w:color w:val="auto"/>
        </w:rPr>
        <w:t>Economic factors such as increased insurance and healthcare costs, commodity prices, shipping costs, inflation, higher costs of labor, and changes in or interpretations of other laws, regulations and taxes may also increase our costs and our make our offerings less competitive, increase general and administrative expenses, and otherwise adversely affect our financial condition and results of operations. Additionally, public health crises, natural disasters, such as earthquakes and wildfires, and other adverse weather and climate conditions, political crises, such as terrorist attacks, war and other political instability or other unexpected events, could disrupt our operations, internet or mobile networks or the operations of PBMs and their pharmacy networks. For example, our corporate headquarters and other facilities are located in California, which in the past has experienced both severe earthquakes and wildfires. If any of these events occurs, our business could be adversely affected.</w:t>
      </w:r>
    </w:p>
    <w:p>
      <w:pPr>
        <w:spacing w:after="0" w:line="291" w:lineRule="exact"/>
        <w:rPr>
          <w:sz w:val="20"/>
          <w:szCs w:val="20"/>
          <w:color w:val="auto"/>
        </w:rPr>
      </w:pPr>
    </w:p>
    <w:p>
      <w:pPr>
        <w:ind w:left="180" w:right="8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which may not be available to us on favorable terms, or at all, and may dilute your ownership of our Class A common stock.</w:t>
      </w:r>
    </w:p>
    <w:p>
      <w:pPr>
        <w:spacing w:after="0" w:line="52" w:lineRule="exact"/>
        <w:rPr>
          <w:sz w:val="20"/>
          <w:szCs w:val="20"/>
          <w:color w:val="auto"/>
        </w:rPr>
      </w:pPr>
    </w:p>
    <w:p>
      <w:pPr>
        <w:ind w:left="180" w:firstLine="436"/>
        <w:spacing w:after="0" w:line="250"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capital to fund and support our business, to respond to competitive challenges or take advantage of strategic opportunities. Accordingly, we may require additional capital from equity or debt financing in the future and may not be able to secure timely additional financing on favorable terms, or at all. The terms of any additional financing may place limits on our financial and operating flexibility, including our ability to issue or repurchase equity, develop new or enhanced existing offerings, complete acquisitions or otherwise take advantage of business opportunities. If we raise additional funds or finance acquisitions through further issuances of equity, convertible debt securities or other securities convertible into equity, you and our other stockholders could suffer significant dilution in your percentage ownership of our company, and any new securities we issue could have rights, preferences and privileges senior to those of holders of our Class A common stock. If we raise additional funds through debt financing, such financing could impose restrictive covenants relating to our capital-raising activities and other financial and operational matters, which may make it more difficult for us to obtain additional capital or to pursue business opportunities, including potential acquisitions. If we are unable to obtain adequate financing or financing on terms satisfactory to us, if and when we require it, including as a result of the disruption to the capital and debt markets caused by the COVID-19 pandemic or a similar pandemic, our ability to grow or support our business and to respond to business challenges could be significantly limited.</w:t>
      </w:r>
    </w:p>
    <w:p>
      <w:pPr>
        <w:spacing w:after="0" w:line="294" w:lineRule="exact"/>
        <w:rPr>
          <w:sz w:val="20"/>
          <w:szCs w:val="20"/>
          <w:color w:val="auto"/>
        </w:rPr>
      </w:pPr>
    </w:p>
    <w:p>
      <w:pPr>
        <w:jc w:val="both"/>
        <w:ind w:left="180" w:right="140" w:firstLine="43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acquisitions of, or investments in, new or complementary businesses, technologies or products, or through strategic alliances, and the failure to manage these acquisitions, investments or alliances, or to integrate them with our existing business, could have a material adverse effect on us.</w:t>
      </w:r>
    </w:p>
    <w:p>
      <w:pPr>
        <w:spacing w:after="0" w:line="66" w:lineRule="exact"/>
        <w:rPr>
          <w:sz w:val="20"/>
          <w:szCs w:val="20"/>
          <w:color w:val="auto"/>
        </w:rPr>
      </w:pPr>
    </w:p>
    <w:p>
      <w:pPr>
        <w:ind w:left="180" w:right="40" w:firstLine="436"/>
        <w:spacing w:after="0" w:line="253" w:lineRule="auto"/>
        <w:rPr>
          <w:sz w:val="20"/>
          <w:szCs w:val="20"/>
          <w:color w:val="auto"/>
        </w:rPr>
      </w:pPr>
      <w:r>
        <w:rPr>
          <w:rFonts w:ascii="Times New Roman" w:cs="Times New Roman" w:eastAsia="Times New Roman" w:hAnsi="Times New Roman"/>
          <w:sz w:val="18"/>
          <w:szCs w:val="18"/>
          <w:color w:val="auto"/>
        </w:rPr>
        <w:t>We have completed a number of strategic acquisitions in the past, including HeyDoctor in 2019 and Scriptcycle in 2020, and may in the future consider opportunities to acquire or make investments in new or complementary businesses, technologies, offerings, or products, or enter into strategic alliances, that may enhance our capabilities, expand our pharmacy or PBM networks and healthcare platform in general, complement our current offerings or expand the breadth of our markets. Our ability to successfully grow through these types of strategic transactions depends upon our ability to identify, negotiate, complete and integrate suitable target businesses, technologies and products and to obtain any necessary financing, and is subject to numerous risks, including:</w:t>
      </w:r>
    </w:p>
    <w:p>
      <w:pPr>
        <w:spacing w:after="0" w:line="93" w:lineRule="exact"/>
        <w:rPr>
          <w:sz w:val="20"/>
          <w:szCs w:val="20"/>
          <w:color w:val="auto"/>
        </w:rPr>
      </w:pPr>
    </w:p>
    <w:p>
      <w:pPr>
        <w:ind w:left="1140" w:hanging="43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acquisition, investment or other strategic alliance opportunities that we deem suitable or available on favorable terms;</w:t>
      </w:r>
    </w:p>
    <w:p>
      <w:pPr>
        <w:spacing w:after="0" w:line="126" w:lineRule="exact"/>
        <w:rPr>
          <w:rFonts w:ascii="Times New Roman" w:cs="Times New Roman" w:eastAsia="Times New Roman" w:hAnsi="Times New Roman"/>
          <w:sz w:val="18"/>
          <w:szCs w:val="18"/>
          <w:color w:val="auto"/>
        </w:rPr>
      </w:pPr>
    </w:p>
    <w:p>
      <w:pPr>
        <w:ind w:left="1140" w:right="40" w:hanging="432"/>
        <w:spacing w:after="0" w:line="277"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acquired business, technologies or products, including issues maintaining uniform standards, procedures, controls and policies;</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acquisitions, investments or strategic alliances;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our overall margins;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existing business;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consumers, pharmacies and PBMs;</w:t>
      </w:r>
    </w:p>
    <w:p>
      <w:pPr>
        <w:spacing w:after="0" w:line="153"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w:t>
      </w:r>
    </w:p>
    <w:p>
      <w:pPr>
        <w:sectPr>
          <w:pgSz w:w="11900" w:h="16838" w:orient="portrait"/>
          <w:cols w:equalWidth="0" w:num="1">
            <w:col w:w="11060"/>
          </w:cols>
          <w:pgMar w:left="320" w:top="454" w:right="51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140" w:hanging="43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may have limited or no experience;</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acquired businesses; and</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compliance costs.</w:t>
      </w:r>
    </w:p>
    <w:p>
      <w:pPr>
        <w:spacing w:after="0" w:line="220" w:lineRule="exact"/>
        <w:rPr>
          <w:sz w:val="20"/>
          <w:szCs w:val="20"/>
          <w:color w:val="auto"/>
        </w:rPr>
      </w:pPr>
    </w:p>
    <w:p>
      <w:pPr>
        <w:jc w:val="both"/>
        <w:ind w:left="180" w:right="80" w:firstLine="436"/>
        <w:spacing w:after="0" w:line="262"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In the future, if our acquisitions do not yield expected returns, we may be required to take impairment charges to our results of operations based on our impairment assessment process, which could harm our results of operations.</w:t>
      </w:r>
    </w:p>
    <w:p>
      <w:pPr>
        <w:spacing w:after="0" w:line="177" w:lineRule="exact"/>
        <w:rPr>
          <w:sz w:val="20"/>
          <w:szCs w:val="20"/>
          <w:color w:val="auto"/>
        </w:rPr>
      </w:pPr>
    </w:p>
    <w:p>
      <w:pPr>
        <w:jc w:val="both"/>
        <w:ind w:left="180" w:right="200" w:firstLine="436"/>
        <w:spacing w:after="0" w:line="285" w:lineRule="auto"/>
        <w:rPr>
          <w:sz w:val="20"/>
          <w:szCs w:val="20"/>
          <w:color w:val="auto"/>
        </w:rPr>
      </w:pPr>
      <w:r>
        <w:rPr>
          <w:rFonts w:ascii="Times New Roman" w:cs="Times New Roman" w:eastAsia="Times New Roman" w:hAnsi="Times New Roman"/>
          <w:sz w:val="17"/>
          <w:szCs w:val="17"/>
          <w:color w:val="auto"/>
        </w:rPr>
        <w:t>If we are unable to identify suitable acquisitions or strategic relationships, or if we are unable to integrate any acquired businesses, technologies and products effectively, our business, financial condition and results of operations could be materially and adversely affected. Also, while we employ several different methodologies to assess potential business opportunities, the new businesses may not meet or exceed our expectations.</w:t>
      </w:r>
    </w:p>
    <w:p>
      <w:pPr>
        <w:spacing w:after="0" w:line="261" w:lineRule="exact"/>
        <w:rPr>
          <w:sz w:val="20"/>
          <w:szCs w:val="20"/>
          <w:color w:val="auto"/>
        </w:rPr>
      </w:pPr>
    </w:p>
    <w:p>
      <w:pPr>
        <w:ind w:left="180" w:right="2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Restrictions in our debt arrangements could adversely affect our operating flexibility, and failure to comply with any of these restrictions could result in acceleration of our debt.</w:t>
      </w:r>
    </w:p>
    <w:p>
      <w:pPr>
        <w:spacing w:after="0" w:line="52" w:lineRule="exact"/>
        <w:rPr>
          <w:sz w:val="20"/>
          <w:szCs w:val="20"/>
          <w:color w:val="auto"/>
        </w:rPr>
      </w:pPr>
    </w:p>
    <w:p>
      <w:pPr>
        <w:ind w:left="180" w:right="60" w:firstLine="436"/>
        <w:spacing w:after="0" w:line="251" w:lineRule="auto"/>
        <w:rPr>
          <w:sz w:val="20"/>
          <w:szCs w:val="20"/>
          <w:color w:val="auto"/>
        </w:rPr>
      </w:pPr>
      <w:r>
        <w:rPr>
          <w:rFonts w:ascii="Times New Roman" w:cs="Times New Roman" w:eastAsia="Times New Roman" w:hAnsi="Times New Roman"/>
          <w:sz w:val="18"/>
          <w:szCs w:val="18"/>
          <w:color w:val="auto"/>
        </w:rPr>
        <w:t>In October 2018, GoodRx, Inc., our wholly owned subsidiary, as borrower, and GoodRx Intermediate Holdings, LLC, entered into a first lien credit agreement with various lenders, or the First Lien Credit Agreement. The First Lien Credit Agreement provided for a $40.0 million secured asset-based revolving credit facility, or the Revolving Credit Facility, and a $545.0 million senior secured term loan facility, or the First Lien Term Loan Facility (together with the Revolving Credit Facility, the Credit Facilities). In November 2019, the First Lien Term Loan Facility was amended to increase the amount of the facility to $700.0 million. In addition, in May 2020, the Revolving Credit Facility was amended to increase the amount of the facility to $100.0 million. As of June 30, 2020, we had $696.9 million of debt outstanding under our Credit Facilities, net of unamortized debt discount of $15.7 million, and the capacity to incur $62.9 million in additional indebtedness, subject to certain covenant requirements. Our expected debt service interest payment for 2020 is approximately $25.8 million. These debt arrangements and additional debt arrangements that we expect to enter into in the future will limit our ability to, among other things:</w:t>
      </w:r>
    </w:p>
    <w:p>
      <w:pPr>
        <w:spacing w:after="0" w:line="96" w:lineRule="exact"/>
        <w:rPr>
          <w:sz w:val="20"/>
          <w:szCs w:val="20"/>
          <w:color w:val="auto"/>
        </w:rPr>
      </w:pPr>
    </w:p>
    <w:p>
      <w:pPr>
        <w:ind w:left="1140" w:hanging="43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debt;</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other restricted payments;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and acquisitions;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certain liens or permit them to exist;</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otherwise transfer, sell or dispose of all or substantially all of our assets;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types of restrictive agreements; and</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types of transactions with affiliates.</w:t>
      </w:r>
    </w:p>
    <w:p>
      <w:pPr>
        <w:spacing w:after="0" w:line="220" w:lineRule="exact"/>
        <w:rPr>
          <w:sz w:val="20"/>
          <w:szCs w:val="20"/>
          <w:color w:val="auto"/>
        </w:rPr>
      </w:pPr>
    </w:p>
    <w:p>
      <w:pPr>
        <w:ind w:left="180" w:firstLine="436"/>
        <w:spacing w:after="0" w:line="252" w:lineRule="auto"/>
        <w:rPr>
          <w:sz w:val="20"/>
          <w:szCs w:val="20"/>
          <w:color w:val="auto"/>
        </w:rPr>
      </w:pPr>
      <w:r>
        <w:rPr>
          <w:rFonts w:ascii="Times New Roman" w:cs="Times New Roman" w:eastAsia="Times New Roman" w:hAnsi="Times New Roman"/>
          <w:sz w:val="18"/>
          <w:szCs w:val="18"/>
          <w:color w:val="auto"/>
        </w:rPr>
        <w:t>We are also required to comply with certain financial ratios set forth in our First Lien Credit Agreement. Certain provisions in our current and future debt arrangements, including the First Lien Credit Agreement, may affect our ability to obtain future financing and to pursue attractive business opportunities and our flexibility in planning for, and reacting to, changes in business conditions. As a result, restrictions in our current and future debt arrangements could adversely affect our business, financial condition and results of operations. In addition, a failure to comply with the provisions of our current and future debt arrangements, including our First Lien Credit Agreement, could result in a default or an event of default that could enable our lenders to declare the outstanding principal of that debt, together with accrued and unpaid interest, to be immediately due and payable. If we were unable to repay those amounts, the lenders under our First Lien Credit Agreement and any other future secured debt agreement could proceed against the collateral granted to them to secure that indebtedness.</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80"/>
          </w:cols>
          <w:pgMar w:left="320" w:top="454" w:right="49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40"/>
        <w:spacing w:after="0" w:line="262" w:lineRule="auto"/>
        <w:rPr>
          <w:sz w:val="20"/>
          <w:szCs w:val="20"/>
          <w:color w:val="auto"/>
        </w:rPr>
      </w:pPr>
      <w:r>
        <w:rPr>
          <w:rFonts w:ascii="Times New Roman" w:cs="Times New Roman" w:eastAsia="Times New Roman" w:hAnsi="Times New Roman"/>
          <w:sz w:val="18"/>
          <w:szCs w:val="18"/>
          <w:color w:val="auto"/>
        </w:rPr>
        <w:t>We have pledged substantially all of our subsidiaries’ assets, including, among other things, equity interests of GoodRx, Inc. and its subsidiaries, as collateral under the First Lien Credit Agreement. If the payment of outstanding amounts under our First Lien Credit Agreement is accelerated, our assets may be insufficient to repay such amounts in full, and our common stockholders could experience a partial or total loss of their investment.</w:t>
      </w:r>
    </w:p>
    <w:p>
      <w:pPr>
        <w:spacing w:after="0" w:line="280" w:lineRule="exact"/>
        <w:rPr>
          <w:sz w:val="20"/>
          <w:szCs w:val="20"/>
          <w:color w:val="auto"/>
        </w:rPr>
      </w:pPr>
    </w:p>
    <w:p>
      <w:pPr>
        <w:ind w:left="180" w:right="80" w:firstLine="43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network and mobile infrastructure and our ability to maintain and scale our technology. Any significant interruptions or delays in service on our apps or websites or any undetected errors or design faults could result in limited capacity, reduced demand, processing delays and loss of consumers.</w:t>
      </w:r>
    </w:p>
    <w:p>
      <w:pPr>
        <w:spacing w:after="0" w:line="66" w:lineRule="exact"/>
        <w:rPr>
          <w:sz w:val="20"/>
          <w:szCs w:val="20"/>
          <w:color w:val="auto"/>
        </w:rPr>
      </w:pPr>
    </w:p>
    <w:p>
      <w:pPr>
        <w:ind w:left="180" w:firstLine="436"/>
        <w:spacing w:after="0" w:line="250" w:lineRule="auto"/>
        <w:rPr>
          <w:sz w:val="20"/>
          <w:szCs w:val="20"/>
          <w:color w:val="auto"/>
        </w:rPr>
      </w:pPr>
      <w:r>
        <w:rPr>
          <w:rFonts w:ascii="Times New Roman" w:cs="Times New Roman" w:eastAsia="Times New Roman" w:hAnsi="Times New Roman"/>
          <w:sz w:val="18"/>
          <w:szCs w:val="18"/>
          <w:color w:val="auto"/>
        </w:rPr>
        <w:t>A key element of our strategy is to generate a significant number of visitors to, and their use of, our apps and websites. Our reputation and ability to acquire, retain and serve our consumers are dependent upon the reliable performance of our apps and websites and the underlying network infrastructure. As our base of consumers and the amount of information shared on our apps and websites continue to grow, we will need an increasing amount of network capacity and computing power. We have spent and expect to continue to spend substantial amounts on computing, including cloud computing and the related infrastructure, to handle the traffic on our apps and websites. The operation of these systems is complex and could result in operational failures. In the event that the traffic of our consumers exceeds the capacity of our current network infrastructure or in the event that our base of consumers or the amount of traffic on our apps and websites grows more quickly than anticipated, we may be required to incur significant additional costs to enhance the underlying network infrastructure. Interruptions or delays in these systems, whether due to system failures, computer viruses, physical or electronic break-ins, undetected errors, design faults or other unexpected events or causes, could affect the security or availability of our apps and websites and prevent our consumers from accessing our apps and websites. If sustained or repeated, these performance issues could reduce the attractiveness of our offerings. In addition, the costs and complexities involved in expanding and upgrading our systems may prevent us from doing so in a timely manner and may prevent us from adequately meeting the demand placed on our systems. Any internet or mobile platform interruption or inadequacy that causes performance issues or interruptions in the availability of our apps or websites could reduce consumer satisfaction and result in a reduction in the number of consumers using our offerings.</w:t>
      </w:r>
    </w:p>
    <w:p>
      <w:pPr>
        <w:spacing w:after="0" w:line="187" w:lineRule="exact"/>
        <w:rPr>
          <w:sz w:val="20"/>
          <w:szCs w:val="20"/>
          <w:color w:val="auto"/>
        </w:rPr>
      </w:pPr>
    </w:p>
    <w:p>
      <w:pPr>
        <w:jc w:val="both"/>
        <w:ind w:left="180" w:right="380" w:firstLine="436"/>
        <w:spacing w:after="0" w:line="257" w:lineRule="auto"/>
        <w:rPr>
          <w:sz w:val="20"/>
          <w:szCs w:val="20"/>
          <w:color w:val="auto"/>
        </w:rPr>
      </w:pPr>
      <w:r>
        <w:rPr>
          <w:rFonts w:ascii="Times New Roman" w:cs="Times New Roman" w:eastAsia="Times New Roman" w:hAnsi="Times New Roman"/>
          <w:sz w:val="18"/>
          <w:szCs w:val="18"/>
          <w:color w:val="auto"/>
        </w:rPr>
        <w:t>We depend on the development and maintenance of the internet and mobile infrastructure. This includes maintenance of reliable internet and mobile infrastructure with the necessary speed, data capacity and security, as well as timely development of complementary offerings, for providing reliable internet and mobile access. Our business, financial condition and results of operations could be materially and adversely affected if for any reason the reliability of our internet and mobile infrastructure is compromised.</w:t>
      </w:r>
    </w:p>
    <w:p>
      <w:pPr>
        <w:spacing w:after="0" w:line="182" w:lineRule="exact"/>
        <w:rPr>
          <w:sz w:val="20"/>
          <w:szCs w:val="20"/>
          <w:color w:val="auto"/>
        </w:rPr>
      </w:pPr>
    </w:p>
    <w:p>
      <w:pPr>
        <w:ind w:left="180" w:right="60" w:firstLine="436"/>
        <w:spacing w:after="0" w:line="252" w:lineRule="auto"/>
        <w:rPr>
          <w:sz w:val="20"/>
          <w:szCs w:val="20"/>
          <w:color w:val="auto"/>
        </w:rPr>
      </w:pPr>
      <w:r>
        <w:rPr>
          <w:rFonts w:ascii="Times New Roman" w:cs="Times New Roman" w:eastAsia="Times New Roman" w:hAnsi="Times New Roman"/>
          <w:sz w:val="18"/>
          <w:szCs w:val="18"/>
          <w:color w:val="auto"/>
        </w:rPr>
        <w:t>We currently rely upon third-party data storage providers, including cloud storage solution providers, such as Amazon Web Services and some specific uses of Google Cloud Platform. Nearly all of our data storage and analytics are conducted on, and the data and content we create associated with sales on our apps and websites are processed through, servers hosted by these providers, particularly Amazon Web Services. We also rely on email service providers, bandwidth providers, internet service providers and mobile networks to deliver email and “push” communications to consumers and to allow consumers to access our websites.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Amazon Web Services, and if such agreements are terminated, we may not be able to enter into similar relationships in the future on reasonable terms or at all.</w:t>
      </w:r>
    </w:p>
    <w:p>
      <w:pPr>
        <w:spacing w:after="0" w:line="185" w:lineRule="exact"/>
        <w:rPr>
          <w:sz w:val="20"/>
          <w:szCs w:val="20"/>
          <w:color w:val="auto"/>
        </w:rPr>
      </w:pPr>
    </w:p>
    <w:p>
      <w:pPr>
        <w:ind w:left="180" w:right="40" w:firstLine="436"/>
        <w:spacing w:after="0" w:line="262" w:lineRule="auto"/>
        <w:rPr>
          <w:sz w:val="20"/>
          <w:szCs w:val="20"/>
          <w:color w:val="auto"/>
        </w:rPr>
      </w:pPr>
      <w:r>
        <w:rPr>
          <w:rFonts w:ascii="Times New Roman" w:cs="Times New Roman" w:eastAsia="Times New Roman" w:hAnsi="Times New Roman"/>
          <w:sz w:val="18"/>
          <w:szCs w:val="18"/>
          <w:color w:val="auto"/>
        </w:rPr>
        <w:t>Any damage to, or failure of, our systems or the systems of our third-party data centers or our other third-party providers could result in interruptions to the availability or functionality of our apps and websites. As a result, we could lose consumer data and miss opportunities to acquire and retain consumers, which could result in decreased revenue. If for any reason our arrangements with our data centers or third-party providers are</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80"/>
          </w:cols>
          <w:pgMar w:left="320" w:top="454" w:right="49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both"/>
        <w:ind w:left="180" w:right="40"/>
        <w:spacing w:after="0" w:line="257" w:lineRule="auto"/>
        <w:rPr>
          <w:sz w:val="20"/>
          <w:szCs w:val="20"/>
          <w:color w:val="auto"/>
        </w:rPr>
      </w:pPr>
      <w:r>
        <w:rPr>
          <w:rFonts w:ascii="Times New Roman" w:cs="Times New Roman" w:eastAsia="Times New Roman" w:hAnsi="Times New Roman"/>
          <w:sz w:val="18"/>
          <w:szCs w:val="18"/>
          <w:color w:val="auto"/>
        </w:rPr>
        <w:t>terminated or interrupted, such termination or interruption could adversely affect our business, financial condition and results of operations. We exercise little control over these providers, which increases our vulnerability to problems with the services they provide. We could experience additional expense in arranging for new facilities, technology, services and support. In addition, the failure of our third-party data centers or any other third-party providers to meet our capacity requirements could result in interruption in the availability or functionality of our apps and websites.</w:t>
      </w:r>
    </w:p>
    <w:p>
      <w:pPr>
        <w:spacing w:after="0" w:line="182" w:lineRule="exact"/>
        <w:rPr>
          <w:sz w:val="20"/>
          <w:szCs w:val="20"/>
          <w:color w:val="auto"/>
        </w:rPr>
      </w:pPr>
    </w:p>
    <w:p>
      <w:pPr>
        <w:ind w:left="180" w:right="120" w:firstLine="436"/>
        <w:spacing w:after="0" w:line="255" w:lineRule="auto"/>
        <w:rPr>
          <w:sz w:val="20"/>
          <w:szCs w:val="20"/>
          <w:color w:val="auto"/>
        </w:rPr>
      </w:pPr>
      <w:r>
        <w:rPr>
          <w:rFonts w:ascii="Times New Roman" w:cs="Times New Roman" w:eastAsia="Times New Roman" w:hAnsi="Times New Roman"/>
          <w:sz w:val="18"/>
          <w:szCs w:val="18"/>
          <w:color w:val="auto"/>
        </w:rPr>
        <w:t>The satisfactory performance, reliability and availability of our apps, websites, transaction processing systems and technology infrastructure are critical to our reputation and our ability to acquire and retain consumers, as well as to maintain adequate consumer service levels. Our revenue depends in part on the number of consumers that visit and use our apps and websites in fulfilling their healthcare needs. Unavailability of our apps or websites could materially and adversely affect consumer perception of our brand. Any slowdown or failure of our apps, websites or the underlying technology infrastructure could harm our business, reputation and our ability to acquire, retain and serve our consumers.</w:t>
      </w:r>
    </w:p>
    <w:p>
      <w:pPr>
        <w:spacing w:after="0" w:line="183" w:lineRule="exact"/>
        <w:rPr>
          <w:sz w:val="20"/>
          <w:szCs w:val="20"/>
          <w:color w:val="auto"/>
        </w:rPr>
      </w:pPr>
    </w:p>
    <w:p>
      <w:pPr>
        <w:ind w:left="180" w:firstLine="436"/>
        <w:spacing w:after="0" w:line="250" w:lineRule="auto"/>
        <w:rPr>
          <w:sz w:val="20"/>
          <w:szCs w:val="20"/>
          <w:color w:val="auto"/>
        </w:rPr>
      </w:pPr>
      <w:r>
        <w:rPr>
          <w:rFonts w:ascii="Times New Roman" w:cs="Times New Roman" w:eastAsia="Times New Roman" w:hAnsi="Times New Roman"/>
          <w:sz w:val="18"/>
          <w:szCs w:val="18"/>
          <w:color w:val="auto"/>
        </w:rPr>
        <w:t>The occurrence of a natural disaster, power loss, telecommunications failure, data loss, computer virus, an act of terrorism, cyberattack, vandalism or sabotage, act of war or any similar event, or a decision to close our third-party data centers on which we normally operate or the facilities of any other third-party provider without adequate notice or other unanticipated problems at these facilities could result in lengthy interruptions in the availability of our apps and websites. Cloud computing, in particular, is dependent upon having access to an internet connection in order to retrieve data. If a natural disaster, blackout or other unforeseen event were to occur that disrupted the ability to obtain an internet connection, we may experience a slowdown or delay in our operations. While we have some limited disaster recovery arrangements in place, our preparations may not be adequate to account for disasters or similar events that may occur in the future and may not effectively permit us to continue operating in the event of any problems with respect to our systems or those of our third-party data centers or any other third-party facilities. Our disaster recovery and data redundancy plans may be inadequate, and our business interruption insurance may not be sufficient to compensate us for the losses that could occur. If any such event were to occur to our business, our operations could be impaired and our business, financial condition and results of operations may be materially and adversely affected.</w:t>
      </w:r>
    </w:p>
    <w:p>
      <w:pPr>
        <w:spacing w:after="0" w:line="2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third-party platforms such as the Apple App Store and Google Play App Store, to distribute our platform and offerings.</w:t>
      </w:r>
    </w:p>
    <w:p>
      <w:pPr>
        <w:spacing w:after="0" w:line="118" w:lineRule="exact"/>
        <w:rPr>
          <w:sz w:val="20"/>
          <w:szCs w:val="20"/>
          <w:color w:val="auto"/>
        </w:rPr>
      </w:pPr>
    </w:p>
    <w:p>
      <w:pPr>
        <w:ind w:left="180" w:right="80" w:firstLine="436"/>
        <w:spacing w:after="0" w:line="251" w:lineRule="auto"/>
        <w:rPr>
          <w:sz w:val="20"/>
          <w:szCs w:val="20"/>
          <w:color w:val="auto"/>
        </w:rPr>
      </w:pPr>
      <w:r>
        <w:rPr>
          <w:rFonts w:ascii="Times New Roman" w:cs="Times New Roman" w:eastAsia="Times New Roman" w:hAnsi="Times New Roman"/>
          <w:sz w:val="18"/>
          <w:szCs w:val="18"/>
          <w:color w:val="auto"/>
        </w:rPr>
        <w:t>Our apps are accessed and operate through third-party platforms or marketplaces, including the Apple App Store and Google Play App Store, which also serve as significant online distribution platforms for our apps. As a result, the expansion and prospects of our business and our apps depend on our continued relationships with these providers and any other emerging platform providers that are widely adopted by consumers. We are subject to the standard terms and conditions that these providers have for application developers, which govern the content, promotion, distribution and operation of apps on their platforms or marketplaces, and which the providers can change unilaterally on short or no notice. Our business would be harmed if the providers discontinue or limit our access to their platforms or marketplaces; the platforms or marketplaces decline in popularity; the platforms modify their algorithms, communication channels available to developers, respective terms of service or other policies, including fees; the providers adopt changes or updates to their technology that impede integration with other software systems or otherwise require us to modify our technology or update our apps in order to ensure that consumers can continue to access and use our GoodRx codes and pricing information.</w:t>
      </w:r>
    </w:p>
    <w:p>
      <w:pPr>
        <w:spacing w:after="0" w:line="189" w:lineRule="exact"/>
        <w:rPr>
          <w:sz w:val="20"/>
          <w:szCs w:val="20"/>
          <w:color w:val="auto"/>
        </w:rPr>
      </w:pPr>
    </w:p>
    <w:p>
      <w:pPr>
        <w:ind w:left="180" w:right="280" w:firstLine="436"/>
        <w:spacing w:after="0" w:line="255" w:lineRule="auto"/>
        <w:rPr>
          <w:sz w:val="20"/>
          <w:szCs w:val="20"/>
          <w:color w:val="auto"/>
        </w:rPr>
      </w:pPr>
      <w:r>
        <w:rPr>
          <w:rFonts w:ascii="Times New Roman" w:cs="Times New Roman" w:eastAsia="Times New Roman" w:hAnsi="Times New Roman"/>
          <w:sz w:val="18"/>
          <w:szCs w:val="18"/>
          <w:color w:val="auto"/>
        </w:rPr>
        <w:t>If alternative providers increase in popularity, we could be adversely impacted if we fail to create compatible versions of our apps in a timely manner, or if we fail to establish a relationship with such alternative providers. Likewise, if our current providers alter their operating platforms, we could be adversely impacted as our offerings may not be compatible with the altered platforms or may require significant and costly modifications in order to become compatible. If our providers do not perform their obligations in accordance with our platform agreements, we could be adversely impacted.</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60"/>
          </w:cols>
          <w:pgMar w:left="320" w:top="454" w:right="51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180" w:firstLine="436"/>
        <w:spacing w:after="0" w:line="257" w:lineRule="auto"/>
        <w:rPr>
          <w:sz w:val="20"/>
          <w:szCs w:val="20"/>
          <w:color w:val="auto"/>
        </w:rPr>
      </w:pPr>
      <w:r>
        <w:rPr>
          <w:rFonts w:ascii="Times New Roman" w:cs="Times New Roman" w:eastAsia="Times New Roman" w:hAnsi="Times New Roman"/>
          <w:sz w:val="18"/>
          <w:szCs w:val="18"/>
          <w:color w:val="auto"/>
        </w:rPr>
        <w:t>In the past, some of these platforms or marketplaces have been unavailable for short periods of time. If this or a similar event were to occur on a short- or long-term basis, or if these platforms or marketplaces otherwise experience issues that impact the ability of consumers to download or access our apps and other information, it could have a material adverse effect on our brand and reputation, as well as our business, financial condition and operating results.</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rely on software-as-a-service, or SaaS, technologies from third parties.</w:t>
      </w:r>
    </w:p>
    <w:p>
      <w:pPr>
        <w:spacing w:after="0" w:line="118" w:lineRule="exact"/>
        <w:rPr>
          <w:sz w:val="20"/>
          <w:szCs w:val="20"/>
          <w:color w:val="auto"/>
        </w:rPr>
      </w:pPr>
    </w:p>
    <w:p>
      <w:pPr>
        <w:ind w:left="180" w:firstLine="436"/>
        <w:spacing w:after="0" w:line="250" w:lineRule="auto"/>
        <w:rPr>
          <w:sz w:val="20"/>
          <w:szCs w:val="20"/>
          <w:color w:val="auto"/>
        </w:rPr>
      </w:pPr>
      <w:r>
        <w:rPr>
          <w:rFonts w:ascii="Times New Roman" w:cs="Times New Roman" w:eastAsia="Times New Roman" w:hAnsi="Times New Roman"/>
          <w:sz w:val="18"/>
          <w:szCs w:val="18"/>
          <w:color w:val="auto"/>
        </w:rPr>
        <w:t>We rely on SaaS technologies from third parties in order to operate critical functions of our business, including financial management services, relationship management services, marketing services and data storage services. For example, we rely on Amazon Web Services for a substantial portion of our computing and storage capacity, and rely on Google for storage capacity and advertising services. Amazon Web Services provides us with computing and storage capacity pursuant to an agreement that continues until terminated by either party. Amazon Web Services may terminate its agreement with us by providing 30 days prior written notice. Similarly, Google provides us with storage capacity and advertising services, and may update the terms of its services unilaterally by providing advance notice and posting changed terms on its website. Google may also terminate its agreements with us immediately upon notice. Our other vendor agreements may be unilaterally terminated by the counterparty for convenience. If these services become unavailable due to contract cancellations, extended outages or interruptions or because they are no longer available on commercially reasonable terms or prices, or for any other reason, our expenses could increase, our ability to manage our finances could be interrupted, our processes for managing our offerings and supporting our consumers and partners could be impaired and our ability to access or save data stored to the cloud may be impaired until equivalent services, if available, are identified, obtained and implemented, all of which could harm our business, financial condition, and results of operations.</w:t>
      </w:r>
    </w:p>
    <w:p>
      <w:pPr>
        <w:spacing w:after="0" w:line="294" w:lineRule="exact"/>
        <w:rPr>
          <w:sz w:val="20"/>
          <w:szCs w:val="20"/>
          <w:color w:val="auto"/>
        </w:rPr>
      </w:pPr>
    </w:p>
    <w:p>
      <w:pPr>
        <w:ind w:left="180" w:right="4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depend on our relationships with third parties and would be adversely impacted by system failures or other disruptions in the operations of these parties.</w:t>
      </w:r>
    </w:p>
    <w:p>
      <w:pPr>
        <w:spacing w:after="0" w:line="52" w:lineRule="exact"/>
        <w:rPr>
          <w:sz w:val="20"/>
          <w:szCs w:val="20"/>
          <w:color w:val="auto"/>
        </w:rPr>
      </w:pPr>
    </w:p>
    <w:p>
      <w:pPr>
        <w:ind w:left="180" w:firstLine="436"/>
        <w:spacing w:after="0" w:line="271" w:lineRule="auto"/>
        <w:rPr>
          <w:sz w:val="20"/>
          <w:szCs w:val="20"/>
          <w:color w:val="auto"/>
        </w:rPr>
      </w:pPr>
      <w:r>
        <w:rPr>
          <w:rFonts w:ascii="Times New Roman" w:cs="Times New Roman" w:eastAsia="Times New Roman" w:hAnsi="Times New Roman"/>
          <w:sz w:val="17"/>
          <w:szCs w:val="17"/>
          <w:color w:val="auto"/>
        </w:rPr>
        <w:t>We use and rely on services from third parties, such as our telecommunications services, and those services may be subject to outages and interruptions that are not within our control. Failures by our telecommunications providers may interrupt our ability to provide phone support to our consumers and DDoS attacks directed at our telecommunication service providers could prevent consumers from accessing our websites. In addition, we have in the past and may in the future experience down periods where our third-party credit card processors are unable to process the payments of our consumers, disrupting our ability to process or receive revenue from our subscription offerings. Disruptions to our consumer support, website and credit card processing services could lead to consumer dissatisfaction, which would adversely affect our business, financial condition and results of operations.</w:t>
      </w:r>
    </w:p>
    <w:p>
      <w:pPr>
        <w:spacing w:after="0" w:line="275" w:lineRule="exact"/>
        <w:rPr>
          <w:sz w:val="20"/>
          <w:szCs w:val="20"/>
          <w:color w:val="auto"/>
        </w:rPr>
      </w:pPr>
    </w:p>
    <w:p>
      <w:pPr>
        <w:jc w:val="both"/>
        <w:ind w:left="180" w:right="120" w:firstLine="43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w:t>
      </w:r>
    </w:p>
    <w:p>
      <w:pPr>
        <w:spacing w:after="0" w:line="66" w:lineRule="exact"/>
        <w:rPr>
          <w:sz w:val="20"/>
          <w:szCs w:val="20"/>
          <w:color w:val="auto"/>
        </w:rPr>
      </w:pPr>
    </w:p>
    <w:p>
      <w:pPr>
        <w:ind w:left="180" w:right="160" w:firstLine="436"/>
        <w:spacing w:after="0" w:line="257" w:lineRule="auto"/>
        <w:rPr>
          <w:sz w:val="20"/>
          <w:szCs w:val="20"/>
          <w:color w:val="auto"/>
        </w:rPr>
      </w:pPr>
      <w:r>
        <w:rPr>
          <w:rFonts w:ascii="Times New Roman" w:cs="Times New Roman" w:eastAsia="Times New Roman" w:hAnsi="Times New Roman"/>
          <w:sz w:val="18"/>
          <w:szCs w:val="18"/>
          <w:color w:val="auto"/>
        </w:rPr>
        <w:t>Consumers may become increasingly resistant to the collection, use and sharing of information online, including information used to deliver and optimize advertising, and take steps to prevent such collection, use and sharing of information. For example, consumer complaints and/or lawsuits regarding online advertising or the use of cookies or other tracking technologies in general and our practices specifically could adversely impact our business.</w:t>
      </w:r>
    </w:p>
    <w:p>
      <w:pPr>
        <w:spacing w:after="0" w:line="182" w:lineRule="exact"/>
        <w:rPr>
          <w:sz w:val="20"/>
          <w:szCs w:val="20"/>
          <w:color w:val="auto"/>
        </w:rPr>
      </w:pPr>
    </w:p>
    <w:p>
      <w:pPr>
        <w:ind w:left="180" w:firstLine="436"/>
        <w:spacing w:after="0" w:line="262" w:lineRule="auto"/>
        <w:rPr>
          <w:sz w:val="20"/>
          <w:szCs w:val="20"/>
          <w:color w:val="auto"/>
        </w:rPr>
      </w:pPr>
      <w:r>
        <w:rPr>
          <w:rFonts w:ascii="Times New Roman" w:cs="Times New Roman" w:eastAsia="Times New Roman" w:hAnsi="Times New Roman"/>
          <w:sz w:val="18"/>
          <w:szCs w:val="18"/>
          <w:color w:val="auto"/>
        </w:rPr>
        <w:t>Consumers can currently opt out of the placement or use of most cookies for online advertising purposes by either deleting or disabling cookies on their browsers, visiting websites that allow consumers to place an opt-out cookie on their browsers, which instructs participating entities not to use certain data about consumers’ online activity for the delivery of targeted advertising, or by downloading browser plug-ins and other tools that can be</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60"/>
          </w:cols>
          <w:pgMar w:left="320" w:top="454" w:right="51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740"/>
        <w:spacing w:after="0" w:line="277" w:lineRule="auto"/>
        <w:rPr>
          <w:sz w:val="20"/>
          <w:szCs w:val="20"/>
          <w:color w:val="auto"/>
        </w:rPr>
      </w:pPr>
      <w:r>
        <w:rPr>
          <w:rFonts w:ascii="Times New Roman" w:cs="Times New Roman" w:eastAsia="Times New Roman" w:hAnsi="Times New Roman"/>
          <w:sz w:val="18"/>
          <w:szCs w:val="18"/>
          <w:color w:val="auto"/>
        </w:rPr>
        <w:t>set to: identify cookies and other tracking technologies used on websites; prevent websites from placing third-party cookies and other tracking technologies on the consumer’s browser; or block the delivery of online advertisements on apps and websites.</w:t>
      </w:r>
    </w:p>
    <w:p>
      <w:pPr>
        <w:spacing w:after="0" w:line="163" w:lineRule="exact"/>
        <w:rPr>
          <w:sz w:val="20"/>
          <w:szCs w:val="20"/>
          <w:color w:val="auto"/>
        </w:rPr>
      </w:pPr>
    </w:p>
    <w:p>
      <w:pPr>
        <w:ind w:left="180" w:firstLine="436"/>
        <w:spacing w:after="0" w:line="251" w:lineRule="auto"/>
        <w:rPr>
          <w:sz w:val="20"/>
          <w:szCs w:val="20"/>
          <w:color w:val="auto"/>
        </w:rPr>
      </w:pPr>
      <w:r>
        <w:rPr>
          <w:rFonts w:ascii="Times New Roman" w:cs="Times New Roman" w:eastAsia="Times New Roman" w:hAnsi="Times New Roman"/>
          <w:sz w:val="18"/>
          <w:szCs w:val="18"/>
          <w:color w:val="auto"/>
        </w:rPr>
        <w:t>Various software tools and applications have been developed that can block advertisements from a consumer’s screen or allow consumers to shift the location in which advertising appears on webpages or opt out of display, search and internet-based advertising entirely. In particular, Apple’s mobile operating system permits these technologies to work in its mobile Safari browser. In addition, changes in device and software features could make it easier for internet users to prevent the placement of cookies or to block other tracking technologies. In particular, the default settings of consumer devices and software may be set to prevent the placement of cookies unless the user actively elects to allow them. For example, Apple’s Safari browser currently has a default setting under which third-party cookies are not accepted and users must activate a browser setting to enable cookies to be set, and Apple has announced that its new mobile operating system will require consumers to opt in to the use of Apple’s resettable device identifier for advertising purposes. Various industry participants have worked to develop and finalize standards relating to a mechanism in which consumers choose whether to allow the tracking of their online search and browsing activities, and such standards may be implemented and adopted by industry participants at any time.</w:t>
      </w:r>
    </w:p>
    <w:p>
      <w:pPr>
        <w:spacing w:after="0" w:line="186" w:lineRule="exact"/>
        <w:rPr>
          <w:sz w:val="20"/>
          <w:szCs w:val="20"/>
          <w:color w:val="auto"/>
        </w:rPr>
      </w:pPr>
    </w:p>
    <w:p>
      <w:pPr>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We currently use cookies, pixel tags and similar technologies from third-party advertising technology providers to provide and optimize our advertising. If consumer sentiment regarding privacy issues or the development and deployment of new browser solutions or other Do Not Track mechanisms result in a material increase in the number of consumers who choose to opt out or block cookies and other tracking technologies or who are otherwise using browsers where they need to, and fail to, allow the browser to accept cookies, or otherwise result in cookies or other tracking technologies not functioning properly, our ability to advertise effectively and conduct our business, and our results of operations and financial condition would be adversely affected.</w:t>
      </w:r>
    </w:p>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4" w:lineRule="exact"/>
        <w:rPr>
          <w:sz w:val="20"/>
          <w:szCs w:val="20"/>
          <w:color w:val="auto"/>
        </w:rPr>
      </w:pPr>
    </w:p>
    <w:p>
      <w:pPr>
        <w:ind w:left="180" w:right="34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establish, maintain, protect and enforce our intellectual property and proprietary rights or prevent third parties from making unauthorized use of our technology.</w:t>
      </w:r>
    </w:p>
    <w:p>
      <w:pPr>
        <w:spacing w:after="0" w:line="52" w:lineRule="exact"/>
        <w:rPr>
          <w:sz w:val="20"/>
          <w:szCs w:val="20"/>
          <w:color w:val="auto"/>
        </w:rPr>
      </w:pPr>
    </w:p>
    <w:p>
      <w:pPr>
        <w:ind w:left="180" w:right="180" w:firstLine="436"/>
        <w:spacing w:after="0" w:line="257" w:lineRule="auto"/>
        <w:rPr>
          <w:sz w:val="20"/>
          <w:szCs w:val="20"/>
          <w:color w:val="auto"/>
        </w:rPr>
      </w:pPr>
      <w:r>
        <w:rPr>
          <w:rFonts w:ascii="Times New Roman" w:cs="Times New Roman" w:eastAsia="Times New Roman" w:hAnsi="Times New Roman"/>
          <w:sz w:val="18"/>
          <w:szCs w:val="18"/>
          <w:color w:val="auto"/>
        </w:rPr>
        <w:t>Our business depends on proprietary technology and content, including software, processes, databases, confidential information and know-how, the protection of which is crucial to the success of our business. We rely on a combination of trademark, patent, copyright, domain name and trade secret-protection laws, in addition to confidentiality agreements and other practices to protect our brands, proprietary information, technologies and processes.</w:t>
      </w:r>
    </w:p>
    <w:p>
      <w:pPr>
        <w:spacing w:after="0" w:line="182" w:lineRule="exact"/>
        <w:rPr>
          <w:sz w:val="20"/>
          <w:szCs w:val="20"/>
          <w:color w:val="auto"/>
        </w:rPr>
      </w:pPr>
    </w:p>
    <w:p>
      <w:pPr>
        <w:ind w:left="180" w:right="80" w:firstLine="981"/>
        <w:spacing w:after="0" w:line="250" w:lineRule="auto"/>
        <w:rPr>
          <w:sz w:val="20"/>
          <w:szCs w:val="20"/>
          <w:color w:val="auto"/>
        </w:rPr>
      </w:pPr>
      <w:r>
        <w:rPr>
          <w:rFonts w:ascii="Times New Roman" w:cs="Times New Roman" w:eastAsia="Times New Roman" w:hAnsi="Times New Roman"/>
          <w:sz w:val="18"/>
          <w:szCs w:val="18"/>
          <w:color w:val="auto"/>
        </w:rPr>
        <w:t>Our most material trademark asset is the registered trademark “GoodRx.” Our trademarks are valuable assets that support our brand and consumers’ perception of our offerings. We also hold the rights to the “goodrx.com” internet domain name, which are subject to internet regulatory bodies and trademark and other related laws of each applicable jurisdiction. If we are unable to protect our trademarks or domain names in the United States or in other jurisdictions in which we may ultimately operate, our brand recognition and reputation would suffer, we would incur significant re-branding expenses and our operating results could be adversely impacted. As of June 30, 2020, we owned three issued patents and four pending patent applications in the United States. Our issued patents are currently scheduled to expire beginning in 2034, excluding any patent term adjustments. Our issued patents and those that may be issued in the future may not provide us with competitive advantages, may be of limited territorial reach and may be held invalid or unenforceable if successfully challenged by third parties, and our patent applications may never be issued. Even if issued, there can be no assurance that these patents will adequately protect our intellectual property or survive a legal challenge, as the legal standards relating to the validity, enforceability and scope of protection of patent and other intellectual property rights are uncertain. Our limited patent protection may restrict our ability to protect our technologies</w:t>
      </w:r>
    </w:p>
    <w:p>
      <w:pPr>
        <w:spacing w:after="0" w:line="1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40"/>
          </w:cols>
          <w:pgMar w:left="320" w:top="454" w:right="5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both"/>
        <w:ind w:left="180" w:right="60"/>
        <w:spacing w:after="0" w:line="262" w:lineRule="auto"/>
        <w:rPr>
          <w:sz w:val="20"/>
          <w:szCs w:val="20"/>
          <w:color w:val="auto"/>
        </w:rPr>
      </w:pPr>
      <w:r>
        <w:rPr>
          <w:rFonts w:ascii="Times New Roman" w:cs="Times New Roman" w:eastAsia="Times New Roman" w:hAnsi="Times New Roman"/>
          <w:sz w:val="18"/>
          <w:szCs w:val="18"/>
          <w:color w:val="auto"/>
        </w:rPr>
        <w:t>and processes from competition. It is also possible that third parties, including our competitors, may obtain patents relating to technologies that overlap or compete with our technology. If third parties obtain patent protection with respect to such technologies, they may assert that our technology infringes their patents and seek to charge us a licensing fee or otherwise preclude the use of our technology.</w:t>
      </w:r>
    </w:p>
    <w:p>
      <w:pPr>
        <w:spacing w:after="0" w:line="177" w:lineRule="exact"/>
        <w:rPr>
          <w:sz w:val="20"/>
          <w:szCs w:val="20"/>
          <w:color w:val="auto"/>
        </w:rPr>
      </w:pPr>
    </w:p>
    <w:p>
      <w:pPr>
        <w:ind w:left="180" w:firstLine="981"/>
        <w:spacing w:after="0" w:line="250"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the introduction and implementation of new technologies, result in our substituting inferior or more costly technologies into our software or injure our reputation. We will not be able to protect our intellectual property if we are unable to enforce our rights or if we do not detect unauthorized use of our intellectual property.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establish, maintain, protect and enforce our intellectual property and proprietary rights, our business, financial condition and results of operations could be adversely affected.</w:t>
      </w:r>
    </w:p>
    <w:p>
      <w:pPr>
        <w:spacing w:after="0" w:line="294" w:lineRule="exact"/>
        <w:rPr>
          <w:sz w:val="20"/>
          <w:szCs w:val="20"/>
          <w:color w:val="auto"/>
        </w:rPr>
      </w:pPr>
    </w:p>
    <w:p>
      <w:pPr>
        <w:ind w:left="180" w:right="34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infringement, misappropriation, dilution or other violation of their intellectual property or proprietary rights.</w:t>
      </w:r>
    </w:p>
    <w:p>
      <w:pPr>
        <w:spacing w:after="0" w:line="52" w:lineRule="exact"/>
        <w:rPr>
          <w:sz w:val="20"/>
          <w:szCs w:val="20"/>
          <w:color w:val="auto"/>
        </w:rPr>
      </w:pPr>
    </w:p>
    <w:p>
      <w:pPr>
        <w:ind w:left="180" w:right="80" w:firstLine="436"/>
        <w:spacing w:after="0" w:line="285" w:lineRule="auto"/>
        <w:rPr>
          <w:sz w:val="20"/>
          <w:szCs w:val="20"/>
          <w:color w:val="auto"/>
        </w:rPr>
      </w:pPr>
      <w:r>
        <w:rPr>
          <w:rFonts w:ascii="Times New Roman" w:cs="Times New Roman" w:eastAsia="Times New Roman" w:hAnsi="Times New Roman"/>
          <w:sz w:val="17"/>
          <w:szCs w:val="17"/>
          <w:color w:val="auto"/>
        </w:rPr>
        <w:t>Internet, advertising and e-commerce companies frequently are subject to litigation based on allegations of infringement, misappropriation, dilution or other violations of intellectual property rights. Some internet, advertising and e-commerce companies, including some of our competitors, as well as non-practicing entities, own large numbers of patents, copyrights, trademarks and trade secrets, which they may use to assert claims against us.</w:t>
      </w:r>
    </w:p>
    <w:p>
      <w:pPr>
        <w:spacing w:after="0" w:line="159" w:lineRule="exact"/>
        <w:rPr>
          <w:sz w:val="20"/>
          <w:szCs w:val="20"/>
          <w:color w:val="auto"/>
        </w:rPr>
      </w:pPr>
    </w:p>
    <w:p>
      <w:pPr>
        <w:ind w:left="180" w:right="140" w:firstLine="436"/>
        <w:spacing w:after="0" w:line="277" w:lineRule="auto"/>
        <w:rPr>
          <w:sz w:val="20"/>
          <w:szCs w:val="20"/>
          <w:color w:val="auto"/>
        </w:rPr>
      </w:pPr>
      <w:r>
        <w:rPr>
          <w:rFonts w:ascii="Times New Roman" w:cs="Times New Roman" w:eastAsia="Times New Roman" w:hAnsi="Times New Roman"/>
          <w:sz w:val="18"/>
          <w:szCs w:val="18"/>
          <w:color w:val="auto"/>
        </w:rPr>
        <w:t>Third parties have asserted, and may in the future assert, that we have infringed, misappropriated or otherwise violated their intellectual property rights.</w:t>
      </w:r>
    </w:p>
    <w:p>
      <w:pPr>
        <w:spacing w:after="0" w:line="163" w:lineRule="exact"/>
        <w:rPr>
          <w:sz w:val="20"/>
          <w:szCs w:val="20"/>
          <w:color w:val="auto"/>
        </w:rPr>
      </w:pPr>
    </w:p>
    <w:p>
      <w:pPr>
        <w:jc w:val="both"/>
        <w:ind w:left="180" w:right="100" w:firstLine="436"/>
        <w:spacing w:after="0" w:line="262" w:lineRule="auto"/>
        <w:rPr>
          <w:sz w:val="20"/>
          <w:szCs w:val="20"/>
          <w:color w:val="auto"/>
        </w:rPr>
      </w:pPr>
      <w:r>
        <w:rPr>
          <w:rFonts w:ascii="Times New Roman" w:cs="Times New Roman" w:eastAsia="Times New Roman" w:hAnsi="Times New Roman"/>
          <w:sz w:val="18"/>
          <w:szCs w:val="18"/>
          <w:color w:val="auto"/>
        </w:rPr>
        <w:t>For instance, the use of our technology to provide our offerings could be challenged by claims that such use infringes, dilutes, misappropriates or otherwise violates the intellectual property rights of a third party. In addition, we may in the future be exposed to claims that content published or made available through our apps or websites violates third-party intellectual property rights.</w:t>
      </w:r>
    </w:p>
    <w:p>
      <w:pPr>
        <w:spacing w:after="0" w:line="177" w:lineRule="exact"/>
        <w:rPr>
          <w:sz w:val="20"/>
          <w:szCs w:val="20"/>
          <w:color w:val="auto"/>
        </w:rPr>
      </w:pPr>
    </w:p>
    <w:p>
      <w:pPr>
        <w:ind w:left="180" w:firstLine="436"/>
        <w:spacing w:after="0" w:line="251" w:lineRule="auto"/>
        <w:rPr>
          <w:sz w:val="20"/>
          <w:szCs w:val="20"/>
          <w:color w:val="auto"/>
        </w:rPr>
      </w:pPr>
      <w:r>
        <w:rPr>
          <w:rFonts w:ascii="Times New Roman" w:cs="Times New Roman" w:eastAsia="Times New Roman" w:hAnsi="Times New Roman"/>
          <w:sz w:val="18"/>
          <w:szCs w:val="18"/>
          <w:color w:val="auto"/>
        </w:rPr>
        <w:t>As we face increasing competition and as a public company, the possibility of intellectual property rights claims against us grows. Such claims and litigation may involve patent holding companies or other adverse intellectual property rights holders who have no relevant product revenue, and therefore our own pending patents and other intellectual property rights may provide little or no deterrence to these rights holders in bringing intellectual property rights claims against us. There may be intellectual property rights held by others, including issued or pending patents and trademarks, that cover significant aspects of our technologies, content, branding or business methods, and we cannot assure that we are not infringing or violating, and have not violated or infringed, any third-party intellectual property rights or that we will not be held to have done so or be accused of doing so in the future. We expect that we may receive in the future notices that claim we or our partners, or clients using our solutions and services, have misappropriated or misused other parties’ intellectual property rights, particularly as the number of competitors in our market grows and the functionality of applications amongst competitors overlaps.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60"/>
          </w:cols>
          <w:pgMar w:left="320" w:top="454" w:right="51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firstLine="436"/>
        <w:spacing w:after="0" w:line="250" w:lineRule="auto"/>
        <w:rPr>
          <w:sz w:val="20"/>
          <w:szCs w:val="20"/>
          <w:color w:val="auto"/>
        </w:rPr>
      </w:pPr>
      <w:r>
        <w:rPr>
          <w:rFonts w:ascii="Times New Roman" w:cs="Times New Roman" w:eastAsia="Times New Roman" w:hAnsi="Times New Roman"/>
          <w:sz w:val="18"/>
          <w:szCs w:val="18"/>
          <w:color w:val="auto"/>
        </w:rPr>
        <w:t>Any claim that we have violated intellectual property or other proprietary rights of third parties, with or without merit, and whether or not it results in litigation, is settled out of court or is determined in our favor, could be time-consuming and costly to address and resolve, and could divert the time and attention of management and technical personnel from our business. Furthermore, an adverse outcome of a dispute may result in an injunction and could require us to pay substantial monetary damages, including treble damages and attorneys’ fees, if we are found to have willfully infringed a party’s intellectual property rights. Any settlement or adverse judgment resulting from such a claim could require us to enter into a licensing agreement to continue using the technology, content or other intellectual property that is the subject of the claim; restrict or prohibit our use of such technology, content or other intellectual property; require us to expend significant resources to redesign our technology or solutions; and require us to indemnify third parties. Royalty or licensing agreements, if required or desirable, may be unavailable on terms acceptable to us, or at all, and may require significant royalty payments and other expenditures. We may also be required to develop alternative non-infringing technology, which could require significant time and expense. There also can be no assurance that we would be able to develop or license suitable alternative technology, content or other intellectual property to permit us to continue offering the affected technology, content or services to our partners. If we cannot develop or license technology for any allegedly infringing aspect of our business, we would be forced to limit our service and may be unable to compete effectively. Any of these events could materially harm our business, financial condition and results of operations.</w:t>
      </w:r>
    </w:p>
    <w:p>
      <w:pPr>
        <w:spacing w:after="0" w:line="2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protect or enforce our intellectual property rights could harm our business and results of operations.</w:t>
      </w:r>
    </w:p>
    <w:p>
      <w:pPr>
        <w:spacing w:after="0" w:line="118" w:lineRule="exact"/>
        <w:rPr>
          <w:sz w:val="20"/>
          <w:szCs w:val="20"/>
          <w:color w:val="auto"/>
        </w:rPr>
      </w:pPr>
    </w:p>
    <w:p>
      <w:pPr>
        <w:ind w:left="180" w:right="80" w:firstLine="436"/>
        <w:spacing w:after="0" w:line="252" w:lineRule="auto"/>
        <w:rPr>
          <w:sz w:val="20"/>
          <w:szCs w:val="20"/>
          <w:color w:val="auto"/>
        </w:rPr>
      </w:pPr>
      <w:r>
        <w:rPr>
          <w:rFonts w:ascii="Times New Roman" w:cs="Times New Roman" w:eastAsia="Times New Roman" w:hAnsi="Times New Roman"/>
          <w:sz w:val="18"/>
          <w:szCs w:val="18"/>
          <w:color w:val="auto"/>
        </w:rPr>
        <w:t>We pursue the registration of our patentable technology, domain names, trademarks and service marks in the United States. We also strive to protect our intellectual property rights by relying on federal, state and common law rights, as well as contractual restrictions. We typically enter into confidentiality and invention assignment agreements with our employees and contractors, and confidentiality agreements with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technology or intellectual property rights. Those agreements that we do execute may be breached, and we may not have adequate remedies for any such breach. These contractual arrangements and the other steps we have taken to protect our intellectual property rights may not prevent the misappropriation or disclosure of our proprietary information nor deter independent development of similar technology or intellectual property by others.</w:t>
      </w:r>
    </w:p>
    <w:p>
      <w:pPr>
        <w:spacing w:after="0" w:line="185" w:lineRule="exact"/>
        <w:rPr>
          <w:sz w:val="20"/>
          <w:szCs w:val="20"/>
          <w:color w:val="auto"/>
        </w:rPr>
      </w:pPr>
    </w:p>
    <w:p>
      <w:pPr>
        <w:ind w:left="180" w:right="40" w:firstLine="436"/>
        <w:spacing w:after="0" w:line="250" w:lineRule="auto"/>
        <w:rPr>
          <w:sz w:val="20"/>
          <w:szCs w:val="20"/>
          <w:color w:val="auto"/>
        </w:rPr>
      </w:pPr>
      <w:r>
        <w:rPr>
          <w:rFonts w:ascii="Times New Roman" w:cs="Times New Roman" w:eastAsia="Times New Roman" w:hAnsi="Times New Roman"/>
          <w:sz w:val="18"/>
          <w:szCs w:val="18"/>
          <w:color w:val="auto"/>
        </w:rPr>
        <w:t>Effective trade secret, patent, copyright, trademark and domain name protection is expensive to obtain, develop and maintain, both in terms of initial and ongoing registration or prosecution requirements and expenses and the costs of defending our rights. We may, over time, increase our investment in protecting our intellectual property through additional patent filings that could be expensive and time-consuming. We do not know whether any of our pending patent applications will result in the issuance of additional patents or whether the examination process will require us to narrow our claims or we may otherwise be unable to obtain patent protection for the technology covered in our pending patent applications. Our patents, trademarks and other intellectual property rights may be challenged by others or invalidated through administrative process or litigation. Moreover, any issued patents may not provide us with a competitive advantage and, as with any technology, competitors may be able to develop similar or superior technologies to our own, now or in the future. In addition, due to a recent U.S. Supreme Court case, it has become increasingly difficult to obtain and assert patents relating to software or business methods, as many such patents have been invalidated for being too abstract to constitute patent-eligible subject matter. We do not know whether this will affect our ability to obtain new patents on our innovations, or successfully assert our patents in litigation or pre-litigation campaigns.</w:t>
      </w:r>
    </w:p>
    <w:p>
      <w:pPr>
        <w:spacing w:after="0" w:line="193" w:lineRule="exact"/>
        <w:rPr>
          <w:sz w:val="20"/>
          <w:szCs w:val="20"/>
          <w:color w:val="auto"/>
        </w:rPr>
      </w:pPr>
    </w:p>
    <w:p>
      <w:pPr>
        <w:jc w:val="both"/>
        <w:ind w:left="180" w:right="260" w:firstLine="436"/>
        <w:spacing w:after="0" w:line="285" w:lineRule="auto"/>
        <w:rPr>
          <w:sz w:val="20"/>
          <w:szCs w:val="20"/>
          <w:color w:val="auto"/>
        </w:rPr>
      </w:pPr>
      <w:r>
        <w:rPr>
          <w:rFonts w:ascii="Times New Roman" w:cs="Times New Roman" w:eastAsia="Times New Roman" w:hAnsi="Times New Roman"/>
          <w:sz w:val="17"/>
          <w:szCs w:val="17"/>
          <w:color w:val="auto"/>
        </w:rPr>
        <w:t>Monitoring unauthorized use of the content on our apps and websites, and our other intellectual property and technology, is difficult and costly. Our efforts to protect our proprietary rights and intellectual property may not have been and may not be adequate to prevent their misappropriation or misuse. Third parties, including our competitors, could be infringing, misappropriating or otherwise violating our intellectual property rights. Third</w:t>
      </w:r>
    </w:p>
    <w:p>
      <w:pPr>
        <w:spacing w:after="0" w:line="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80"/>
          </w:cols>
          <w:pgMar w:left="320" w:top="454" w:right="49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spacing w:after="0" w:line="267" w:lineRule="auto"/>
        <w:rPr>
          <w:sz w:val="20"/>
          <w:szCs w:val="20"/>
          <w:color w:val="auto"/>
        </w:rPr>
      </w:pPr>
      <w:r>
        <w:rPr>
          <w:rFonts w:ascii="Times New Roman" w:cs="Times New Roman" w:eastAsia="Times New Roman" w:hAnsi="Times New Roman"/>
          <w:sz w:val="17"/>
          <w:szCs w:val="17"/>
          <w:color w:val="auto"/>
        </w:rPr>
        <w:t>parties from time to time copy content or other intellectual property or technology from our solutions without authorization and seek to use it for their own benefit. We generally seek to address such unauthorized copying or use, but we have not always been successful in stopping all unauthorized use of our content or other intellectual property or technology, and may not be successful in doing so in the future. Further, we may not have been and may not be able to detect unauthorized use of our technology or intellectual property, or to take appropriate steps to enforce our intellectual property rights. Any inability to meaningfully enforce our intellectual property rights could harm our ability to compete and reduce demand for our solutions and services. Our competitors may also independently develop similar technology. Effective patent, trademark, copyright and trade secret protection may not be available to us in every jurisdiction in which our solutions or technology are hosted or available. Further, legal standards relating to the validity, enforceability and scope of protection of intellectual property rights are uncertain. The laws in the United States and elsewhere change rapidly, and any future changes could adversely affect us and our intellectual property. Our failure to meaningfully protect our intellectual property rights could result in competitors offering solutions that incorporate our most technologically advanced features, which could reduce demand for our solutions.</w:t>
      </w:r>
    </w:p>
    <w:p>
      <w:pPr>
        <w:spacing w:after="0" w:line="176" w:lineRule="exact"/>
        <w:rPr>
          <w:sz w:val="20"/>
          <w:szCs w:val="20"/>
          <w:color w:val="auto"/>
        </w:rPr>
      </w:pPr>
    </w:p>
    <w:p>
      <w:pPr>
        <w:ind w:left="180" w:right="80" w:firstLine="436"/>
        <w:spacing w:after="0" w:line="252" w:lineRule="auto"/>
        <w:rPr>
          <w:sz w:val="20"/>
          <w:szCs w:val="20"/>
          <w:color w:val="auto"/>
        </w:rPr>
      </w:pPr>
      <w:r>
        <w:rPr>
          <w:rFonts w:ascii="Times New Roman" w:cs="Times New Roman" w:eastAsia="Times New Roman" w:hAnsi="Times New Roman"/>
          <w:sz w:val="18"/>
          <w:szCs w:val="18"/>
          <w:color w:val="auto"/>
        </w:rPr>
        <w:t>We may find it necessary or appropriate to initiate claims or litigation to enforce our intellectual property rights, protect our trade secrets or determine the validity and scope of intellectual property rights claimed by others. In any lawsuit we bring to enforce our intellectual property rights, a court may refuse to stop the other party from using the technology at issue on grounds that our intellectual property rights do not cover the use or technology in question. Further, in such proceedings, the defendant could counterclaim that our intellectual property is invalid or unenforceable and the court may agree, in which case we could lose valuable intellectual property rights. Litigation is inherently uncertain and any litigation of this nature, regardless of outcome or merit, could result in substantial costs and diversion of management and technical resources, any of which could adversely affect our business and results of operations. If we fail to maintain, protect and enforce our intellectual property, our business and results of operations may be harmed.</w:t>
      </w:r>
    </w:p>
    <w:p>
      <w:pPr>
        <w:spacing w:after="0" w:line="288" w:lineRule="exact"/>
        <w:rPr>
          <w:sz w:val="20"/>
          <w:szCs w:val="20"/>
          <w:color w:val="auto"/>
        </w:rPr>
      </w:pPr>
    </w:p>
    <w:p>
      <w:pPr>
        <w:jc w:val="both"/>
        <w:ind w:left="180" w:right="240" w:firstLine="43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continue the use of our trademarks, trade names or domain names, or prevent third parties from acquiring and using trademarks, trade names and domain names that infringe on, are similar to, or otherwise decrease the value of our brands, trademarks or service marks.</w:t>
      </w:r>
    </w:p>
    <w:p>
      <w:pPr>
        <w:spacing w:after="0" w:line="66" w:lineRule="exact"/>
        <w:rPr>
          <w:sz w:val="20"/>
          <w:szCs w:val="20"/>
          <w:color w:val="auto"/>
        </w:rPr>
      </w:pPr>
    </w:p>
    <w:p>
      <w:pPr>
        <w:ind w:left="180" w:right="60" w:firstLine="436"/>
        <w:spacing w:after="0" w:line="251"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with potential consumers and partners. In addition, third parties have filed, and may in the future file, for registration of trademarks similar or identical to our trademarks, which, if obtained, may impede our ability to build brand identity and possibly lead to market confusion. If they succeed in registering or developing common law rights in such trademarks, and if we are not successful in challenging such third-party rights, we may not be able to use these trademarks to develop brand recognition of our technologies, solutions or services. In addition, there could be potential trade name or trademark infringement claims brought by owners of other registered trademarks or trademarks that incorporate variations of our registered or unregistered trademarks or trade names. If we are unable to establish or protect our trademarks and trade names, or if we are unable to build name recognition based on our trademarks and trade names, we may not be able to compete effectively, which could harm our competitive position, business, financial condition, results of operations and prospects.</w:t>
      </w:r>
    </w:p>
    <w:p>
      <w:pPr>
        <w:spacing w:after="0" w:line="186" w:lineRule="exact"/>
        <w:rPr>
          <w:sz w:val="20"/>
          <w:szCs w:val="20"/>
          <w:color w:val="auto"/>
        </w:rPr>
      </w:pPr>
    </w:p>
    <w:p>
      <w:pPr>
        <w:ind w:left="180" w:right="40" w:firstLine="436"/>
        <w:spacing w:after="0" w:line="252" w:lineRule="auto"/>
        <w:rPr>
          <w:sz w:val="20"/>
          <w:szCs w:val="20"/>
          <w:color w:val="auto"/>
        </w:rPr>
      </w:pPr>
      <w:r>
        <w:rPr>
          <w:rFonts w:ascii="Times New Roman" w:cs="Times New Roman" w:eastAsia="Times New Roman" w:hAnsi="Times New Roman"/>
          <w:sz w:val="18"/>
          <w:szCs w:val="18"/>
          <w:color w:val="auto"/>
        </w:rPr>
        <w:t>We have registered domain names for our websites that we use in our business. If we lose the ability to use a domain name, whether due to trademark claims, failure to renew the applicable registration, or any other cause, we may be forced to market our solutions under a new domain name, which could cause us substantial harm, or to incur significant expense in order to purchase rights to the domain name in question. In addition, our competitors and others could attempt to capitalize on our brand recognition by using domain names similar to ours. Domain names similar to ours have been registered in the United States and elsewhere. We may be unable to prevent third parties from acquiring and using domain names that infringe on, are similar to, or otherwise decrease the value of our brands, trademarks or service marks. Protecting and enforcing our rights in our domain names may require litigation, which could result in substantial costs and diversion of management’s attention.</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40"/>
          </w:cols>
          <w:pgMar w:left="320" w:top="454" w:right="5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firstLine="436"/>
        <w:spacing w:after="0" w:line="252" w:lineRule="auto"/>
        <w:rPr>
          <w:sz w:val="20"/>
          <w:szCs w:val="20"/>
          <w:color w:val="auto"/>
        </w:rPr>
      </w:pPr>
      <w:r>
        <w:rPr>
          <w:rFonts w:ascii="Times New Roman" w:cs="Times New Roman" w:eastAsia="Times New Roman" w:hAnsi="Times New Roman"/>
          <w:sz w:val="18"/>
          <w:szCs w:val="18"/>
          <w:color w:val="auto"/>
        </w:rPr>
        <w:t>ICANN (the Internet Corporation for Assigned Names and Numbers), the international authority over top-level domain names, has been increasing the number of generic top-level domains, or “TLDs.” This may allow companies or individuals to create new web addresses that appear to the right of the “dot” in a web address, beyond such long-standing TLDs as “.com,” “.org” and “.gov.” ICANN may also add additional TLDs in the future. As a result, we may be unable to maintain exclusive rights to all potentially relevant or desirable domain names in the United States, which may harm our business. Furthermore, attempts may be made by third parties to register our trademarks as new TLDs or as domain names within new TLDs, and we may be required to enforce our rights against such registration attempts, which could result in significant expense and the diversion of management’s attention.</w:t>
      </w:r>
    </w:p>
    <w:p>
      <w:pPr>
        <w:spacing w:after="0" w:line="2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18" w:lineRule="exact"/>
        <w:rPr>
          <w:sz w:val="20"/>
          <w:szCs w:val="20"/>
          <w:color w:val="auto"/>
        </w:rPr>
      </w:pPr>
    </w:p>
    <w:p>
      <w:pPr>
        <w:ind w:left="180" w:right="20" w:firstLine="436"/>
        <w:spacing w:after="0" w:line="249" w:lineRule="auto"/>
        <w:rPr>
          <w:sz w:val="20"/>
          <w:szCs w:val="20"/>
          <w:color w:val="auto"/>
        </w:rPr>
      </w:pPr>
      <w:r>
        <w:rPr>
          <w:rFonts w:ascii="Times New Roman" w:cs="Times New Roman" w:eastAsia="Times New Roman" w:hAnsi="Times New Roman"/>
          <w:sz w:val="18"/>
          <w:szCs w:val="18"/>
          <w:color w:val="auto"/>
        </w:rPr>
        <w:t>We rely heavily on trade secrets and confidentiality agreements to protect our unpatented know-how, technology, and other proprietary information, including our technology platform, and to maintain our competitive position. With respect to our technology platform, we consider trade secrets and know-how to be one of our primary sources of intellectual property. However, trade secrets and know-how can be difficult to protect. We seek to protect these trade secrets and other proprietary technology, in part, by entering into non-disclosure and confidentiality agreements with parties who have access to them, such as our employees, corporate collaborators, outside contractors, consultants, advisors, and other third parties. We also enter into confidentiality and invention or patent assignment agreements with our employees and consultants. The confidentiality agreements are designed to protect our proprietary information and, in the case of agreements or clauses containing invention assignment, to grant us ownership of technologies that are developed through a relationship with employees or third parties. We cannot guarantee that we have entered into such agreements with each party that may have or have had access to our trade secrets or proprietary information, including our technology and processes. Despite these efforts, no assurance can be given that the confidentiality agreements we enter into will be effective in controlling access to such proprietary information and trade secrets. The confidentiality agreements on which we rely to protect certain technologies may be breached, may not be adequate to protect our confidential information, trade secrets and proprietary technologies and may not provide an adequate remedy in the event of unauthorized use or disclosure of our confidential information, trade secrets or proprietary technology. Further, these agreements do not prevent our competitors or others from independently developing the same or similar technologies and processes, which may allow them to provide a service similar or superior to ours, which could harm our competitive position.</w:t>
      </w:r>
    </w:p>
    <w:p>
      <w:pPr>
        <w:spacing w:after="0" w:line="199" w:lineRule="exact"/>
        <w:rPr>
          <w:sz w:val="20"/>
          <w:szCs w:val="20"/>
          <w:color w:val="auto"/>
        </w:rPr>
      </w:pPr>
    </w:p>
    <w:p>
      <w:pPr>
        <w:ind w:left="180" w:firstLine="436"/>
        <w:spacing w:after="0" w:line="255"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it could harm our competitive position, business, financial condition, results of operations and prospects.</w:t>
      </w:r>
    </w:p>
    <w:p>
      <w:pPr>
        <w:spacing w:after="0" w:line="2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offerings could be found invalid or unenforceable if challenged.</w:t>
      </w:r>
    </w:p>
    <w:p>
      <w:pPr>
        <w:spacing w:after="0" w:line="118" w:lineRule="exact"/>
        <w:rPr>
          <w:sz w:val="20"/>
          <w:szCs w:val="20"/>
          <w:color w:val="auto"/>
        </w:rPr>
      </w:pPr>
    </w:p>
    <w:p>
      <w:pPr>
        <w:ind w:left="180" w:right="200" w:firstLine="436"/>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Some of our patents or patent applications (including licensed patents) have been, are being or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In addition, if the breadth or strength of protection provided by our patents and patent applications is threatened, regardless of the outcome, it could dissuade companies from collaborating with us to license, develop or commercialize current or future offering candidates.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60"/>
          </w:cols>
          <w:pgMar w:left="320" w:top="454" w:right="51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right="10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platform or features of our platform and offerings.</w:t>
      </w:r>
    </w:p>
    <w:p>
      <w:pPr>
        <w:spacing w:after="0" w:line="52" w:lineRule="exact"/>
        <w:rPr>
          <w:sz w:val="20"/>
          <w:szCs w:val="20"/>
          <w:color w:val="auto"/>
        </w:rPr>
      </w:pPr>
    </w:p>
    <w:p>
      <w:pPr>
        <w:ind w:left="180" w:right="20" w:firstLine="436"/>
        <w:spacing w:after="0" w:line="266" w:lineRule="auto"/>
        <w:rPr>
          <w:sz w:val="20"/>
          <w:szCs w:val="20"/>
          <w:color w:val="auto"/>
        </w:rPr>
      </w:pPr>
      <w:r>
        <w:rPr>
          <w:rFonts w:ascii="Times New Roman" w:cs="Times New Roman" w:eastAsia="Times New Roman" w:hAnsi="Times New Roman"/>
          <w:sz w:val="17"/>
          <w:szCs w:val="17"/>
          <w:color w:val="auto"/>
        </w:rPr>
        <w:t>There are a number of changes to the patent laws that may have a significant impact on our ability to protect our technology and enforce our intellectual property rights. For example, the Leahy-Smith America Invents Act, or the AIA, enacted in September 2011, resulted in significant changes in patent legislation. 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USPTO after that date but before us could therefore be awarded a patent covering an invention of ours even if we made the invention before it was made by the third party. Circumstances could prevent us from promptly filing patent applications on our inventions. The AIA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or IPR, and derivation proceedings.</w:t>
      </w:r>
    </w:p>
    <w:p>
      <w:pPr>
        <w:spacing w:after="0" w:line="182"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color w:val="auto"/>
        </w:rPr>
        <w:t>There are also a number of changes to the patent laws being considered that, if enacted, may have a significant impact on our ability to protect our technology and enforce our intellectual property rights. For example, the Senate Judiciary Committee’s Subcommittee on Intellectual Property in 2019 held hearings on expanding the test for patent definiteness under Section 112(f) of the Patent Act to combat the assertion of overbroad claims. Such changes could result in a diminished value for issued patents which properly captured the scope entitled to them as of the time of examination, but might fail the new test if it is enacted. Alternatively, the USPTO could decide to strengthen its examination under Section 112(f), leading to fewer issuing patents or patents issuing with more limited scope.</w:t>
      </w:r>
    </w:p>
    <w:p>
      <w:pPr>
        <w:spacing w:after="0" w:line="187" w:lineRule="exact"/>
        <w:rPr>
          <w:sz w:val="20"/>
          <w:szCs w:val="20"/>
          <w:color w:val="auto"/>
        </w:rPr>
      </w:pPr>
    </w:p>
    <w:p>
      <w:pPr>
        <w:ind w:left="180" w:right="20" w:firstLine="436"/>
        <w:spacing w:after="0" w:line="251" w:lineRule="auto"/>
        <w:rPr>
          <w:sz w:val="20"/>
          <w:szCs w:val="20"/>
          <w:color w:val="auto"/>
        </w:rPr>
      </w:pPr>
      <w:r>
        <w:rPr>
          <w:rFonts w:ascii="Times New Roman" w:cs="Times New Roman" w:eastAsia="Times New Roman" w:hAnsi="Times New Roman"/>
          <w:sz w:val="18"/>
          <w:szCs w:val="18"/>
          <w:color w:val="auto"/>
        </w:rPr>
        <w:t>There are also legislative discussions regarding the changing of rules relating to post-grant review of patents through inter partes review, or IPR, or covered business method, or CBM, review. For example, current case law holds that the Patent Trial and Appeal Board, or PTAB, has the sole authority to determine whether to institute an IPR or CBM, and such decision is unreviewable on appeal. Efforts to amend the law to allow appellate review of PTAB institution decisions could result in an increase of institution as a result of such appellate review, and a corresponding increase in invalidation through these processes. Because of a lower evidentiary standard in PTAB proceedings compared to the evidentiary standard in U.S. federal courts necessary to invalidate a patent claim, a third party could potentially provide evidence in a PTAB proceeding sufficient for the PTAB to hold a claim invalid even though the same evidence would be insufficient to invalidate the claim if first presented in a district court action. Accordingly, a third party may attempt to use the PTAB procedures to invalidate our patent claims that would not have been invalidated if first challenged by the third party as a defendant in a district court action, and legislative attempts to make it easier to appeal successful patent-holder results could diminish the value of patents.</w:t>
      </w:r>
    </w:p>
    <w:p>
      <w:pPr>
        <w:spacing w:after="0" w:line="186" w:lineRule="exact"/>
        <w:rPr>
          <w:sz w:val="20"/>
          <w:szCs w:val="20"/>
          <w:color w:val="auto"/>
        </w:rPr>
      </w:pPr>
    </w:p>
    <w:p>
      <w:pPr>
        <w:ind w:left="180" w:right="20" w:firstLine="436"/>
        <w:spacing w:after="0" w:line="251" w:lineRule="auto"/>
        <w:rPr>
          <w:sz w:val="20"/>
          <w:szCs w:val="20"/>
          <w:color w:val="auto"/>
        </w:rPr>
      </w:pPr>
      <w:r>
        <w:rPr>
          <w:rFonts w:ascii="Times New Roman" w:cs="Times New Roman" w:eastAsia="Times New Roman" w:hAnsi="Times New Roman"/>
          <w:sz w:val="18"/>
          <w:szCs w:val="18"/>
          <w:color w:val="auto"/>
        </w:rPr>
        <w:t>In addition, the patent position of companies engaged in the development and commercialization of software and internet e-commerce is particularly uncertain. Various courts, including the Supreme Court have rendered decisions that affect the scope of patentability of certain inventions or discoveries relating to certain software and business method patents. These decisions state, among other things, that a patent claim that recites an abstract idea, natural phenomenon or law of nature is not itself patentable. Precisely what constitutes a law of nature or abstract idea is uncertain, and it is possible that certain aspects of our software or business methods would be considered abstract ideas. Accordingly, the evolving case law in the United States may adversely affect our ability to obtain patents and may facilitate third-party challenges to any owned or licensed patents. The laws of some foreign countries do not protect intellectual property rights to the same extent as the laws of the United States, and we may encounter difficulties in protecting and defending such rights in foreign jurisdictions. The legal systems of many other countries do not favor the enforcement of patents and other intellectual property</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60"/>
          </w:cols>
          <w:pgMar w:left="320" w:top="454" w:right="51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60"/>
        <w:spacing w:after="0" w:line="262" w:lineRule="auto"/>
        <w:rPr>
          <w:sz w:val="20"/>
          <w:szCs w:val="20"/>
          <w:color w:val="auto"/>
        </w:rPr>
      </w:pPr>
      <w:r>
        <w:rPr>
          <w:rFonts w:ascii="Times New Roman" w:cs="Times New Roman" w:eastAsia="Times New Roman" w:hAnsi="Times New Roman"/>
          <w:sz w:val="18"/>
          <w:szCs w:val="18"/>
          <w:color w:val="auto"/>
        </w:rPr>
        <w:t>protection, particularly those relating to software,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18" w:lineRule="exact"/>
        <w:rPr>
          <w:sz w:val="20"/>
          <w:szCs w:val="20"/>
          <w:color w:val="auto"/>
        </w:rPr>
      </w:pPr>
    </w:p>
    <w:p>
      <w:pPr>
        <w:ind w:left="180" w:right="20" w:firstLine="436"/>
        <w:spacing w:after="0" w:line="250" w:lineRule="auto"/>
        <w:rPr>
          <w:sz w:val="20"/>
          <w:szCs w:val="20"/>
          <w:color w:val="auto"/>
        </w:rPr>
      </w:pPr>
      <w:r>
        <w:rPr>
          <w:rFonts w:ascii="Times New Roman" w:cs="Times New Roman" w:eastAsia="Times New Roman" w:hAnsi="Times New Roman"/>
          <w:sz w:val="18"/>
          <w:szCs w:val="18"/>
          <w:color w:val="auto"/>
        </w:rPr>
        <w:t>We may also be required to protect our proprietary technology and content in an increasing number of jurisdictions, a process that is expensive and may not be successful, or which we may not pursue in every location. Filing, prosecuting, maintaining, defending, and enforcing intellectual property rights on our solutions, services, and technologies in all countries throughout the world would be prohibitively expensive, and our intellectual property rights in some countries outside the United States can be less extensive than those in the United States. We do not own and have not registered or applied for intellectual property outside the United States. Competitors may use our technologies in jurisdictions where we have not obtained protection to develop their own solutions and services and, further, may export otherwise violating solutions and services to territories where we have protection but enforcement is not as strong as that in the United States. These solutions and services may compete with our solutions and services, and our intellectual property rights may not be effective or sufficient to prevent them from competing. In addition, the laws of some foreign countries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For instance, there is no uniform worldwide policy regarding patentable subject matter or the scope of claims allowable for business methods. As such, we do not know the degree of future protection that we will have on our technologies, products and services.</w:t>
      </w:r>
    </w:p>
    <w:p>
      <w:pPr>
        <w:spacing w:after="0" w:line="189" w:lineRule="exact"/>
        <w:rPr>
          <w:sz w:val="20"/>
          <w:szCs w:val="20"/>
          <w:color w:val="auto"/>
        </w:rPr>
      </w:pPr>
    </w:p>
    <w:p>
      <w:pPr>
        <w:ind w:left="180" w:right="60" w:firstLine="436"/>
        <w:spacing w:after="0" w:line="252" w:lineRule="auto"/>
        <w:rPr>
          <w:sz w:val="20"/>
          <w:szCs w:val="20"/>
          <w:color w:val="auto"/>
        </w:rPr>
      </w:pPr>
      <w:r>
        <w:rPr>
          <w:rFonts w:ascii="Times New Roman" w:cs="Times New Roman" w:eastAsia="Times New Roman" w:hAnsi="Times New Roman"/>
          <w:sz w:val="18"/>
          <w:szCs w:val="18"/>
          <w:color w:val="auto"/>
        </w:rPr>
        <w:t>In addition, the legal systems of some countries, particularly developing countries, do not favor the enforcement of intellectual property protection, especially those relating to healthcare. This could make it difficult for us to stop the misappropriation or other violation of our other intellectual property rights. Accordingly, we may choose not to seek protection in certain countries, and we will not have the benefit of protection in such countries. Proceedings to enforce our intellectual property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solutions, services and other technologies and the enforcement of intellectual property. Any of the foregoing could harm our competitive position, business, financial condition, results of operations and prospects.</w:t>
      </w:r>
    </w:p>
    <w:p>
      <w:pPr>
        <w:spacing w:after="0" w:line="288" w:lineRule="exact"/>
        <w:rPr>
          <w:sz w:val="20"/>
          <w:szCs w:val="20"/>
          <w:color w:val="auto"/>
        </w:rPr>
      </w:pPr>
    </w:p>
    <w:p>
      <w:pPr>
        <w:ind w:left="180" w:right="46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52" w:lineRule="exact"/>
        <w:rPr>
          <w:sz w:val="20"/>
          <w:szCs w:val="20"/>
          <w:color w:val="auto"/>
        </w:rPr>
      </w:pPr>
    </w:p>
    <w:p>
      <w:pPr>
        <w:ind w:left="180" w:firstLine="436"/>
        <w:spacing w:after="0" w:line="271" w:lineRule="auto"/>
        <w:rPr>
          <w:sz w:val="20"/>
          <w:szCs w:val="20"/>
          <w:color w:val="auto"/>
        </w:rPr>
      </w:pPr>
      <w:r>
        <w:rPr>
          <w:rFonts w:ascii="Times New Roman" w:cs="Times New Roman" w:eastAsia="Times New Roman" w:hAnsi="Times New Roman"/>
          <w:sz w:val="17"/>
          <w:szCs w:val="17"/>
          <w:color w:val="auto"/>
        </w:rPr>
        <w:t>Many of our employees, consultants, and advisors are currently or were previously employed at other companies in our field,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72" w:lineRule="exact"/>
        <w:rPr>
          <w:sz w:val="20"/>
          <w:szCs w:val="20"/>
          <w:color w:val="auto"/>
        </w:rPr>
      </w:pPr>
    </w:p>
    <w:p>
      <w:pPr>
        <w:ind w:left="180" w:right="80" w:firstLine="436"/>
        <w:spacing w:after="0" w:line="277"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w:t>
      </w:r>
    </w:p>
    <w:p>
      <w:pPr>
        <w:spacing w:after="0" w:line="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0"/>
          </w:cols>
          <w:pgMar w:left="320" w:top="454" w:right="5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200"/>
        <w:spacing w:after="0" w:line="257" w:lineRule="auto"/>
        <w:rPr>
          <w:sz w:val="20"/>
          <w:szCs w:val="20"/>
          <w:color w:val="auto"/>
        </w:rPr>
      </w:pPr>
      <w:r>
        <w:rPr>
          <w:rFonts w:ascii="Times New Roman" w:cs="Times New Roman" w:eastAsia="Times New Roman" w:hAnsi="Times New Roman"/>
          <w:sz w:val="18"/>
          <w:szCs w:val="18"/>
          <w:color w:val="auto"/>
        </w:rPr>
        <w:t>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utilize open source software, which may pose particular risks to our proprietary software and solutions.</w:t>
      </w:r>
    </w:p>
    <w:p>
      <w:pPr>
        <w:spacing w:after="0" w:line="118" w:lineRule="exact"/>
        <w:rPr>
          <w:sz w:val="20"/>
          <w:szCs w:val="20"/>
          <w:color w:val="auto"/>
        </w:rPr>
      </w:pPr>
    </w:p>
    <w:p>
      <w:pPr>
        <w:ind w:left="180" w:firstLine="436"/>
        <w:spacing w:after="0" w:line="249" w:lineRule="auto"/>
        <w:rPr>
          <w:sz w:val="20"/>
          <w:szCs w:val="20"/>
          <w:color w:val="auto"/>
        </w:rPr>
      </w:pPr>
      <w:r>
        <w:rPr>
          <w:rFonts w:ascii="Times New Roman" w:cs="Times New Roman" w:eastAsia="Times New Roman" w:hAnsi="Times New Roman"/>
          <w:sz w:val="18"/>
          <w:szCs w:val="18"/>
          <w:color w:val="auto"/>
        </w:rPr>
        <w:t>We use open source software in our solutions and will use open source software in the future. Companies that incorporate open source software into their solutions have, from time to time, faced claims challenging the use of open source software and compliance with open source license terms. Some licenses governing the use of open source software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 parties certain rights of further use. By the terms of certain open source licenses, we could be required to release the source code of our proprietary software, and to make our proprietary software available under open source licenses to third parties at no cost, if we combine our proprietary software with open source software in certain manners. Although we monitor our use of open source software, we cannot assure you that all open source software is reviewed prior to use in our solutions, that our developers have not incorporated open source software into our solutions, or that they will not do so in the future. 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market or provide our solutions.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software. In addition, the terms of open source software licenses may require us to provide software that we develop using such open source software to others on unfavorable license terms. As a result of our current or future use of open source software, we may face claims or litigation, be required to release our proprietary source code, pay damages for breach of contract, re-engineer our solutions, discontinue making our solutions available in the event re-engineering cannot be accomplished on a timely basis or take other remedial action. Any such re-engineering or other remedial efforts could require significant additional research and development resources, and we may not be able to successfully complete any such re-engineering or other remedial efforts. Further, in addition to risks related to license requirements, use of certain open source software can lead to greater risks than use of third-party commercial software, as open source licensors generally do not provide warranties or controls on the origin of software. Any of these risks could be difficult to eliminate or manage, and, if not addressed, could have a negative effect on our business, financial condition and results of operations.</w:t>
      </w:r>
    </w:p>
    <w:p>
      <w:pPr>
        <w:spacing w:after="0" w:line="293" w:lineRule="exact"/>
        <w:rPr>
          <w:sz w:val="20"/>
          <w:szCs w:val="20"/>
          <w:color w:val="auto"/>
        </w:rPr>
      </w:pPr>
    </w:p>
    <w:p>
      <w:pPr>
        <w:ind w:left="18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52" w:lineRule="exact"/>
        <w:rPr>
          <w:sz w:val="20"/>
          <w:szCs w:val="20"/>
          <w:color w:val="auto"/>
        </w:rPr>
      </w:pPr>
    </w:p>
    <w:p>
      <w:pPr>
        <w:ind w:left="180" w:right="40" w:firstLine="436"/>
        <w:spacing w:after="0" w:line="253" w:lineRule="auto"/>
        <w:rPr>
          <w:sz w:val="20"/>
          <w:szCs w:val="20"/>
          <w:color w:val="auto"/>
        </w:rPr>
      </w:pPr>
      <w:r>
        <w:rPr>
          <w:rFonts w:ascii="Times New Roman" w:cs="Times New Roman" w:eastAsia="Times New Roman" w:hAnsi="Times New Roman"/>
          <w:sz w:val="18"/>
          <w:szCs w:val="18"/>
          <w:color w:val="auto"/>
        </w:rPr>
        <w:t>We license certain intellectual property, including technologies and software from third parties, that is important to our business, and in the future we may enter into additional agreements that provide us with licenses to valuable intellectual property or technology. If we fail to comply with any of the obligations under our license agreements, we may be required to pay damages and the licensor may have the right to terminate the license. Termination by the licensor would cause us to lose valuable rights, and could prevent us from selling our solutions and services, or adversely impact our ability to commercialize future solutions and services. Our business would suffer if any current or future licenses terminate, if the licensors fail to abide by the terms of the license, if the licensors fail to enforce licensed patents against infringing third parties, if the licensed intellectual</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60"/>
          </w:cols>
          <w:pgMar w:left="320" w:top="454" w:right="51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spacing w:after="0" w:line="251" w:lineRule="auto"/>
        <w:rPr>
          <w:sz w:val="20"/>
          <w:szCs w:val="20"/>
          <w:color w:val="auto"/>
        </w:rPr>
      </w:pPr>
      <w:r>
        <w:rPr>
          <w:rFonts w:ascii="Times New Roman" w:cs="Times New Roman" w:eastAsia="Times New Roman" w:hAnsi="Times New Roman"/>
          <w:sz w:val="18"/>
          <w:szCs w:val="18"/>
          <w:color w:val="auto"/>
        </w:rPr>
        <w:t>property are found to be invalid or unenforceable, or if we are unable to enter into necessary licenses on acceptable terms. In addition, our rights to certain technologies,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 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292" w:lineRule="exact"/>
        <w:rPr>
          <w:sz w:val="20"/>
          <w:szCs w:val="20"/>
          <w:color w:val="auto"/>
        </w:rPr>
      </w:pPr>
    </w:p>
    <w:p>
      <w:pPr>
        <w:ind w:left="180" w:right="44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solutions or services in the future.</w:t>
      </w:r>
    </w:p>
    <w:p>
      <w:pPr>
        <w:spacing w:after="0" w:line="52" w:lineRule="exact"/>
        <w:rPr>
          <w:sz w:val="20"/>
          <w:szCs w:val="20"/>
          <w:color w:val="auto"/>
        </w:rPr>
      </w:pPr>
    </w:p>
    <w:p>
      <w:pPr>
        <w:ind w:left="180" w:firstLine="436"/>
        <w:spacing w:after="0" w:line="249" w:lineRule="auto"/>
        <w:rPr>
          <w:sz w:val="20"/>
          <w:szCs w:val="20"/>
          <w:color w:val="auto"/>
        </w:rPr>
      </w:pPr>
      <w:r>
        <w:rPr>
          <w:rFonts w:ascii="Times New Roman" w:cs="Times New Roman" w:eastAsia="Times New Roman" w:hAnsi="Times New Roman"/>
          <w:sz w:val="18"/>
          <w:szCs w:val="18"/>
          <w:color w:val="auto"/>
        </w:rPr>
        <w:t>In the future, we may identify additional third-party intellectual property we may need to license in order to engage in our business, including to develop or commercialize new solutions or services. However, such licenses may not be available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development or commercialization capabilities. In addition, companies that perceive us to be a competitor may be unwilling to assign or license rights to us. Even if such licenses are available, we may be required to pay the licensor substantial royalties based on sales of our solutions and services. Such royalties are a component of the cost of our solutions or services and may affect the margins on our solutions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intellectual property rights are found to be invalid or unenforceable, our business, financial condition, results of operations and prospects could be affected. 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and other obstacles in our attempt to develop alternatives. Defense of any lawsuit or failure to obtain any of these licenses on favorable terms could prevent us from commercializing solutions and services, which could harm our competitive position, business, financial condition, results of operations and prospects.</w:t>
      </w: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Risks Related to the Healthcare Industry</w:t>
      </w:r>
    </w:p>
    <w:p>
      <w:pPr>
        <w:spacing w:after="0" w:line="114" w:lineRule="exact"/>
        <w:rPr>
          <w:sz w:val="20"/>
          <w:szCs w:val="20"/>
          <w:color w:val="auto"/>
        </w:rPr>
      </w:pPr>
    </w:p>
    <w:p>
      <w:pPr>
        <w:jc w:val="both"/>
        <w:ind w:left="180" w:right="520" w:firstLine="43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state and federal fraud and abuse and other healthcare regulatory laws and regulations. If we or our commercial partners act in a manner that violates such laws or otherwise engage in misconduct, we may be subject to civil or criminal penalties as well as exclusion from government healthcare programs.</w:t>
      </w:r>
    </w:p>
    <w:p>
      <w:pPr>
        <w:spacing w:after="0" w:line="173" w:lineRule="exact"/>
        <w:rPr>
          <w:sz w:val="20"/>
          <w:szCs w:val="20"/>
          <w:color w:val="auto"/>
        </w:rPr>
      </w:pPr>
    </w:p>
    <w:p>
      <w:pPr>
        <w:ind w:left="180" w:right="100" w:firstLine="436"/>
        <w:spacing w:after="0" w:line="257" w:lineRule="auto"/>
        <w:rPr>
          <w:sz w:val="20"/>
          <w:szCs w:val="20"/>
          <w:color w:val="auto"/>
        </w:rPr>
      </w:pPr>
      <w:r>
        <w:rPr>
          <w:rFonts w:ascii="Times New Roman" w:cs="Times New Roman" w:eastAsia="Times New Roman" w:hAnsi="Times New Roman"/>
          <w:sz w:val="18"/>
          <w:szCs w:val="18"/>
          <w:color w:val="auto"/>
        </w:rPr>
        <w:t>Although the consumers who use our offerings do so outside of any medication or other health benefits covered under their health insurance, including any commercial or government healthcare program, we may nonetheless be subject to healthcare fraud and abuse regulation and enforcement by both the U.S. federal government and the states in which we conduct our business. These laws impact, among other things, our sales, marketing, support and education programs and constrain our business and financial arrangements and</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60"/>
          </w:cols>
          <w:pgMar w:left="320" w:top="454" w:right="51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140"/>
        <w:spacing w:after="0" w:line="277" w:lineRule="auto"/>
        <w:rPr>
          <w:sz w:val="20"/>
          <w:szCs w:val="20"/>
          <w:color w:val="auto"/>
        </w:rPr>
      </w:pPr>
      <w:r>
        <w:rPr>
          <w:rFonts w:ascii="Times New Roman" w:cs="Times New Roman" w:eastAsia="Times New Roman" w:hAnsi="Times New Roman"/>
          <w:sz w:val="18"/>
          <w:szCs w:val="18"/>
          <w:color w:val="auto"/>
        </w:rPr>
        <w:t>relationships with pharmacies, PBMs, pharmaceutical manufacturers, marketing partners, healthcare professionals and consumers, and include, but are not limited to, the following:</w:t>
      </w:r>
    </w:p>
    <w:p>
      <w:pPr>
        <w:spacing w:after="0" w:line="70" w:lineRule="exact"/>
        <w:rPr>
          <w:sz w:val="20"/>
          <w:szCs w:val="20"/>
          <w:color w:val="auto"/>
        </w:rPr>
      </w:pPr>
    </w:p>
    <w:p>
      <w:pPr>
        <w:ind w:left="1140" w:hanging="432"/>
        <w:spacing w:after="0" w:line="273" w:lineRule="auto"/>
        <w:tabs>
          <w:tab w:leader="none" w:pos="11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federal Anti-Kickback Statute, which prohibits, among other things, persons or entities from knowingly and willfully soliciting, offering, receiving or paying any remuneration, directly or indirectly, overtly or covertly, in cash or in kind, to induce or reward either the referral of an individual for, or the purchase, lease, order, or arranging for or recommending the purchase, lease or order of, any item or service, for which payment may be made, in whole or in part, under federal healthcare programs such as Medicare and Medicaid. A person or entity does not need to have actual knowledge of the statute or specific intent to violate it in order to have committed a violation;</w:t>
      </w:r>
    </w:p>
    <w:p>
      <w:pPr>
        <w:spacing w:after="0" w:line="77" w:lineRule="exact"/>
        <w:rPr>
          <w:rFonts w:ascii="Times New Roman" w:cs="Times New Roman" w:eastAsia="Times New Roman" w:hAnsi="Times New Roman"/>
          <w:sz w:val="17"/>
          <w:szCs w:val="17"/>
          <w:color w:val="auto"/>
        </w:rPr>
      </w:pPr>
    </w:p>
    <w:p>
      <w:pPr>
        <w:ind w:left="1140" w:right="20" w:hanging="432"/>
        <w:spacing w:after="0" w:line="25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laws, including the civil False Claims Act (which can be enforced through ‘‘qui tam,’’ or whistleblower actions, by private citizens on behalf of the federal government), which prohibits any person from, among other things, knowingly presenting, or causing to be presented false or fraudulent claims for payment of government funds or knowingly making, using or causing to be made or used, a false record or statement material to an obligation to pay money to the government or knowingly and improperly avoiding, decreasing or concealing an obligation to pay money to the U.S. federal government. In addition, the government may assert that a claim including items and services resulting from a violation of the U.S. federal Anti-Kickback Statute constitutes a false or fraudulent claim for purposes of the civil False Claims Act;</w:t>
      </w:r>
    </w:p>
    <w:p>
      <w:pPr>
        <w:spacing w:after="0" w:line="95" w:lineRule="exact"/>
        <w:rPr>
          <w:rFonts w:ascii="Times New Roman" w:cs="Times New Roman" w:eastAsia="Times New Roman" w:hAnsi="Times New Roman"/>
          <w:sz w:val="18"/>
          <w:szCs w:val="18"/>
          <w:color w:val="auto"/>
        </w:rPr>
      </w:pPr>
    </w:p>
    <w:p>
      <w:pPr>
        <w:ind w:left="1140" w:right="20" w:hanging="432"/>
        <w:spacing w:after="0" w:line="273" w:lineRule="auto"/>
        <w:tabs>
          <w:tab w:leader="none" w:pos="11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it in order to have committed a violation;</w:t>
      </w:r>
    </w:p>
    <w:p>
      <w:pPr>
        <w:spacing w:after="0" w:line="77" w:lineRule="exact"/>
        <w:rPr>
          <w:rFonts w:ascii="Times New Roman" w:cs="Times New Roman" w:eastAsia="Times New Roman" w:hAnsi="Times New Roman"/>
          <w:sz w:val="17"/>
          <w:szCs w:val="17"/>
          <w:color w:val="auto"/>
        </w:rPr>
      </w:pPr>
    </w:p>
    <w:p>
      <w:pPr>
        <w:ind w:left="1140" w:right="180" w:hanging="432"/>
        <w:spacing w:after="0" w:line="257"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a state or federal healthcare program;</w:t>
      </w:r>
    </w:p>
    <w:p>
      <w:pPr>
        <w:spacing w:after="0" w:line="88" w:lineRule="exact"/>
        <w:rPr>
          <w:rFonts w:ascii="Times New Roman" w:cs="Times New Roman" w:eastAsia="Times New Roman" w:hAnsi="Times New Roman"/>
          <w:sz w:val="18"/>
          <w:szCs w:val="18"/>
          <w:color w:val="auto"/>
        </w:rPr>
      </w:pPr>
    </w:p>
    <w:p>
      <w:pPr>
        <w:ind w:left="1140" w:right="280" w:hanging="432"/>
        <w:spacing w:after="0" w:line="277"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platform activities and activities that potentially harm consumers; and</w:t>
      </w:r>
    </w:p>
    <w:p>
      <w:pPr>
        <w:spacing w:after="0" w:line="69" w:lineRule="exact"/>
        <w:rPr>
          <w:rFonts w:ascii="Times New Roman" w:cs="Times New Roman" w:eastAsia="Times New Roman" w:hAnsi="Times New Roman"/>
          <w:sz w:val="18"/>
          <w:szCs w:val="18"/>
          <w:color w:val="auto"/>
        </w:rPr>
      </w:pPr>
    </w:p>
    <w:p>
      <w:pPr>
        <w:ind w:left="1140" w:right="120" w:hanging="432"/>
        <w:spacing w:after="0" w:line="26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and regulations, including state anti-kickback and false claims laws, that may apply to our business practices, including but not limited to, research, distribution, sales and marketing arrangements and claims involving healthcare items or services reimbursed by any third-party payor, including private insurers and self-pay patients.</w:t>
      </w:r>
    </w:p>
    <w:p>
      <w:pPr>
        <w:spacing w:after="0" w:line="177" w:lineRule="exact"/>
        <w:rPr>
          <w:sz w:val="20"/>
          <w:szCs w:val="20"/>
          <w:color w:val="auto"/>
        </w:rPr>
      </w:pPr>
    </w:p>
    <w:p>
      <w:pPr>
        <w:ind w:left="180" w:firstLine="436"/>
        <w:spacing w:after="0" w:line="271" w:lineRule="auto"/>
        <w:rPr>
          <w:sz w:val="20"/>
          <w:szCs w:val="20"/>
          <w:color w:val="auto"/>
        </w:rPr>
      </w:pPr>
      <w:r>
        <w:rPr>
          <w:rFonts w:ascii="Times New Roman" w:cs="Times New Roman" w:eastAsia="Times New Roman" w:hAnsi="Times New Roman"/>
          <w:sz w:val="17"/>
          <w:szCs w:val="17"/>
          <w:color w:val="auto"/>
        </w:rPr>
        <w:t>To enforce compliance with healthcare regulatory laws, certain enforcement bodies have recently increased their scrutiny of interactions between healthcare companies and referral sources, which has led to a number of investigations, prosecutions, convictions and settlements in the healthcare industry. Responding to investigations can be time- and resource-consuming and can divert management’s attention from the business. Additionally, as a result of these investigations, entities may also have to agree to additional compliance and reporting requirements as part of a consent decree, non-prosecution or corporate integrity agreement. Any such investigation or settlements could increase our costs or otherwise have an adverse effect on our business. Even an unsuccessful challenge or investigation into our practices could cause adverse publicity and be costly to respond.</w:t>
      </w:r>
    </w:p>
    <w:p>
      <w:pPr>
        <w:spacing w:after="0" w:line="172" w:lineRule="exact"/>
        <w:rPr>
          <w:sz w:val="20"/>
          <w:szCs w:val="20"/>
          <w:color w:val="auto"/>
        </w:rPr>
      </w:pPr>
    </w:p>
    <w:p>
      <w:pPr>
        <w:ind w:left="180" w:right="220" w:firstLine="436"/>
        <w:spacing w:after="0" w:line="262" w:lineRule="auto"/>
        <w:rPr>
          <w:sz w:val="20"/>
          <w:szCs w:val="20"/>
          <w:color w:val="auto"/>
        </w:rPr>
      </w:pPr>
      <w:r>
        <w:rPr>
          <w:rFonts w:ascii="Times New Roman" w:cs="Times New Roman" w:eastAsia="Times New Roman" w:hAnsi="Times New Roman"/>
          <w:sz w:val="18"/>
          <w:szCs w:val="18"/>
          <w:color w:val="auto"/>
        </w:rPr>
        <w:t>The shifting commercial compliance environment and the need to build and maintain robust and expandable systems to comply with different compliance or reporting requirements in multiple jurisdictions increase the possibility that a healthcare company may fail to comply fully with one or more of these requirements. Efforts to</w:t>
      </w:r>
    </w:p>
    <w:p>
      <w:pPr>
        <w:spacing w:after="0" w:line="1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40"/>
          </w:cols>
          <w:pgMar w:left="320" w:top="454" w:right="5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40"/>
        <w:spacing w:after="0" w:line="257" w:lineRule="auto"/>
        <w:rPr>
          <w:sz w:val="20"/>
          <w:szCs w:val="20"/>
          <w:color w:val="auto"/>
        </w:rPr>
      </w:pPr>
      <w:r>
        <w:rPr>
          <w:rFonts w:ascii="Times New Roman" w:cs="Times New Roman" w:eastAsia="Times New Roman" w:hAnsi="Times New Roman"/>
          <w:sz w:val="18"/>
          <w:szCs w:val="18"/>
          <w:color w:val="auto"/>
        </w:rPr>
        <w:t>ensure that our business arrangements with third parties will comply with applicable healthcare laws and regulations may involve substantial costs. It is possible that governmental authorities may conclude that our business practices, including, without limitation, our revenue sharing arrangements with our partners, arrangements with entities that provide us with rebate administrative services, and other sales and marketing practices, do not comply with applicable fraud and abuse or other healthcare laws and regulations or guidance.</w:t>
      </w:r>
    </w:p>
    <w:p>
      <w:pPr>
        <w:spacing w:after="0" w:line="182" w:lineRule="exact"/>
        <w:rPr>
          <w:sz w:val="20"/>
          <w:szCs w:val="20"/>
          <w:color w:val="auto"/>
        </w:rPr>
      </w:pPr>
    </w:p>
    <w:p>
      <w:pPr>
        <w:ind w:left="180" w:right="100" w:firstLine="436"/>
        <w:spacing w:after="0" w:line="271" w:lineRule="auto"/>
        <w:rPr>
          <w:sz w:val="20"/>
          <w:szCs w:val="20"/>
          <w:color w:val="auto"/>
        </w:rPr>
      </w:pPr>
      <w:r>
        <w:rPr>
          <w:rFonts w:ascii="Times New Roman" w:cs="Times New Roman" w:eastAsia="Times New Roman" w:hAnsi="Times New Roman"/>
          <w:sz w:val="17"/>
          <w:szCs w:val="17"/>
          <w:color w:val="auto"/>
        </w:rPr>
        <w:t>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and additional oversight and reporting requirements if we become subject to a corporate integrity agreement to resolve allegations of non-compliance with these laws and the curtailment or restructuring of our operations. If any of the pharmacies, PBMs, pharmaceutical manufacturers, marketing partners or other entities with whom we do business is found not to be in compliance with applicable laws, they may be subject to the same criminal, civil or administrative sanctions, including exclusion from government-funded healthcare programs.</w:t>
      </w:r>
    </w:p>
    <w:p>
      <w:pPr>
        <w:spacing w:after="0" w:line="172" w:lineRule="exact"/>
        <w:rPr>
          <w:sz w:val="20"/>
          <w:szCs w:val="20"/>
          <w:color w:val="auto"/>
        </w:rPr>
      </w:pPr>
    </w:p>
    <w:p>
      <w:pPr>
        <w:ind w:left="180" w:right="100" w:firstLine="436"/>
        <w:spacing w:after="0" w:line="257" w:lineRule="auto"/>
        <w:rPr>
          <w:sz w:val="20"/>
          <w:szCs w:val="20"/>
          <w:color w:val="auto"/>
        </w:rPr>
      </w:pPr>
      <w:r>
        <w:rPr>
          <w:rFonts w:ascii="Times New Roman" w:cs="Times New Roman" w:eastAsia="Times New Roman" w:hAnsi="Times New Roman"/>
          <w:sz w:val="18"/>
          <w:szCs w:val="18"/>
          <w:color w:val="auto"/>
        </w:rPr>
        <w:t>We provide pricing information and discounted prices for all FDA-approved medications, including products that are regulated under federal and state law as controlled substances. Controlled substances are subject to more onerous regulatory requirements than other pharmaceutical products and have received increasing legal scrutiny in recent years, which will likely continue into the future. Regulatory or legal developments that have the effect of lowering the sales of controlled substances may have a negative impact on our business.</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Our telehealth offerings are subject to laws, rules and policies governing the practice of medicine and medical board oversight.</w:t>
      </w:r>
    </w:p>
    <w:p>
      <w:pPr>
        <w:spacing w:after="0" w:line="118" w:lineRule="exact"/>
        <w:rPr>
          <w:sz w:val="20"/>
          <w:szCs w:val="20"/>
          <w:color w:val="auto"/>
        </w:rPr>
      </w:pPr>
    </w:p>
    <w:p>
      <w:pPr>
        <w:ind w:left="180" w:right="60" w:firstLine="436"/>
        <w:spacing w:after="0" w:line="257" w:lineRule="auto"/>
        <w:rPr>
          <w:sz w:val="20"/>
          <w:szCs w:val="20"/>
          <w:color w:val="auto"/>
        </w:rPr>
      </w:pPr>
      <w:r>
        <w:rPr>
          <w:rFonts w:ascii="Times New Roman" w:cs="Times New Roman" w:eastAsia="Times New Roman" w:hAnsi="Times New Roman"/>
          <w:sz w:val="18"/>
          <w:szCs w:val="18"/>
          <w:color w:val="auto"/>
        </w:rPr>
        <w:t>Our ability to conduct and optimize our telehealth offerings in each state is dependent upon the state’s treatment of telehealth, such as the permissibility of asynchronous store-and-forward telehealth, under such state’s laws, rules and policies governing the practice of medicine, which are subject to changing political, regulatory and other influences. Some state medical boards have established rules or interpreted existing rules in a manner that limits or restricts our ability to conduct or optimize our business.</w:t>
      </w:r>
    </w:p>
    <w:p>
      <w:pPr>
        <w:spacing w:after="0" w:line="182" w:lineRule="exact"/>
        <w:rPr>
          <w:sz w:val="20"/>
          <w:szCs w:val="20"/>
          <w:color w:val="auto"/>
        </w:rPr>
      </w:pPr>
    </w:p>
    <w:p>
      <w:pPr>
        <w:ind w:left="180" w:right="20" w:firstLine="436"/>
        <w:spacing w:after="0" w:line="268" w:lineRule="auto"/>
        <w:rPr>
          <w:sz w:val="20"/>
          <w:szCs w:val="20"/>
          <w:color w:val="auto"/>
        </w:rPr>
      </w:pPr>
      <w:r>
        <w:rPr>
          <w:rFonts w:ascii="Times New Roman" w:cs="Times New Roman" w:eastAsia="Times New Roman" w:hAnsi="Times New Roman"/>
          <w:sz w:val="17"/>
          <w:szCs w:val="17"/>
          <w:color w:val="auto"/>
        </w:rPr>
        <w:t>Our telehealth offerings offer patients the ability to see a board-certified medical professional for advice, diagnosis and treatment of routine health conditions on a remote basis. Due to the nature of this service and the provision of medical care and treatment by board-certified medical professionals, we and certain of our affiliated physicians and healthcare professionals are and may in the future be subject to complaints, inquiries and compliance orders by national and state medical boards. Such complaints, inquiries or compliance orders may result in disciplinary actions taken by these medical boards against the licensed physicians who provide services through our telehealth offerings, which could include suspension, restriction or revocation of the physician’s medical license, probation, required continuing medical education courses, monetary fines, administrative actions and other conditions. Regardless of outcome, these complaints, inquiries or compliance orders could have an adverse impact on our telehealth offerings and our platform generally due to defense and settlement costs, diversion of management resources, negative publicity, reputational harm and other factors.</w:t>
      </w:r>
    </w:p>
    <w:p>
      <w:pPr>
        <w:spacing w:after="0" w:line="177" w:lineRule="exact"/>
        <w:rPr>
          <w:sz w:val="20"/>
          <w:szCs w:val="20"/>
          <w:color w:val="auto"/>
        </w:rPr>
      </w:pPr>
    </w:p>
    <w:p>
      <w:pPr>
        <w:ind w:left="180" w:firstLine="436"/>
        <w:spacing w:after="0" w:line="255" w:lineRule="auto"/>
        <w:rPr>
          <w:sz w:val="20"/>
          <w:szCs w:val="20"/>
          <w:color w:val="auto"/>
        </w:rPr>
      </w:pPr>
      <w:r>
        <w:rPr>
          <w:rFonts w:ascii="Times New Roman" w:cs="Times New Roman" w:eastAsia="Times New Roman" w:hAnsi="Times New Roman"/>
          <w:sz w:val="18"/>
          <w:szCs w:val="18"/>
          <w:color w:val="auto"/>
        </w:rPr>
        <w:t>Due to the uncertain regulatory environment, certain states may determine that we are in violation of their laws and regulations or such laws and regulations may change. In the event that we must remedy such violations, we may be required to modify our offerings in such states in a manner that undermines our offerings or business, we may become subject to fines or other penalties or, if we determine that the requirements to operate in compliance in such states are overly burdensome, we may elect to terminate our operations in such states. In each case, our revenue may decline and our business, financial condition and results of operations could be materially adversely affected.</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40"/>
          </w:cols>
          <w:pgMar w:left="320" w:top="454" w:right="5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right="56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In our telehealth offerings, we are dependent on our relationships with affiliated professional entities, which we do not own, to provide healthcare services, and our business would be adversely affected if those relationships were disrupted.</w:t>
      </w:r>
    </w:p>
    <w:p>
      <w:pPr>
        <w:spacing w:after="0" w:line="52" w:lineRule="exact"/>
        <w:rPr>
          <w:sz w:val="20"/>
          <w:szCs w:val="20"/>
          <w:color w:val="auto"/>
        </w:rPr>
      </w:pPr>
    </w:p>
    <w:p>
      <w:pPr>
        <w:ind w:left="180" w:firstLine="436"/>
        <w:spacing w:after="0" w:line="249" w:lineRule="auto"/>
        <w:rPr>
          <w:sz w:val="20"/>
          <w:szCs w:val="20"/>
          <w:color w:val="auto"/>
        </w:rPr>
      </w:pPr>
      <w:r>
        <w:rPr>
          <w:rFonts w:ascii="Times New Roman" w:cs="Times New Roman" w:eastAsia="Times New Roman" w:hAnsi="Times New Roman"/>
          <w:sz w:val="18"/>
          <w:szCs w:val="18"/>
          <w:color w:val="auto"/>
        </w:rPr>
        <w:t>Our contractual relationships with our affiliated healthcare professionals providing telehealth services, our platform that enables HeyDoctor consumers to opt in to use our prescription offering, and the recent launch of HeyDoctor’s platform where consumers can access a third-party mail order pharmacy to fill their prescriptions may implicate certain state laws in the United States that generally prohibit non-physician entities from practicing medicine, exercising control over physicians or engaging in certain practices such as fee-splitting with physicians. Although we believe that we have structured our arrangements to ensure that the healthcare professionals maintain exclusive authority regarding the delivery of medical care and prescription of medications when clinically appropriate, there can be no assurance that these laws will be interpreted in a manner consistent with our practices or that other laws or regulations will not be enacted in the future that could have a material and adverse effect on our business, financial condition and results of operations. Regulatory authorities, state medical boards of medicine, state attorneys general and other parties, including our affiliated healthcare professionals, may assert that, despite the management service agreement and other arrangements through which we operate, we are engaged in the prohibited corporate practice of medicine, and/or that our arrangements with our affiliated professional entities constitute unlawful fee-splitting. If a state’s prohibition on the corporate practice of medicine or fee-splitting law is interpreted in a manner that is inconsistent with our practices, we would be required to restructure or terminate our relationship with our affiliated professional entities to bring its activities into compliance with such laws. A determination of non-compliance, or the termination of or failure to successfully restructure these relationships could result in disciplinary action, penalties, damages, fines, and/or a loss of revenue, any of which could have a material and adverse effect on our business, financial condition and results of operations. State corporate practice of medicine doctrines and fee-splitting prohibitions also often impose penalties on healthcare professionals for aiding the corporate practice of medicine, which could discourage physicians and other healthcare professionals from participating in our network of providers.</w:t>
      </w:r>
    </w:p>
    <w:p>
      <w:pPr>
        <w:spacing w:after="0" w:line="299" w:lineRule="exact"/>
        <w:rPr>
          <w:sz w:val="20"/>
          <w:szCs w:val="20"/>
          <w:color w:val="auto"/>
        </w:rPr>
      </w:pPr>
    </w:p>
    <w:p>
      <w:pPr>
        <w:ind w:left="180" w:right="2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impact of recent healthcare reform legislation and other changes in the healthcare industry and in healthcare spending on us is currently unknown, but may adversely affect our business, financial condition and results of operations.</w:t>
      </w:r>
    </w:p>
    <w:p>
      <w:pPr>
        <w:spacing w:after="0" w:line="52" w:lineRule="exact"/>
        <w:rPr>
          <w:sz w:val="20"/>
          <w:szCs w:val="20"/>
          <w:color w:val="auto"/>
        </w:rPr>
      </w:pPr>
    </w:p>
    <w:p>
      <w:pPr>
        <w:ind w:left="180" w:firstLine="436"/>
        <w:spacing w:after="0" w:line="268" w:lineRule="auto"/>
        <w:rPr>
          <w:sz w:val="20"/>
          <w:szCs w:val="20"/>
          <w:color w:val="auto"/>
        </w:rPr>
      </w:pPr>
      <w:r>
        <w:rPr>
          <w:rFonts w:ascii="Times New Roman" w:cs="Times New Roman" w:eastAsia="Times New Roman" w:hAnsi="Times New Roman"/>
          <w:sz w:val="17"/>
          <w:szCs w:val="17"/>
          <w:color w:val="auto"/>
        </w:rPr>
        <w:t>Our revenue is dependent on the healthcare industry and could be affected by changes in healthcare spending and policy. The healthcare industry is subject to changing political, regulatory and other influences. The Patient Protection and Affordable Care Act, as amended by the Healthcare and Education Reconciliation Act of 2010, or collectively, the ACA, enacted in March 2010, made major changes in how healthcare is delivered and reimbursed, and increased access to health insurance benefits to the uninsured and underinsured population of the United States. The ACA, among other things, required manufacturers to participate in a coverage gap discount program, under which they must agree to offer 70% point-of-sale discounts off negotiated prices of applicable brand medications to eligible beneficiaries during their coverage gap period, as a condition for the manufacturer’s outpatient medications to be covered under Medicare Part D, increased the number of individuals with Medicaid and private insurance coverage, implemented reimbursement policies that tie payment to quality, facilitated the creation of accountable care organizations that may use capitation and other alternative payment methodologies, strengthened enforcement of fraud and abuse laws and encouraged the use of information technology.</w:t>
      </w:r>
    </w:p>
    <w:p>
      <w:pPr>
        <w:spacing w:after="0" w:line="173"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color w:val="auto"/>
        </w:rPr>
        <w:t>Since its enactment, there have been judicial, U.S. congressional and executive branch challenges to certain aspects of the ACA, and we expect there will be additional challenges and amendments to the ACA in the future. For example, the Tax Cuts and Jobs Act of 2017, or Tax Act, was enacted, which includes a provision repealing, effective January 1, 2019, the tax-based shared responsibility payment imposed by the ACA on certain individuals who fail to maintain qualifying health coverage for all or part of a year, which is commonly referred to as the “individual mandate.” On December 14, 2018, a U.S. District Court judge in the Northern District of Texas ruled that the individual mandate is a critical and inseverable feature of the ACA, and therefore, because it was repealed</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40"/>
          </w:cols>
          <w:pgMar w:left="320" w:top="454" w:right="5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20"/>
        <w:spacing w:after="0" w:line="253" w:lineRule="auto"/>
        <w:rPr>
          <w:sz w:val="20"/>
          <w:szCs w:val="20"/>
          <w:color w:val="auto"/>
        </w:rPr>
      </w:pPr>
      <w:r>
        <w:rPr>
          <w:rFonts w:ascii="Times New Roman" w:cs="Times New Roman" w:eastAsia="Times New Roman" w:hAnsi="Times New Roman"/>
          <w:sz w:val="18"/>
          <w:szCs w:val="18"/>
          <w:color w:val="auto"/>
        </w:rPr>
        <w:t>as part of the Tax Act, the remaining provisions of the ACA are invalid as well. On December 18, 2019, the U.S. Court of Appeals for the 5th Circuit affirmed the District Court’s decision that the individual mandate was unconstitutional but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ACA will impact the ACA. We are continuing to monitor any changes to the ACA that, in turn, may potentially impact our business in the future.</w:t>
      </w:r>
    </w:p>
    <w:p>
      <w:pPr>
        <w:spacing w:after="0" w:line="187" w:lineRule="exact"/>
        <w:rPr>
          <w:sz w:val="20"/>
          <w:szCs w:val="20"/>
          <w:color w:val="auto"/>
        </w:rPr>
      </w:pPr>
    </w:p>
    <w:p>
      <w:pPr>
        <w:ind w:left="180" w:firstLine="436"/>
        <w:spacing w:after="0" w:line="249" w:lineRule="auto"/>
        <w:rPr>
          <w:sz w:val="20"/>
          <w:szCs w:val="20"/>
          <w:color w:val="auto"/>
        </w:rPr>
      </w:pPr>
      <w:r>
        <w:rPr>
          <w:rFonts w:ascii="Times New Roman" w:cs="Times New Roman" w:eastAsia="Times New Roman" w:hAnsi="Times New Roman"/>
          <w:sz w:val="18"/>
          <w:szCs w:val="18"/>
          <w:color w:val="auto"/>
        </w:rPr>
        <w:t>In addition, recently there has been heightened governmental scrutiny over the manner in which pharmaceutical manufacturers set prices for their marketed products, which has resulted in several U.S. congressional inquiries and proposed and enacted federal and state legislation designed to, among other things, bring more transparency to medication pricing, reduce the cost of prescription medications under government payor programs, and review the relationship between pricing and manufacturer patient programs. At the federal level, the Trump administration’s budget proposal for fiscal year 2021 includes a $135 billion allowance to support legislative proposals seeking to reduce medication prices, increase competition, lower out-of-pocket medication costs for patients, and increase patient access to lower-cost generic and biosimilar medications. On March 10, 2020, the Trump administration sent “principles” for medication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previously released a “Blueprint,” or plan, to lower medication prices and reduce out-of-pocket costs of prescription medications that contains additional proposals to increase pharmaceutical manufacturer competition, increase the negotiating power of certain federal healthcare programs, incentivize manufacturers to lower the list price of their products, and reduce the out of pocket costs of medication products paid by consumers. Moreover, in February 2019, the Office of Inspector General, or OIG, of HHS, proposed modifications to U.S. federal healthcare Anti-Kickback Statute safe harbors which, among other things, would have affected rebates paid by manufacturers to Medicare Part D plans and Medicaid managed care organizations, either directly or through PBMs under contract with such sponsors or organizations, the purpose of which was to further reduce the cost of medication products to consumers. Although the Trump administration withdrew the proposed rule in July 2019, in July 2020, President Trump signed four executive orders that attempt to implement several of the Administration’s proposals, including one that directs HHS to finalize the rulemaking process on modifying these Anti-Kickback Statute safe harbors if HHS confirms that the action is not projected to increase federal spending, Medicare beneficiary premiums, or patients’ total out-of-pocket costs. The other executive orders include a policy that would tie Medicare Part B drug prices to international drug prices; an order that directs HHS to finalize the Canadian drug importation proposed rule previously issued by HHS allowing states to submit importation program proposals to the FDA for review and authorization and makes other changes allowing for the facilitation of grants to individuals of waivers of the prohibition of importation of prescription drugs, provided such importation poses no additional risk to public safety, and one that reduces costs of insulin and epipens to patients of federally qualified health centers. Congress and the Trump administration have each indicated that it will continue to seek new legislative and/or administrative measures to control medication costs.</w:t>
      </w:r>
    </w:p>
    <w:p>
      <w:pPr>
        <w:spacing w:after="0" w:line="189" w:lineRule="exact"/>
        <w:rPr>
          <w:sz w:val="20"/>
          <w:szCs w:val="20"/>
          <w:color w:val="auto"/>
        </w:rPr>
      </w:pPr>
    </w:p>
    <w:p>
      <w:pPr>
        <w:ind w:left="180" w:right="120" w:firstLine="436"/>
        <w:spacing w:after="0" w:line="252" w:lineRule="auto"/>
        <w:rPr>
          <w:sz w:val="20"/>
          <w:szCs w:val="20"/>
          <w:color w:val="auto"/>
        </w:rPr>
      </w:pPr>
      <w:r>
        <w:rPr>
          <w:rFonts w:ascii="Times New Roman" w:cs="Times New Roman" w:eastAsia="Times New Roman" w:hAnsi="Times New Roman"/>
          <w:sz w:val="18"/>
          <w:szCs w:val="18"/>
          <w:color w:val="auto"/>
        </w:rPr>
        <w:t>Individual states in the United States have also increasingly passed legislation and implemented regulations designed to control medication pricing, including price or patient reimbursement constraints, discounts, restrictions on certain product access, disclosure, transparency and reporting requirements to regulatory agencies regarding marketing costs and discounts provided to patients, such as those provided through our prescription offering and subscription offerings, for prescription medications dispensed by pharmacies, and, in some cases, designed to encourage importation from other countries and bulk purchasing. We expect that additional state and federal healthcare reform measures will be adopted in the future, any of which could impact the amounts that federal and state governments and other third-party payors will pay for healthcare products and services or require us to restructure our existing arrangements with PBMs and pharmaceutical manufacturers, any of which could adversely affect our business, financial condition and results of operations.</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40"/>
          </w:cols>
          <w:pgMar w:left="320" w:top="454" w:right="5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Class A Common Stock</w:t>
      </w:r>
    </w:p>
    <w:p>
      <w:pPr>
        <w:spacing w:after="0" w:line="114" w:lineRule="exact"/>
        <w:rPr>
          <w:sz w:val="20"/>
          <w:szCs w:val="20"/>
          <w:color w:val="auto"/>
        </w:rPr>
      </w:pPr>
    </w:p>
    <w:p>
      <w:pPr>
        <w:ind w:left="180" w:right="36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prior market for our Class A common stock. An active market may not develop or be sustainable, and investors may be unable to resell their shares at or above the initial public offering price.</w:t>
      </w:r>
    </w:p>
    <w:p>
      <w:pPr>
        <w:spacing w:after="0" w:line="52"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color w:val="auto"/>
        </w:rPr>
        <w:t>There has been no public market for our Class A common stock prior to this offering. The initial public offering price for our Class A common stock will be determined through negotiations between the representatives of the underwriters and us and may vary from the market price of our Class A common stock following the completion of this offering. An active or liquid market in our Class A common stock may not develop upon completion of this offering or, if it does develop, it may not be sustainable. In the absence of an active trading market for our Class A common stock, you may not be able to resell those shares at or above the initial public offering price or at all. We cannot predict the prices at which our Class A common stock will trade.</w:t>
      </w:r>
    </w:p>
    <w:p>
      <w:pPr>
        <w:spacing w:after="0" w:line="290" w:lineRule="exact"/>
        <w:rPr>
          <w:sz w:val="20"/>
          <w:szCs w:val="20"/>
          <w:color w:val="auto"/>
        </w:rPr>
      </w:pPr>
    </w:p>
    <w:p>
      <w:pPr>
        <w:ind w:left="180" w:right="80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be volatile or may decline regardless of our operating performance, resulting in substantial losses for investors purchasing shares in this offering.</w:t>
      </w:r>
    </w:p>
    <w:p>
      <w:pPr>
        <w:spacing w:after="0" w:line="52" w:lineRule="exact"/>
        <w:rPr>
          <w:sz w:val="20"/>
          <w:szCs w:val="20"/>
          <w:color w:val="auto"/>
        </w:rPr>
      </w:pPr>
    </w:p>
    <w:p>
      <w:pPr>
        <w:ind w:left="180" w:right="520" w:firstLine="436"/>
        <w:spacing w:after="0" w:line="277" w:lineRule="auto"/>
        <w:rPr>
          <w:sz w:val="20"/>
          <w:szCs w:val="20"/>
          <w:color w:val="auto"/>
        </w:rPr>
      </w:pPr>
      <w:r>
        <w:rPr>
          <w:rFonts w:ascii="Times New Roman" w:cs="Times New Roman" w:eastAsia="Times New Roman" w:hAnsi="Times New Roman"/>
          <w:sz w:val="18"/>
          <w:szCs w:val="18"/>
          <w:color w:val="auto"/>
        </w:rPr>
        <w:t>The market price of our Class A common stock may fluctuate significantly in response to numerous factors, many of which are beyond our control, including:</w:t>
      </w:r>
    </w:p>
    <w:p>
      <w:pPr>
        <w:spacing w:after="0" w:line="70" w:lineRule="exact"/>
        <w:rPr>
          <w:sz w:val="20"/>
          <w:szCs w:val="20"/>
          <w:color w:val="auto"/>
        </w:rPr>
      </w:pPr>
    </w:p>
    <w:p>
      <w:pPr>
        <w:ind w:left="1140" w:hanging="43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conditions and results of operations;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126" w:lineRule="exact"/>
        <w:rPr>
          <w:rFonts w:ascii="Times New Roman" w:cs="Times New Roman" w:eastAsia="Times New Roman" w:hAnsi="Times New Roman"/>
          <w:sz w:val="18"/>
          <w:szCs w:val="18"/>
          <w:color w:val="auto"/>
        </w:rPr>
      </w:pPr>
    </w:p>
    <w:p>
      <w:pPr>
        <w:ind w:left="1140" w:right="300" w:hanging="432"/>
        <w:spacing w:after="0" w:line="277"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69" w:lineRule="exact"/>
        <w:rPr>
          <w:rFonts w:ascii="Times New Roman" w:cs="Times New Roman" w:eastAsia="Times New Roman" w:hAnsi="Times New Roman"/>
          <w:sz w:val="18"/>
          <w:szCs w:val="18"/>
          <w:color w:val="auto"/>
        </w:rPr>
      </w:pPr>
    </w:p>
    <w:p>
      <w:pPr>
        <w:ind w:left="1140" w:right="100" w:hanging="432"/>
        <w:spacing w:after="0" w:line="277"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results of operations or capital commitments;</w:t>
      </w:r>
    </w:p>
    <w:p>
      <w:pPr>
        <w:spacing w:after="0" w:line="69" w:lineRule="exact"/>
        <w:rPr>
          <w:rFonts w:ascii="Times New Roman" w:cs="Times New Roman" w:eastAsia="Times New Roman" w:hAnsi="Times New Roman"/>
          <w:sz w:val="18"/>
          <w:szCs w:val="18"/>
          <w:color w:val="auto"/>
        </w:rPr>
      </w:pPr>
    </w:p>
    <w:p>
      <w:pPr>
        <w:ind w:left="1140" w:right="320" w:hanging="432"/>
        <w:spacing w:after="0" w:line="277"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stock market valuations and operating performance of other healthcare and technology companies generally, or those in our industry in particular;</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board of directors or management;</w:t>
      </w:r>
    </w:p>
    <w:p>
      <w:pPr>
        <w:spacing w:after="0" w:line="126" w:lineRule="exact"/>
        <w:rPr>
          <w:rFonts w:ascii="Times New Roman" w:cs="Times New Roman" w:eastAsia="Times New Roman" w:hAnsi="Times New Roman"/>
          <w:sz w:val="18"/>
          <w:szCs w:val="18"/>
          <w:color w:val="auto"/>
        </w:rPr>
      </w:pPr>
    </w:p>
    <w:p>
      <w:pPr>
        <w:ind w:left="1140" w:right="100" w:hanging="432"/>
        <w:spacing w:after="0" w:line="277"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Class A common stock, including sales by certain affiliates of Silver Lake, Francisco Partners, Spectrum, Idea Men, LLC, our Co-Founders or our executive officers and directors;</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 actual changes in laws, regulations or government policies applicable to our business;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debt or equity securities;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involving our capital stock;</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the United States;</w:t>
      </w:r>
    </w:p>
    <w:p>
      <w:pPr>
        <w:spacing w:after="0" w:line="126" w:lineRule="exact"/>
        <w:rPr>
          <w:rFonts w:ascii="Times New Roman" w:cs="Times New Roman" w:eastAsia="Times New Roman" w:hAnsi="Times New Roman"/>
          <w:sz w:val="18"/>
          <w:szCs w:val="18"/>
          <w:color w:val="auto"/>
        </w:rPr>
      </w:pPr>
    </w:p>
    <w:p>
      <w:pPr>
        <w:ind w:left="1140" w:right="100" w:hanging="432"/>
        <w:spacing w:after="0" w:line="277"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pandemics (including COVID-19), incidents of terrorism or responses to these events; and</w:t>
      </w:r>
    </w:p>
    <w:p>
      <w:pPr>
        <w:spacing w:after="0" w:line="69" w:lineRule="exact"/>
        <w:rPr>
          <w:rFonts w:ascii="Times New Roman" w:cs="Times New Roman" w:eastAsia="Times New Roman" w:hAnsi="Times New Roman"/>
          <w:sz w:val="18"/>
          <w:szCs w:val="18"/>
          <w:color w:val="auto"/>
        </w:rPr>
      </w:pPr>
    </w:p>
    <w:p>
      <w:pPr>
        <w:ind w:left="1140" w:right="720" w:hanging="432"/>
        <w:spacing w:after="0" w:line="277"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 sections of this prospectus titled “Risk Factors” and “Special Note Regarding Forward-Looking Statements.”</w:t>
      </w:r>
    </w:p>
    <w:p>
      <w:pPr>
        <w:spacing w:after="0" w:line="163" w:lineRule="exact"/>
        <w:rPr>
          <w:sz w:val="20"/>
          <w:szCs w:val="20"/>
          <w:color w:val="auto"/>
        </w:rPr>
      </w:pPr>
    </w:p>
    <w:p>
      <w:pPr>
        <w:ind w:left="180" w:right="40" w:firstLine="436"/>
        <w:spacing w:after="0" w:line="277" w:lineRule="auto"/>
        <w:rPr>
          <w:sz w:val="20"/>
          <w:szCs w:val="20"/>
          <w:color w:val="auto"/>
        </w:rPr>
      </w:pPr>
      <w:r>
        <w:rPr>
          <w:rFonts w:ascii="Times New Roman" w:cs="Times New Roman" w:eastAsia="Times New Roman" w:hAnsi="Times New Roman"/>
          <w:sz w:val="18"/>
          <w:szCs w:val="18"/>
          <w:color w:val="auto"/>
        </w:rPr>
        <w:t>The stock market has recently experienced extreme price and volume fluctuations. The market prices of securities of companies have experienced fluctuations that often have been unrelated or disproportionate to their</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40"/>
          </w:cols>
          <w:pgMar w:left="320" w:top="454" w:right="5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40"/>
        <w:spacing w:after="0" w:line="255" w:lineRule="auto"/>
        <w:rPr>
          <w:sz w:val="20"/>
          <w:szCs w:val="20"/>
          <w:color w:val="auto"/>
        </w:rPr>
      </w:pPr>
      <w:r>
        <w:rPr>
          <w:rFonts w:ascii="Times New Roman" w:cs="Times New Roman" w:eastAsia="Times New Roman" w:hAnsi="Times New Roman"/>
          <w:sz w:val="18"/>
          <w:szCs w:val="18"/>
          <w:color w:val="auto"/>
        </w:rPr>
        <w:t>results of operations. Market fluctuations could result in extreme volatility in the price of shares of our Class A common stock, which could cause a decline in the value of your investment. Price volatility may be greater if the public float and trading volume of shares of our Class A common stock is low. Furthermore,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financial condition and results of operations.</w:t>
      </w:r>
    </w:p>
    <w:p>
      <w:pPr>
        <w:spacing w:after="0" w:line="2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adversely affect the trading market for our Class A common stock.</w:t>
      </w:r>
    </w:p>
    <w:p>
      <w:pPr>
        <w:spacing w:after="0" w:line="118" w:lineRule="exact"/>
        <w:rPr>
          <w:sz w:val="20"/>
          <w:szCs w:val="20"/>
          <w:color w:val="auto"/>
        </w:rPr>
      </w:pPr>
    </w:p>
    <w:p>
      <w:pPr>
        <w:ind w:left="180" w:right="20" w:firstLine="436"/>
        <w:spacing w:after="0" w:line="250"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dual class or multi-class share structures in certain of their indexes. 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of common stock from being added to these indices. Beginning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As a result, our dual class capital structure would make us ineligible for inclusion in any of these indices, and mutual funds, exchange-traded funds and other investment vehicles that attempt to passively track these indices will not be investing in our stock. These policies are still fairly new and it is as of yet unclear what effect, if any, they will have on the valuations of publicly traded companies excluded from the indices, but it is possible that they may depress these valuations compared to those of other similar companies that are included. Furthermore,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290" w:lineRule="exact"/>
        <w:rPr>
          <w:sz w:val="20"/>
          <w:szCs w:val="20"/>
          <w:color w:val="auto"/>
        </w:rPr>
      </w:pPr>
    </w:p>
    <w:p>
      <w:pPr>
        <w:ind w:left="180" w:right="14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parties to our stockholders agreement, who will also hold a significant portion of our Class B common stock, will control the direction of our business and such parties’ ownership of our common stock will prevent you and other stockholders from influencing significant decisions.</w:t>
      </w:r>
    </w:p>
    <w:p>
      <w:pPr>
        <w:spacing w:after="0" w:line="52" w:lineRule="exact"/>
        <w:rPr>
          <w:sz w:val="20"/>
          <w:szCs w:val="20"/>
          <w:color w:val="auto"/>
        </w:rPr>
      </w:pPr>
    </w:p>
    <w:p>
      <w:pPr>
        <w:ind w:left="180" w:firstLine="436"/>
        <w:spacing w:after="0" w:line="250" w:lineRule="auto"/>
        <w:rPr>
          <w:sz w:val="20"/>
          <w:szCs w:val="20"/>
          <w:color w:val="auto"/>
        </w:rPr>
      </w:pPr>
      <w:r>
        <w:rPr>
          <w:rFonts w:ascii="Times New Roman" w:cs="Times New Roman" w:eastAsia="Times New Roman" w:hAnsi="Times New Roman"/>
          <w:sz w:val="18"/>
          <w:szCs w:val="18"/>
          <w:color w:val="auto"/>
        </w:rPr>
        <w:t>Following the completion of this offering and the private placement, and without giving effect to any purchases that may be made through our directed share program or otherwise in this offering, the holders of our Class B common stock, including the parties to our stockholders agreement, who will also hold a significant portion of our Class B common stock, will own approximately 98.9% of the combined voting power of our Class A and Class B common stock (or 98.8% if the underwriters exercise their option to purchase additional shares in full), with each share of Class A common stock entitling the holder to one vote and each share of Class B common stock entitling the holder to 10 votes, until the earlier of, (i) the first date on which the aggregate number of outstanding shares of our Class B common stock ceases to represent at least 10% of the aggregate number of our outstanding shares of common stock and (ii) seven years from the filing and effectiveness of our amended and restated certificate of incorporation in connection with this offering, on all matters submitted to a vote of our stockholders. Moreover, the parties to our stockholders agreement, who will also hold Class A and Class B common stock, will own 91.4% of the combined voting power of our Class A and Class B common stock (or 91.3% if the underwriters exercise their option to purchase additional shares in full). Additionally, we may issue additional shares of Class B common stock in the future, including 24,633,066 shares of Class B common stock issuable in connection with the Founder Awards. In addition, we will agree to nominate to our board of directors individuals designated by Silver Lake, Francisco Partners, Spectrum and Idea Men, LLC in accordance with our stockholders agreement. Silver Lake, Francisco Partners, Spectrum and Idea Men, LLC will each retain the right to designate directors for so long as they beneficially own at least 5% of the aggregate number of shares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80"/>
          </w:cols>
          <w:pgMar w:left="320" w:top="454" w:right="49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80"/>
        <w:spacing w:after="0" w:line="251" w:lineRule="auto"/>
        <w:rPr>
          <w:sz w:val="20"/>
          <w:szCs w:val="20"/>
          <w:color w:val="auto"/>
        </w:rPr>
      </w:pPr>
      <w:r>
        <w:rPr>
          <w:rFonts w:ascii="Times New Roman" w:cs="Times New Roman" w:eastAsia="Times New Roman" w:hAnsi="Times New Roman"/>
          <w:sz w:val="18"/>
          <w:szCs w:val="18"/>
          <w:color w:val="auto"/>
        </w:rPr>
        <w:t>of common stock outstanding immediately following this offering. See “Certain Relationships and Related Person Transactions—Stockholders Agreements.” Even when the parties to our stockholders agreement cease to own shares of our stock representing a majority of the total voting power, for so long as the parties to our stockholders agreement continue to own a significant percentage of our stock, particularly our Class B common stock, they will still be able to significantly influence or effectively control the composition of our board of directors and the approval of actions requiring stockholder approval through their voting power. Accordingly, for such period of time, the parties to our stockholders agreement will have significant influence with respect to our management, business plans and policies. In particular, for so long as the parties to our stockholders agreement continue to own a significant percentage of our stock, particularly our Class B common stock, the parties to our stockholders agreement may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186" w:lineRule="exact"/>
        <w:rPr>
          <w:sz w:val="20"/>
          <w:szCs w:val="20"/>
          <w:color w:val="auto"/>
        </w:rPr>
      </w:pPr>
    </w:p>
    <w:p>
      <w:pPr>
        <w:ind w:left="180" w:firstLine="436"/>
        <w:spacing w:after="0" w:line="271" w:lineRule="auto"/>
        <w:rPr>
          <w:sz w:val="20"/>
          <w:szCs w:val="20"/>
          <w:color w:val="auto"/>
        </w:rPr>
      </w:pPr>
      <w:r>
        <w:rPr>
          <w:rFonts w:ascii="Times New Roman" w:cs="Times New Roman" w:eastAsia="Times New Roman" w:hAnsi="Times New Roman"/>
          <w:sz w:val="17"/>
          <w:szCs w:val="17"/>
          <w:color w:val="auto"/>
        </w:rPr>
        <w:t>Further, our amended and restated certificate of incorporation, which will be in effect immediately prior to the closing of this offering, will provide that the doctrine of “corporate opportunity” will not apply with respect to the parties to our stockholders agreement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See “—Our amended and restated certificate of incorporation will provide that the doctrine of “corporate opportunity” will not apply with respect to certain parties to our stockholders agreement and any director or stockholder who is not employed by us or our subsidiaries.”</w:t>
      </w:r>
    </w:p>
    <w:p>
      <w:pPr>
        <w:spacing w:after="0" w:line="275" w:lineRule="exact"/>
        <w:rPr>
          <w:sz w:val="20"/>
          <w:szCs w:val="20"/>
          <w:color w:val="auto"/>
        </w:rPr>
      </w:pPr>
    </w:p>
    <w:p>
      <w:pPr>
        <w:ind w:left="180" w:right="18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by the parties to our stockholders agreement or other holders of our common stock, or the perception that such sales may occur, could depress the price of our Class A common stock.</w:t>
      </w:r>
    </w:p>
    <w:p>
      <w:pPr>
        <w:spacing w:after="0" w:line="52" w:lineRule="exact"/>
        <w:rPr>
          <w:sz w:val="20"/>
          <w:szCs w:val="20"/>
          <w:color w:val="auto"/>
        </w:rPr>
      </w:pPr>
    </w:p>
    <w:p>
      <w:pPr>
        <w:ind w:left="180" w:right="60" w:firstLine="436"/>
        <w:spacing w:after="0" w:line="267" w:lineRule="auto"/>
        <w:rPr>
          <w:sz w:val="20"/>
          <w:szCs w:val="20"/>
          <w:color w:val="auto"/>
        </w:rPr>
      </w:pPr>
      <w:r>
        <w:rPr>
          <w:rFonts w:ascii="Times New Roman" w:cs="Times New Roman" w:eastAsia="Times New Roman" w:hAnsi="Times New Roman"/>
          <w:sz w:val="17"/>
          <w:szCs w:val="17"/>
          <w:color w:val="auto"/>
        </w:rPr>
        <w:t>Immediately following the completion of this offering and the private placement, the parties to our stockholders agreement will collectively own 84.1% of our outstanding shares of common stock (or 82.9% if the underwriters exercise their option to purchase additional shares in full). Subject to the restrictions described in the paragraph below, future sales of these shares in the public market will be subject to the volume and other restrictions of Rule 144 under the Securities Act of 1933, or the Securities Act, for so long as such parties are deemed to be our affiliates, unless the shares to be sold are registered with the Securities and Exchange Commission, or SEC. These stockholders are entitled to rights with respect to the registration of their shares following this offering. For a description of these registration rights, see the section titled “Description of Capital Stock—Registration Rights.” We are unable to predict with certainty whether or when such parties will sell a substantial number of shares of our Class A common stock. The sale by the parties to our stockholders agreement of a substantial number of shares after this offering, or a perception that such sales could occur, could significantly reduce the market price of our Class A common stock. Upon completion of this offering, except as otherwise described herein, all shares of our Class A common stock that are being offered hereby will be freely tradable without restriction, assuming they are not held by our affiliates.</w:t>
      </w:r>
    </w:p>
    <w:p>
      <w:pPr>
        <w:spacing w:after="0" w:line="176" w:lineRule="exact"/>
        <w:rPr>
          <w:sz w:val="20"/>
          <w:szCs w:val="20"/>
          <w:color w:val="auto"/>
        </w:rPr>
      </w:pPr>
    </w:p>
    <w:p>
      <w:pPr>
        <w:ind w:left="180" w:right="80" w:firstLine="436"/>
        <w:spacing w:after="0" w:line="252" w:lineRule="auto"/>
        <w:rPr>
          <w:sz w:val="20"/>
          <w:szCs w:val="20"/>
          <w:color w:val="auto"/>
        </w:rPr>
      </w:pPr>
      <w:r>
        <w:rPr>
          <w:rFonts w:ascii="Times New Roman" w:cs="Times New Roman" w:eastAsia="Times New Roman" w:hAnsi="Times New Roman"/>
          <w:sz w:val="18"/>
          <w:szCs w:val="18"/>
          <w:color w:val="auto"/>
        </w:rPr>
        <w:t>We and all directors, officers and the holders of substantially all of our outstanding common stock and stock options have agreed that, without the prior written consent of at least three of the representatives on behalf of the underwriters, we and they will not, and will not publicly disclose an intention to, during the period ending 180 days after the date of this prospectus, or the restricted period, (i)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(ii) file any registration statement with the Securities and Exchange Commission relating to the offering of any shares of common stock or any securities convertible into or exercisable or exchangeable for common stock or (iii) enter into any swap or</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80"/>
          </w:cols>
          <w:pgMar w:left="320" w:top="454" w:right="49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20"/>
        <w:spacing w:after="0" w:line="249" w:lineRule="auto"/>
        <w:rPr>
          <w:sz w:val="20"/>
          <w:szCs w:val="20"/>
          <w:color w:val="auto"/>
        </w:rPr>
      </w:pPr>
      <w:r>
        <w:rPr>
          <w:rFonts w:ascii="Times New Roman" w:cs="Times New Roman" w:eastAsia="Times New Roman" w:hAnsi="Times New Roman"/>
          <w:sz w:val="18"/>
          <w:szCs w:val="18"/>
          <w:color w:val="auto"/>
        </w:rPr>
        <w:t>other arrangement that transfers to another, in whole or in part, any of the economic consequences of ownership of the common stock; provided, however, that with respect to each of our non-executive employees that have agreed to the lock-up restrictions described above, if (a)(1) we have filed our first quarterly report on Form 10-Q, or the first filing date, and (2) the last reported closing price of the Class A common stock on the NASDAQ Global Select Market is at least 33% greater than the initial public offering price per share set forth on the cover page of this prospectus, or the IPO price, for 10 out of the 15 consecutive trading days ending on the first filing date, then 20% of the lock-up party’s shares of common stock that are subject to the restricted period will be automatically released from such restrictions immediately prior to the opening of trading on the NASDAQ Global Select Market on the second trading day following the first filing date, which percentage shall be calculated based on the number of shares of common stock subject to the restricted period that are held by such lock-up party as of the first filing date; and/or (b)(1) we have filed our second quarterly report on Form 10-Q or our first annual report on Form 10-K, or the second filing date, and (2) the last reported closing price is at least 33% greater than the IPO price for 10 out of the 15 consecutive trading days ending on the second filing date, then 30% of the lock-up party’s shares of common stock that are subject to the restricted period will be automatically released from such restrictions immediately prior to the opening of trading on the NASDAQ Global Select Market on the second trading day following the second filing date, which percentage shall be calculated based on the number of shares of common stock subject to the restricted period that are held by such lock-up party as of the second filing date. For the avoidance of doubt, the automatic releases described above shall not apply to Douglas Hirsch, Trevor Bezdek, Kastern Voermann, Andrew Slutsky, Babak Azad or Bansi Nagji. In the aggregate, our non-executive employees held 6,396,248 shares of our Class B common stock as of June 30, 2020.</w:t>
      </w:r>
    </w:p>
    <w:p>
      <w:pPr>
        <w:spacing w:after="0" w:line="199" w:lineRule="exact"/>
        <w:rPr>
          <w:sz w:val="20"/>
          <w:szCs w:val="20"/>
          <w:color w:val="auto"/>
        </w:rPr>
      </w:pPr>
    </w:p>
    <w:p>
      <w:pPr>
        <w:ind w:left="180" w:firstLine="436"/>
        <w:spacing w:after="0" w:line="257" w:lineRule="auto"/>
        <w:rPr>
          <w:sz w:val="20"/>
          <w:szCs w:val="20"/>
          <w:color w:val="auto"/>
        </w:rPr>
      </w:pPr>
      <w:r>
        <w:rPr>
          <w:rFonts w:ascii="Times New Roman" w:cs="Times New Roman" w:eastAsia="Times New Roman" w:hAnsi="Times New Roman"/>
          <w:sz w:val="18"/>
          <w:szCs w:val="18"/>
          <w:color w:val="auto"/>
        </w:rPr>
        <w:t>Immediately following this offering, we intend to file a registration statement on Form S-8 registering under the Securities Act the shares of our Class A common stock reserved for issuance under our incentive plan. If equity securities granted under our incentive plan are sold or it is perceived that they will be sold in the public market, the trading price of our Class A common stock could decline substantially. These sales also could impede our ability to raise future capital.</w:t>
      </w:r>
    </w:p>
    <w:p>
      <w:pPr>
        <w:spacing w:after="0" w:line="178" w:lineRule="exact"/>
        <w:rPr>
          <w:sz w:val="20"/>
          <w:szCs w:val="20"/>
          <w:color w:val="auto"/>
        </w:rPr>
      </w:pPr>
    </w:p>
    <w:p>
      <w:pPr>
        <w:ind w:left="180" w:right="360" w:firstLine="43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anticipate incurring substantial stock-based compensation expense and incurring substantial obligations related to the vesting and settlement of RSUs granted in connection with the completion of this offering, which may have an adverse effect on our financial condition and results of operations and may result in substantial dilution.</w:t>
      </w:r>
    </w:p>
    <w:p>
      <w:pPr>
        <w:spacing w:after="0" w:line="66" w:lineRule="exact"/>
        <w:rPr>
          <w:sz w:val="20"/>
          <w:szCs w:val="20"/>
          <w:color w:val="auto"/>
        </w:rPr>
      </w:pPr>
    </w:p>
    <w:p>
      <w:pPr>
        <w:jc w:val="both"/>
        <w:ind w:left="180" w:right="40" w:firstLine="436"/>
        <w:spacing w:after="0" w:line="270" w:lineRule="auto"/>
        <w:rPr>
          <w:sz w:val="20"/>
          <w:szCs w:val="20"/>
          <w:color w:val="auto"/>
        </w:rPr>
      </w:pPr>
      <w:r>
        <w:rPr>
          <w:rFonts w:ascii="Times New Roman" w:cs="Times New Roman" w:eastAsia="Times New Roman" w:hAnsi="Times New Roman"/>
          <w:sz w:val="17"/>
          <w:szCs w:val="17"/>
          <w:color w:val="auto"/>
        </w:rPr>
        <w:t>In light of the 24,633,066 RSUs subject to the Founders Awards that have been granted in connection with this offering, we anticipate that we will incur substantial stock-based compensation expenses and expend substantial funds to satisfy tax withholding and remittance obligations related to these RSUs. The Founders Awards that will be effective upon the completion of this offering. Each of our Co-Founders received RSUs consisting of (i)</w:t>
      </w:r>
    </w:p>
    <w:p>
      <w:pPr>
        <w:ind w:left="180" w:right="60"/>
        <w:spacing w:after="0" w:line="248" w:lineRule="auto"/>
        <w:rPr>
          <w:sz w:val="20"/>
          <w:szCs w:val="20"/>
          <w:color w:val="auto"/>
        </w:rPr>
      </w:pPr>
      <w:r>
        <w:rPr>
          <w:rFonts w:ascii="Times New Roman" w:cs="Times New Roman" w:eastAsia="Times New Roman" w:hAnsi="Times New Roman"/>
          <w:sz w:val="18"/>
          <w:szCs w:val="18"/>
          <w:color w:val="auto"/>
        </w:rPr>
        <w:t>8,211,022 RSUs that vest based on the achievement of performance goals, which we refer to as the Performance-Vesting Founders Awards and (ii) 4,105,511 RSUs that vest based on the passage of time, which we refer to as the Time-Vesting Founders Awards. The vesting of these awards is subject to the respective Co-Founder’s continued employment through the vesting date. The Performance-Vesting Founders Awards will remain eligible to vest over a seven-year period following the grant date, based on the achievement of stock price goals ranging from $6.07 per share to $51.28 per share. With respect to each stock price goal, 0.5% of the RSUs subject to the Performance-Vesting Founders Award will vest if the average of the closing prices per share of our Class A common stock equals or exceeds such goal for any 20 consecutive trading day period. Any vested RSUs subject to the Performance-Vesting Founders Award will be settled in shares of Class B common stock on the third anniversary of the applicable vesting date or, if earlier, upon a qualifying change in control event. Any RSUs subject to the Performance-Vesting Founders Award that do not vest prior to the seven-year anniversary of the grant date automatically will be terminated without consideration. The Performance-Vesting Founders Awards are subject to certain vesting acceleration terms. The Time-Vesting Founders Awards will vest in substantially equal quarterly installments over a four-year period beginning September 1, 2020, subject to the continued employment of the respective Co-Founder. The Time-Vesting Founders Awards are subject to certain</w:t>
      </w:r>
    </w:p>
    <w:p>
      <w:pPr>
        <w:spacing w:after="0" w:line="1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60"/>
          </w:cols>
          <w:pgMar w:left="320" w:top="454" w:right="51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40"/>
        <w:spacing w:after="0" w:line="253" w:lineRule="auto"/>
        <w:rPr>
          <w:sz w:val="20"/>
          <w:szCs w:val="20"/>
          <w:color w:val="auto"/>
        </w:rPr>
      </w:pPr>
      <w:r>
        <w:rPr>
          <w:rFonts w:ascii="Times New Roman" w:cs="Times New Roman" w:eastAsia="Times New Roman" w:hAnsi="Times New Roman"/>
          <w:sz w:val="18"/>
          <w:szCs w:val="18"/>
          <w:color w:val="auto"/>
        </w:rPr>
        <w:t>vesting acceleration terms. For additional information regarding the Founders Awards, please see the section titled “Executive and Director Compensation.” We will record substantial stock-compensation expense for the Performance-Vesting Founders Awards and the Time-Vesting Founders Awards. The grant date fair value of the Performance-Vesting Founders Awards and the Time-Vesting Founders Awards is estimated to be $533.3 million, which we estimate will be recognized as compensation expense over a weighted average period of 1.2 years, though could be earlier if the stock price goals are achieved earlier than we estimated. We expect the stock-based compensation expense relating to these awards to adversely impact our future financial results.</w:t>
      </w:r>
    </w:p>
    <w:p>
      <w:pPr>
        <w:spacing w:after="0" w:line="187" w:lineRule="exact"/>
        <w:rPr>
          <w:sz w:val="20"/>
          <w:szCs w:val="20"/>
          <w:color w:val="auto"/>
        </w:rPr>
      </w:pPr>
    </w:p>
    <w:p>
      <w:pPr>
        <w:ind w:left="180" w:right="60" w:firstLine="436"/>
        <w:spacing w:after="0" w:line="273" w:lineRule="auto"/>
        <w:rPr>
          <w:sz w:val="20"/>
          <w:szCs w:val="20"/>
          <w:color w:val="auto"/>
        </w:rPr>
      </w:pPr>
      <w:r>
        <w:rPr>
          <w:rFonts w:ascii="Times New Roman" w:cs="Times New Roman" w:eastAsia="Times New Roman" w:hAnsi="Times New Roman"/>
          <w:sz w:val="17"/>
          <w:szCs w:val="17"/>
          <w:color w:val="auto"/>
        </w:rPr>
        <w:t>As a result of the Founders Awards, and the Performance-Vesting Founders Awards in particular, a potentially large number of shares of Class B common stock will be issuable if the applicable vesting conditions are satisfied. On the settlement dates for these Founders Awards, we plan to withhold shares and remit taxes on behalf of the holders of such Founders Awards at applicable statutory rates, which we refer to as net settlement, which may result in substantial tax withholding obligations. The amount of tax withholding obligations will depend on the price of our Class A common stock, the actual number of RSUs for which the vesting conditions are satisfied over time and the applicable tax withholding rates then in effect.</w:t>
      </w:r>
    </w:p>
    <w:p>
      <w:pPr>
        <w:spacing w:after="0" w:line="171" w:lineRule="exact"/>
        <w:rPr>
          <w:sz w:val="20"/>
          <w:szCs w:val="20"/>
          <w:color w:val="auto"/>
        </w:rPr>
      </w:pPr>
    </w:p>
    <w:p>
      <w:pPr>
        <w:ind w:left="180" w:firstLine="436"/>
        <w:spacing w:after="0" w:line="266" w:lineRule="auto"/>
        <w:rPr>
          <w:sz w:val="20"/>
          <w:szCs w:val="20"/>
          <w:color w:val="auto"/>
        </w:rPr>
      </w:pPr>
      <w:r>
        <w:rPr>
          <w:rFonts w:ascii="Times New Roman" w:cs="Times New Roman" w:eastAsia="Times New Roman" w:hAnsi="Times New Roman"/>
          <w:sz w:val="17"/>
          <w:szCs w:val="17"/>
          <w:color w:val="auto"/>
        </w:rPr>
        <w:t>For example, of the 16.4 million Performance-Vesting Founders Awards, 7.1 million would vest 20 trading days after the completion of this offering, assuming the average closing price per share of our Class A common stock for the 20 consecutive trading day period following the completion of offering is equal to the initial public offering price of $26.00, which is the midpoint of the estimated offering price range set forth on the cover page of this prospectus. Further, assuming an approximate 50% income tax withholding rate and a price of $26.00 per share at vesting and settlement, for the 7.1 million shares that would vest as described in the preceding sentence we estimate that our cash obligation on behalf of our Co-Founders to the relevant tax authorities to satisfy tax withholding obligations would be approximately $91.0 million, and we would deliver an aggregate of approximately 3.6 million shares of our Class B common stock to net settle these awards, after withholding an aggregate of approximately 3.5 million shares of our Class B common stock. Cash payments for income tax withholdings are due upon the settlement date of the RSUs which is the third anniversary of the applicable vesting date or, if earlier, upon a qualifying change in control event. To the extent that average stock price exceeds the initial public offering price of $26.00, which is the midpoint of the estimated offering price range set forth on the cover page of this prospectus, additional RSUs may vest and the amount of shares issuable and the related tax obligations for the net settlement of the awards would increase.</w:t>
      </w:r>
    </w:p>
    <w:p>
      <w:pPr>
        <w:spacing w:after="0" w:line="182" w:lineRule="exact"/>
        <w:rPr>
          <w:sz w:val="20"/>
          <w:szCs w:val="20"/>
          <w:color w:val="auto"/>
        </w:rPr>
      </w:pPr>
    </w:p>
    <w:p>
      <w:pPr>
        <w:jc w:val="both"/>
        <w:ind w:left="180" w:right="140" w:firstLine="436"/>
        <w:spacing w:after="0" w:line="262" w:lineRule="auto"/>
        <w:rPr>
          <w:sz w:val="20"/>
          <w:szCs w:val="20"/>
          <w:color w:val="auto"/>
        </w:rPr>
      </w:pPr>
      <w:r>
        <w:rPr>
          <w:rFonts w:ascii="Times New Roman" w:cs="Times New Roman" w:eastAsia="Times New Roman" w:hAnsi="Times New Roman"/>
          <w:sz w:val="18"/>
          <w:szCs w:val="18"/>
          <w:color w:val="auto"/>
        </w:rPr>
        <w:t>The actual amount of these tax obligations and the number of shares to be issued could be higher or lower, depending on the price of our Class A common stock upon settlement, the actual number of RSUs for which the vesting conditions are satisfied, and the applicable tax withholding rates then in effect.</w:t>
      </w:r>
    </w:p>
    <w:p>
      <w:pPr>
        <w:spacing w:after="0" w:line="280" w:lineRule="exact"/>
        <w:rPr>
          <w:sz w:val="20"/>
          <w:szCs w:val="20"/>
          <w:color w:val="auto"/>
        </w:rPr>
      </w:pPr>
    </w:p>
    <w:p>
      <w:pPr>
        <w:jc w:val="both"/>
        <w:ind w:left="180" w:right="260" w:firstLine="43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will be a “controlled company” under the corporate governance rules of The Nasdaq Stock Market and, as a result, will qualify for, and intend to rely on, exemptions from certain corporate governance requirements. You will not have the same protections afforded to stockholders of companies that are subject to such requirements.</w:t>
      </w:r>
    </w:p>
    <w:p>
      <w:pPr>
        <w:spacing w:after="0" w:line="66" w:lineRule="exact"/>
        <w:rPr>
          <w:sz w:val="20"/>
          <w:szCs w:val="20"/>
          <w:color w:val="auto"/>
        </w:rPr>
      </w:pPr>
    </w:p>
    <w:p>
      <w:pPr>
        <w:ind w:left="180" w:right="60" w:firstLine="436"/>
        <w:spacing w:after="0" w:line="252" w:lineRule="auto"/>
        <w:rPr>
          <w:sz w:val="20"/>
          <w:szCs w:val="20"/>
          <w:color w:val="auto"/>
        </w:rPr>
      </w:pPr>
      <w:r>
        <w:rPr>
          <w:rFonts w:ascii="Times New Roman" w:cs="Times New Roman" w:eastAsia="Times New Roman" w:hAnsi="Times New Roman"/>
          <w:sz w:val="18"/>
          <w:szCs w:val="18"/>
          <w:color w:val="auto"/>
        </w:rPr>
        <w:t>Upon completion of this offering and the private placement, certain affiliates of Silver Lake, Francisco Partners, Spectrum and Idea Men, LLC will own approximately 91.4% of the combined voting power of our Class A and Class B common stock (or 91.3% if the underwriters exercise their option to purchase additional shares in full) and will be parties, among others, to a stockholders agreement described in “Certain Relationships and Related Person Transactions—Stockholders Agreements.” As a result, we will be a “controlled company” within the meaning of the corporate governance standards of The Nasdaq Stock Market rules. Under these rules, a listed company of which more than 50% of the voting power is held by an individual, group or another company is a “controlled company” and may elect not to comply with certain corporate governance requirements, including:</w:t>
      </w:r>
    </w:p>
    <w:p>
      <w:pPr>
        <w:spacing w:after="0" w:line="95" w:lineRule="exact"/>
        <w:rPr>
          <w:sz w:val="20"/>
          <w:szCs w:val="20"/>
          <w:color w:val="auto"/>
        </w:rPr>
      </w:pPr>
    </w:p>
    <w:p>
      <w:pPr>
        <w:ind w:left="1140" w:hanging="43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its board of directors consist of independent directors;</w:t>
      </w:r>
    </w:p>
    <w:p>
      <w:pPr>
        <w:spacing w:after="0" w:line="153"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w:t>
      </w:r>
    </w:p>
    <w:p>
      <w:pPr>
        <w:sectPr>
          <w:pgSz w:w="11900" w:h="16838" w:orient="portrait"/>
          <w:cols w:equalWidth="0" w:num="1">
            <w:col w:w="11080"/>
          </w:cols>
          <w:pgMar w:left="320" w:top="454" w:right="49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140" w:hanging="432"/>
        <w:spacing w:after="0" w:line="26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its director nominations be made, or recommended to the full board of directors, by its independent directors or by a nominations committee that is comprised entirely of independent directors and that it adopt a written charter or board resolution addressing the nominations process; and</w:t>
      </w:r>
    </w:p>
    <w:p>
      <w:pPr>
        <w:spacing w:after="0" w:line="83" w:lineRule="exact"/>
        <w:rPr>
          <w:rFonts w:ascii="Times New Roman" w:cs="Times New Roman" w:eastAsia="Times New Roman" w:hAnsi="Times New Roman"/>
          <w:sz w:val="18"/>
          <w:szCs w:val="18"/>
          <w:color w:val="auto"/>
        </w:rPr>
      </w:pPr>
    </w:p>
    <w:p>
      <w:pPr>
        <w:ind w:left="1140" w:right="20" w:hanging="432"/>
        <w:spacing w:after="0" w:line="277"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it have a compensation committee that is composed entirely of independent directors with a written charter addressing the committee’s purpose and responsibilities.</w:t>
      </w:r>
    </w:p>
    <w:p>
      <w:pPr>
        <w:spacing w:after="0" w:line="163" w:lineRule="exact"/>
        <w:rPr>
          <w:sz w:val="20"/>
          <w:szCs w:val="20"/>
          <w:color w:val="auto"/>
        </w:rPr>
      </w:pPr>
    </w:p>
    <w:p>
      <w:pPr>
        <w:ind w:left="180" w:firstLine="436"/>
        <w:spacing w:after="0" w:line="255" w:lineRule="auto"/>
        <w:rPr>
          <w:sz w:val="20"/>
          <w:szCs w:val="20"/>
          <w:color w:val="auto"/>
        </w:rPr>
      </w:pPr>
      <w:r>
        <w:rPr>
          <w:rFonts w:ascii="Times New Roman" w:cs="Times New Roman" w:eastAsia="Times New Roman" w:hAnsi="Times New Roman"/>
          <w:sz w:val="18"/>
          <w:szCs w:val="18"/>
          <w:color w:val="auto"/>
        </w:rPr>
        <w:t>Following this offering, we do not intend to rely on all of these exemptions. However, as long as we remain a “controlled company,” we may elect in the future to take advantage of any of these exemptions. As a result of any such election, our board of directors would not have a majority of independent directors, our compensation committee would not consist entirely of independent directors and our directors would not be nominated or selected by independent directors. Accordingly, you will not have the same protections afforded to stockholders of companies that are subject to all of the corporate governance requirements of The Nasdaq Stock Market rules.</w:t>
      </w:r>
    </w:p>
    <w:p>
      <w:pPr>
        <w:spacing w:after="0" w:line="286" w:lineRule="exact"/>
        <w:rPr>
          <w:sz w:val="20"/>
          <w:szCs w:val="20"/>
          <w:color w:val="auto"/>
        </w:rPr>
      </w:pPr>
    </w:p>
    <w:p>
      <w:pPr>
        <w:ind w:left="180" w:right="24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they publish negative reports about our business, our share price and trading volume could decline.</w:t>
      </w:r>
    </w:p>
    <w:p>
      <w:pPr>
        <w:spacing w:after="0" w:line="52" w:lineRule="exact"/>
        <w:rPr>
          <w:sz w:val="20"/>
          <w:szCs w:val="20"/>
          <w:color w:val="auto"/>
        </w:rPr>
      </w:pPr>
    </w:p>
    <w:p>
      <w:pPr>
        <w:ind w:left="180" w:firstLine="436"/>
        <w:spacing w:after="0" w:line="255" w:lineRule="auto"/>
        <w:rPr>
          <w:sz w:val="20"/>
          <w:szCs w:val="20"/>
          <w:color w:val="auto"/>
        </w:rPr>
      </w:pPr>
      <w:r>
        <w:rPr>
          <w:rFonts w:ascii="Times New Roman" w:cs="Times New Roman" w:eastAsia="Times New Roman" w:hAnsi="Times New Roman"/>
          <w:sz w:val="18"/>
          <w:szCs w:val="18"/>
          <w:color w:val="auto"/>
        </w:rPr>
        <w:t>The trading market for our Class A common stock will depend in part on the research and reports that securities or industry analysts publish about us or our business, our market and our competitors. We do not have any control over these analysts. If one or more of the analysts who cover us downgrade our shares or publish negative views on us or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286" w:lineRule="exact"/>
        <w:rPr>
          <w:sz w:val="20"/>
          <w:szCs w:val="20"/>
          <w:color w:val="auto"/>
        </w:rPr>
      </w:pPr>
    </w:p>
    <w:p>
      <w:pPr>
        <w:ind w:left="180" w:right="8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compliance with the reduced reporting and disclosure requirements applicable to “emerging growth companies” may make our Class A common stock less attractive to investors.</w:t>
      </w:r>
    </w:p>
    <w:p>
      <w:pPr>
        <w:spacing w:after="0" w:line="52" w:lineRule="exact"/>
        <w:rPr>
          <w:sz w:val="20"/>
          <w:szCs w:val="20"/>
          <w:color w:val="auto"/>
        </w:rPr>
      </w:pPr>
    </w:p>
    <w:p>
      <w:pPr>
        <w:ind w:left="180" w:right="80" w:firstLine="436"/>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have elected to take advantage of certain exemptions and relief from various reporting requirements that are applicable to other public companies that are not “emerging growth companies.” These provisions include, but are not limited to: being permitted to have only two years of audited financial statements and only two years of related selected financial data and management’s discussion and analysis of financial condition and results of operations disclosures; being exempt from compliance with the auditor attestation requirements of Section 404(b) of the Sarbanes-Oxley Act; being exempt from any rules that could be adopted by the Public Company Accounting Oversight Board requiring mandatory audit firm rotations or a supplement to the auditor’s report on financial statements; being subject to reduced disclosure obligations regarding executive compensation in our periodic reports and proxy statements; and not being required to hold nonbinding advisory votes on executive compensation or on any golden parachute payments not previously approved.</w:t>
      </w:r>
    </w:p>
    <w:p>
      <w:pPr>
        <w:spacing w:after="0" w:line="185" w:lineRule="exact"/>
        <w:rPr>
          <w:sz w:val="20"/>
          <w:szCs w:val="20"/>
          <w:color w:val="auto"/>
        </w:rPr>
      </w:pPr>
    </w:p>
    <w:p>
      <w:pPr>
        <w:ind w:left="180" w:right="320" w:firstLine="436"/>
        <w:spacing w:after="0" w:line="262" w:lineRule="auto"/>
        <w:rPr>
          <w:sz w:val="20"/>
          <w:szCs w:val="20"/>
          <w:color w:val="auto"/>
        </w:rPr>
      </w:pPr>
      <w:r>
        <w:rPr>
          <w:rFonts w:ascii="Times New Roman" w:cs="Times New Roman" w:eastAsia="Times New Roman" w:hAnsi="Times New Roman"/>
          <w:sz w:val="18"/>
          <w:szCs w:val="18"/>
          <w:color w:val="auto"/>
        </w:rPr>
        <w:t>In addition, while we are an “emerging growth company,” we will not be required to comply with any new financial accounting standard until such standard is generally applicable to private companies. As a result, our financial statements may not be comparable to companies that are not “emerging growth companies” or elect not to avail themselves of this provision.</w:t>
      </w:r>
    </w:p>
    <w:p>
      <w:pPr>
        <w:spacing w:after="0" w:line="177" w:lineRule="exact"/>
        <w:rPr>
          <w:sz w:val="20"/>
          <w:szCs w:val="20"/>
          <w:color w:val="auto"/>
        </w:rPr>
      </w:pPr>
    </w:p>
    <w:p>
      <w:pPr>
        <w:ind w:left="180" w:right="220" w:firstLine="436"/>
        <w:spacing w:after="0" w:line="274" w:lineRule="auto"/>
        <w:rPr>
          <w:sz w:val="20"/>
          <w:szCs w:val="20"/>
          <w:color w:val="auto"/>
        </w:rPr>
      </w:pPr>
      <w:r>
        <w:rPr>
          <w:rFonts w:ascii="Times New Roman" w:cs="Times New Roman" w:eastAsia="Times New Roman" w:hAnsi="Times New Roman"/>
          <w:sz w:val="17"/>
          <w:szCs w:val="17"/>
          <w:color w:val="auto"/>
        </w:rPr>
        <w:t>We may remain an “emerging growth company” until as late as December 31, 2025, the fiscal year-end following the fifth anniversary of the completion of this initial public offering, though we may cease to be an “emerging growth company” earlier under certain circumstances, including if</w:t>
      </w:r>
    </w:p>
    <w:p>
      <w:pPr>
        <w:ind w:left="180" w:hanging="6"/>
        <w:spacing w:after="0" w:line="251" w:lineRule="auto"/>
        <w:tabs>
          <w:tab w:leader="none" w:pos="39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more than $1.07 billion in annual revenue in any fiscal year, (ii) we become a “large accelerated filer,” with at least $700 million of equity securities held by non-affiliates as of the end of the second quarter of that fiscal year or (iii) we issue more than $1.0 billion of non-convertible debt over a three-year period.</w:t>
      </w:r>
    </w:p>
    <w:p>
      <w:pPr>
        <w:spacing w:after="0" w:line="119"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w:t>
      </w:r>
    </w:p>
    <w:p>
      <w:pPr>
        <w:sectPr>
          <w:pgSz w:w="11900" w:h="16838" w:orient="portrait"/>
          <w:cols w:equalWidth="0" w:num="1">
            <w:col w:w="11040"/>
          </w:cols>
          <w:pgMar w:left="320" w:top="454" w:right="5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firstLine="436"/>
        <w:spacing w:after="0" w:line="257" w:lineRule="auto"/>
        <w:rPr>
          <w:sz w:val="20"/>
          <w:szCs w:val="20"/>
          <w:color w:val="auto"/>
        </w:rPr>
      </w:pPr>
      <w:r>
        <w:rPr>
          <w:rFonts w:ascii="Times New Roman" w:cs="Times New Roman" w:eastAsia="Times New Roman" w:hAnsi="Times New Roman"/>
          <w:sz w:val="18"/>
          <w:szCs w:val="18"/>
          <w:color w:val="auto"/>
        </w:rPr>
        <w:t>The exact implications of the JOBS Act are still subject to interpretations and guidance by the SEC and other regulatory agencies, and we cannot assure you that we will be able to take advantage of all of the benefits of the JOBS Act. In addition, investors may find our Class A common stock less attractive to the extent we rely on the exemptions and relief granted by the JOBS Act. If some investors find our Class A common stock less attractive as a result, there may be a less active trading market for our Class A common stock and our stock price may decline or become more volatile.</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Purchasers in this offering will experience immediate and substantial dilution in the book value of their investment.</w:t>
      </w:r>
    </w:p>
    <w:p>
      <w:pPr>
        <w:spacing w:after="0" w:line="118" w:lineRule="exact"/>
        <w:rPr>
          <w:sz w:val="20"/>
          <w:szCs w:val="20"/>
          <w:color w:val="auto"/>
        </w:rPr>
      </w:pPr>
    </w:p>
    <w:p>
      <w:pPr>
        <w:ind w:left="180" w:right="20" w:firstLine="436"/>
        <w:spacing w:after="0" w:line="251" w:lineRule="auto"/>
        <w:rPr>
          <w:sz w:val="20"/>
          <w:szCs w:val="20"/>
          <w:color w:val="auto"/>
        </w:rPr>
      </w:pPr>
      <w:r>
        <w:rPr>
          <w:rFonts w:ascii="Times New Roman" w:cs="Times New Roman" w:eastAsia="Times New Roman" w:hAnsi="Times New Roman"/>
          <w:sz w:val="18"/>
          <w:szCs w:val="18"/>
          <w:color w:val="auto"/>
        </w:rPr>
        <w:t>The assumed initial public offering price of our Class A common stock of $26.00 per share, the midpoint of the price range on the cover page of this prospectus, is substantially higher than the pro forma as adjusted net tangible book value per share of our outstanding Class A common stock immediately after this offering. Therefore, if you purchase our Class A common stock in this offering, you will incur immediate dilution of $25.66 in the pro forma as adjusted net tangible book value per share from the price you paid assuming that stock price. In addition, following this offering, purchasers who bought shares from us in the offering will have contributed 36.2% of the total consideration paid to us by our stockholders to purchase 23,422,727 shares of Class A common stock to be sold by us in this offering, in exchange for acquiring approximately 6.1% of our total outstanding shares as of June 30, 2020 after giving effect to this offering and the private placement. If the underwriters exercise their option to purchase additional shares, if we issue any additional stock options or warrants or any outstanding stock options are exercised, if RSUs are settled, or if we issue any other securities or convertible debt in the future, investors will experience further dilution.</w:t>
      </w:r>
    </w:p>
    <w:p>
      <w:pPr>
        <w:spacing w:after="0" w:line="292" w:lineRule="exact"/>
        <w:rPr>
          <w:sz w:val="20"/>
          <w:szCs w:val="20"/>
          <w:color w:val="auto"/>
        </w:rPr>
      </w:pPr>
    </w:p>
    <w:p>
      <w:pPr>
        <w:ind w:left="180" w:right="38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to determine how to use the funds we receive from this offering and the private placement, and may use them in ways that may not enhance our results of operations or the price of our Class A common stock.</w:t>
      </w:r>
    </w:p>
    <w:p>
      <w:pPr>
        <w:spacing w:after="0" w:line="52" w:lineRule="exact"/>
        <w:rPr>
          <w:sz w:val="20"/>
          <w:szCs w:val="20"/>
          <w:color w:val="auto"/>
        </w:rPr>
      </w:pPr>
    </w:p>
    <w:p>
      <w:pPr>
        <w:ind w:left="180" w:firstLine="436"/>
        <w:spacing w:after="0" w:line="251" w:lineRule="auto"/>
        <w:rPr>
          <w:sz w:val="20"/>
          <w:szCs w:val="20"/>
          <w:color w:val="auto"/>
        </w:rPr>
      </w:pPr>
      <w:r>
        <w:rPr>
          <w:rFonts w:ascii="Times New Roman" w:cs="Times New Roman" w:eastAsia="Times New Roman" w:hAnsi="Times New Roman"/>
          <w:sz w:val="18"/>
          <w:szCs w:val="18"/>
          <w:color w:val="auto"/>
        </w:rPr>
        <w:t>We have broad discretion over the use of proceeds we receive from this offering and the private placement, and we could spend the proceeds we receive from this offering in ways our stockholders may not agree with or that do not yield a favorable return, or no return at all. We currently expect to use the net proceeds for general corporate purposes to support the growth of our business. We may use a portion of the proceeds for the acquisition of, or investment in, technologies, solutions, or businesses that complement our business, however, we do not have binding agreements or commitments for any acquisitions or investments outside the ordinary course of business at this time. The use of the net proceeds from this offering and the private placement may differ substantially from our current plans. If we do not invest or apply the proceeds we receive from this offering in ways that improve our results of operations, we may fail to achieve expected financial results or be required to raise additional capital, which could cause our stock price to decline. The private placement is subject to certain terms and conditions and there can be no assurance that the private placement will close as anticipated or at all. In addition pending their use, the proceeds of this offering and the private placement may be placed in investments that do not produce income or that may lose value.</w:t>
      </w:r>
    </w:p>
    <w:p>
      <w:pPr>
        <w:spacing w:after="0" w:line="289" w:lineRule="exact"/>
        <w:rPr>
          <w:sz w:val="20"/>
          <w:szCs w:val="20"/>
          <w:color w:val="auto"/>
        </w:rPr>
      </w:pPr>
    </w:p>
    <w:p>
      <w:pPr>
        <w:ind w:left="180" w:right="20" w:firstLine="43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amended and restated bylaws could make a merger, tender offer or proxy contest more difficult, limit attempts by our stockholders to replace or remove our current management and limit the market price of our Class A common stock.</w:t>
      </w:r>
    </w:p>
    <w:p>
      <w:pPr>
        <w:spacing w:after="0" w:line="66" w:lineRule="exact"/>
        <w:rPr>
          <w:sz w:val="20"/>
          <w:szCs w:val="20"/>
          <w:color w:val="auto"/>
        </w:rPr>
      </w:pPr>
    </w:p>
    <w:p>
      <w:pPr>
        <w:ind w:left="180" w:right="360" w:firstLine="436"/>
        <w:spacing w:after="0" w:line="277" w:lineRule="auto"/>
        <w:rPr>
          <w:sz w:val="20"/>
          <w:szCs w:val="20"/>
          <w:color w:val="auto"/>
        </w:rPr>
      </w:pPr>
      <w:r>
        <w:rPr>
          <w:rFonts w:ascii="Times New Roman" w:cs="Times New Roman" w:eastAsia="Times New Roman" w:hAnsi="Times New Roman"/>
          <w:sz w:val="18"/>
          <w:szCs w:val="18"/>
          <w:color w:val="auto"/>
        </w:rPr>
        <w:t>Certain provisions in our amended and restated certificate of incorporation and amended and restated bylaws will contain provisions that may make the acquisition of our company more difficult, including the following:</w:t>
      </w:r>
    </w:p>
    <w:p>
      <w:pPr>
        <w:spacing w:after="0" w:line="70" w:lineRule="exact"/>
        <w:rPr>
          <w:sz w:val="20"/>
          <w:szCs w:val="20"/>
          <w:color w:val="auto"/>
        </w:rPr>
      </w:pPr>
    </w:p>
    <w:p>
      <w:pPr>
        <w:ind w:left="1140" w:right="320" w:hanging="432"/>
        <w:spacing w:after="0" w:line="277"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certain provisions of our amended and restated certificate of incorporation or amendments to our amended and restated bylaws will generally require the approval of at least 66 2/3% of the voting power of our outstanding capital stock;</w:t>
      </w:r>
    </w:p>
    <w:p>
      <w:pPr>
        <w:spacing w:after="0" w:line="96"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w:t>
      </w:r>
    </w:p>
    <w:p>
      <w:pPr>
        <w:sectPr>
          <w:pgSz w:w="11900" w:h="16838" w:orient="portrait"/>
          <w:cols w:equalWidth="0" w:num="1">
            <w:col w:w="11060"/>
          </w:cols>
          <w:pgMar w:left="320" w:top="454" w:right="51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140" w:hanging="432"/>
        <w:spacing w:after="0" w:line="285" w:lineRule="auto"/>
        <w:tabs>
          <w:tab w:leader="none" w:pos="11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dual class common stock structure, which provides certain affiliates of Silver Lake, Francisco Partners, Spectrum, Idea Men, LLC and our Co-Founders, individually or together, with the ability to significantly influence the outcome of matters requiring stockholder approval, even if they own significantly less than a majority of the shares of our outstanding Class A common stock and Class B common stock;</w:t>
      </w:r>
    </w:p>
    <w:p>
      <w:pPr>
        <w:spacing w:after="0" w:line="65" w:lineRule="exact"/>
        <w:rPr>
          <w:rFonts w:ascii="Times New Roman" w:cs="Times New Roman" w:eastAsia="Times New Roman" w:hAnsi="Times New Roman"/>
          <w:sz w:val="17"/>
          <w:szCs w:val="17"/>
          <w:color w:val="auto"/>
        </w:rPr>
      </w:pPr>
    </w:p>
    <w:p>
      <w:pPr>
        <w:ind w:left="1140" w:hanging="43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staggered board;</w:t>
      </w:r>
    </w:p>
    <w:p>
      <w:pPr>
        <w:spacing w:after="0" w:line="126" w:lineRule="exact"/>
        <w:rPr>
          <w:rFonts w:ascii="Times New Roman" w:cs="Times New Roman" w:eastAsia="Times New Roman" w:hAnsi="Times New Roman"/>
          <w:sz w:val="18"/>
          <w:szCs w:val="18"/>
          <w:color w:val="auto"/>
        </w:rPr>
      </w:pPr>
    </w:p>
    <w:p>
      <w:pPr>
        <w:ind w:left="1140" w:hanging="432"/>
        <w:spacing w:after="0" w:line="26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the holders of our Class B common stock no longer beneficially own, in the aggregate, at least the majority of the voting power of our outstanding capital stock, our stockholders will only be able to take action at a meeting of stockholders and will not be able to take action by written consent for any matter;</w:t>
      </w:r>
    </w:p>
    <w:p>
      <w:pPr>
        <w:spacing w:after="0" w:line="83"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will not provide for cumulative voting;</w:t>
      </w:r>
    </w:p>
    <w:p>
      <w:pPr>
        <w:spacing w:after="0" w:line="126" w:lineRule="exact"/>
        <w:rPr>
          <w:rFonts w:ascii="Times New Roman" w:cs="Times New Roman" w:eastAsia="Times New Roman" w:hAnsi="Times New Roman"/>
          <w:sz w:val="18"/>
          <w:szCs w:val="18"/>
          <w:color w:val="auto"/>
        </w:rPr>
      </w:pPr>
    </w:p>
    <w:p>
      <w:pPr>
        <w:ind w:left="1140" w:right="320" w:hanging="432"/>
        <w:spacing w:after="0" w:line="277"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will be able to be filled only by our board of directors and not by stockholders, subject to the rights granted pursuant to the stockholders agreement;</w:t>
      </w:r>
    </w:p>
    <w:p>
      <w:pPr>
        <w:spacing w:after="0" w:line="69" w:lineRule="exact"/>
        <w:rPr>
          <w:rFonts w:ascii="Times New Roman" w:cs="Times New Roman" w:eastAsia="Times New Roman" w:hAnsi="Times New Roman"/>
          <w:sz w:val="18"/>
          <w:szCs w:val="18"/>
          <w:color w:val="auto"/>
        </w:rPr>
      </w:pPr>
    </w:p>
    <w:p>
      <w:pPr>
        <w:ind w:left="1140" w:right="180" w:hanging="432"/>
        <w:spacing w:after="0" w:line="277"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our stockholders may only be called by the chairperson of our board of directors, our Chief Executive Officer or our Co-Chief Executive Officers, as applicable, or a majority of our board of directors;</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forum for certain litigation against us to Delaware or the federal courts, as applicable;</w:t>
      </w:r>
    </w:p>
    <w:p>
      <w:pPr>
        <w:spacing w:after="0" w:line="126" w:lineRule="exact"/>
        <w:rPr>
          <w:rFonts w:ascii="Times New Roman" w:cs="Times New Roman" w:eastAsia="Times New Roman" w:hAnsi="Times New Roman"/>
          <w:sz w:val="18"/>
          <w:szCs w:val="18"/>
          <w:color w:val="auto"/>
        </w:rPr>
      </w:pPr>
    </w:p>
    <w:p>
      <w:pPr>
        <w:ind w:left="1140" w:right="200" w:hanging="432"/>
        <w:spacing w:after="0" w:line="277"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will authorize undesignated preferred stock, the terms of which may be established and shares of which may be issued without further action by our stockholders; and</w:t>
      </w:r>
    </w:p>
    <w:p>
      <w:pPr>
        <w:spacing w:after="0" w:line="69" w:lineRule="exact"/>
        <w:rPr>
          <w:rFonts w:ascii="Times New Roman" w:cs="Times New Roman" w:eastAsia="Times New Roman" w:hAnsi="Times New Roman"/>
          <w:sz w:val="18"/>
          <w:szCs w:val="18"/>
          <w:color w:val="auto"/>
        </w:rPr>
      </w:pPr>
    </w:p>
    <w:p>
      <w:pPr>
        <w:ind w:left="1140" w:hanging="432"/>
        <w:spacing w:after="0" w:line="277"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(other than the parties to our stockholders agreement) to nominate candidates for election as directors or to bring matters before an annual meeting of stockholders.</w:t>
      </w:r>
    </w:p>
    <w:p>
      <w:pPr>
        <w:spacing w:after="0" w:line="163" w:lineRule="exact"/>
        <w:rPr>
          <w:sz w:val="20"/>
          <w:szCs w:val="20"/>
          <w:color w:val="auto"/>
        </w:rPr>
      </w:pPr>
    </w:p>
    <w:p>
      <w:pPr>
        <w:ind w:left="180" w:right="20" w:firstLine="436"/>
        <w:spacing w:after="0" w:line="270" w:lineRule="auto"/>
        <w:rPr>
          <w:sz w:val="20"/>
          <w:szCs w:val="20"/>
          <w:color w:val="auto"/>
        </w:rPr>
      </w:pPr>
      <w:r>
        <w:rPr>
          <w:rFonts w:ascii="Times New Roman" w:cs="Times New Roman" w:eastAsia="Times New Roman" w:hAnsi="Times New Roman"/>
          <w:sz w:val="17"/>
          <w:szCs w:val="17"/>
          <w:color w:val="auto"/>
        </w:rPr>
        <w:t>In addition, we have opted out of Section 203 of the Delaware General Corporation Law, but our amended and restated certificate of incorporation will provide that engaging in any of a broad range of business combinations with any “interested stockholder” (any entity or person who, together with that entity’s or person’s affiliates and associates, owns or within the previous three years owned, 15% or more of our outstanding voting</w:t>
      </w:r>
    </w:p>
    <w:p>
      <w:pPr>
        <w:ind w:left="180" w:right="40"/>
        <w:spacing w:after="0" w:line="250" w:lineRule="auto"/>
        <w:rPr>
          <w:sz w:val="20"/>
          <w:szCs w:val="20"/>
          <w:color w:val="auto"/>
        </w:rPr>
      </w:pPr>
      <w:r>
        <w:rPr>
          <w:rFonts w:ascii="Times New Roman" w:cs="Times New Roman" w:eastAsia="Times New Roman" w:hAnsi="Times New Roman"/>
          <w:sz w:val="18"/>
          <w:szCs w:val="18"/>
          <w:color w:val="auto"/>
        </w:rPr>
        <w:t>stock) for a period of three years following the date on which the stockholder became an “interested stockholder” is prohibited, provided, however, that, under our amended and restated certificate of incorporation, the parties to our stockholders agreement and any of their respective affiliates will not be deemed to be interested stockholders regardless of the percentage of our outstanding voting stock owned by them, and accordingly will not be subject to such restrictions.</w:t>
      </w:r>
    </w:p>
    <w:p>
      <w:pPr>
        <w:spacing w:after="0" w:line="187" w:lineRule="exact"/>
        <w:rPr>
          <w:sz w:val="20"/>
          <w:szCs w:val="20"/>
          <w:color w:val="auto"/>
        </w:rPr>
      </w:pPr>
    </w:p>
    <w:p>
      <w:pPr>
        <w:ind w:left="180" w:right="60" w:firstLine="436"/>
        <w:spacing w:after="0" w:line="257" w:lineRule="auto"/>
        <w:rPr>
          <w:sz w:val="20"/>
          <w:szCs w:val="20"/>
          <w:color w:val="auto"/>
        </w:rPr>
      </w:pPr>
      <w:r>
        <w:rPr>
          <w:rFonts w:ascii="Times New Roman" w:cs="Times New Roman" w:eastAsia="Times New Roman" w:hAnsi="Times New Roman"/>
          <w:sz w:val="18"/>
          <w:szCs w:val="18"/>
          <w:color w:val="auto"/>
        </w:rPr>
        <w:t>These provisions, alone or together,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285" w:lineRule="exact"/>
        <w:rPr>
          <w:sz w:val="20"/>
          <w:szCs w:val="20"/>
          <w:color w:val="auto"/>
        </w:rPr>
      </w:pPr>
    </w:p>
    <w:p>
      <w:pPr>
        <w:ind w:left="180" w:right="18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that the doctrine of “corporate opportunity” will not apply with respect to certain parties to our stockholders agreement and any director or stockholder who is not employed by us or our subsidiaries.</w:t>
      </w:r>
    </w:p>
    <w:p>
      <w:pPr>
        <w:spacing w:after="0" w:line="52" w:lineRule="exact"/>
        <w:rPr>
          <w:sz w:val="20"/>
          <w:szCs w:val="20"/>
          <w:color w:val="auto"/>
        </w:rPr>
      </w:pPr>
    </w:p>
    <w:p>
      <w:pPr>
        <w:ind w:left="180" w:right="340" w:firstLine="436"/>
        <w:spacing w:after="0" w:line="262" w:lineRule="auto"/>
        <w:rPr>
          <w:sz w:val="20"/>
          <w:szCs w:val="20"/>
          <w:color w:val="auto"/>
        </w:rPr>
      </w:pPr>
      <w:r>
        <w:rPr>
          <w:rFonts w:ascii="Times New Roman" w:cs="Times New Roman" w:eastAsia="Times New Roman" w:hAnsi="Times New Roman"/>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60"/>
          </w:cols>
          <w:pgMar w:left="320" w:top="454" w:right="51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spacing w:after="0" w:line="249" w:lineRule="auto"/>
        <w:rPr>
          <w:sz w:val="20"/>
          <w:szCs w:val="20"/>
          <w:color w:val="auto"/>
        </w:rPr>
      </w:pPr>
      <w:r>
        <w:rPr>
          <w:rFonts w:ascii="Times New Roman" w:cs="Times New Roman" w:eastAsia="Times New Roman" w:hAnsi="Times New Roman"/>
          <w:sz w:val="18"/>
          <w:szCs w:val="18"/>
          <w:color w:val="auto"/>
        </w:rPr>
        <w:t>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which will be in effect immediately prior to the closing of this offering, will provide that the doctrine of “corporate opportunity” will not apply with respect to the parties to our stockholders agreement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SLP Geology Aggregator, L.P., Francisco Partners IV, L.P., Francisco Partners IV-A, L.P., Spectrum Equity VII, L.P., Spectrum VII Investment Managers’ Fund, L.P., Spectrum VII Co-Investment Fund, L.P. and Idea Men, LLC or their affiliates and any director or stockholder who is not employed by us or our subsidiaries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 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301" w:lineRule="exact"/>
        <w:rPr>
          <w:sz w:val="20"/>
          <w:szCs w:val="20"/>
          <w:color w:val="auto"/>
        </w:rPr>
      </w:pPr>
    </w:p>
    <w:p>
      <w:pPr>
        <w:ind w:left="180" w:right="300" w:firstLine="43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that the Court of Chancery of the State of Delaware will be the sole and exclusive forum for certain stockholder litigation matters and the federal district courts of the United States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72" w:lineRule="exact"/>
        <w:rPr>
          <w:sz w:val="20"/>
          <w:szCs w:val="20"/>
          <w:color w:val="auto"/>
        </w:rPr>
      </w:pPr>
    </w:p>
    <w:p>
      <w:pPr>
        <w:ind w:left="180" w:right="20" w:firstLine="436"/>
        <w:spacing w:after="0" w:line="249"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otherwise consent in writing,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or holding any interest in shares of our capital stock shall be deemed to have notice of and consented to the forum provisions in our amended and restated certificate of incorporation.</w:t>
      </w:r>
    </w:p>
    <w:p>
      <w:pPr>
        <w:spacing w:after="0" w:line="1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60"/>
          </w:cols>
          <w:pgMar w:left="320" w:top="454" w:right="51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18" w:lineRule="exact"/>
        <w:rPr>
          <w:sz w:val="20"/>
          <w:szCs w:val="20"/>
          <w:color w:val="auto"/>
        </w:rPr>
      </w:pPr>
    </w:p>
    <w:p>
      <w:pPr>
        <w:ind w:left="180" w:right="60" w:firstLine="436"/>
        <w:spacing w:after="0" w:line="255"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Moreover, the terms of our existing Credit Agreement restrict our ability to pay dividends, and any additional debt we may incur in the future may include similar restrictions. In addition, Delaware law may impose requirements that may restrict our ability to pay dividends to holders of our common stock. As a result, stockholders must rely on sales of their Class A common stock after price appreciation as the only way to realize any future gains on their investment.</w:t>
      </w:r>
    </w:p>
    <w:p>
      <w:pPr>
        <w:spacing w:after="0" w:line="2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depend on our subsidiaries for cash to fund operations and expenses, including future dividend payments, if</w:t>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any.</w:t>
      </w:r>
    </w:p>
    <w:p>
      <w:pPr>
        <w:spacing w:after="0" w:line="95"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color w:val="auto"/>
        </w:rPr>
        <w:t>We are a holding company that does not conduct any business operations of our own. As a result, we are largely dependent upon cash distributions and other transfers from our subsidiaries to meet our obligations and to make future dividend payments, if any. We do not currently expect to declare or pay dividends on our common stock for the foreseeable future; however, the agreements governing the indebtedness of our subsidiaries impose restrictions on our subsidiaries’ ability to pay dividends or other distributions to us. See “Management’s Discussion and Analysis of Financial Condition and Results of Operations—Liquidity and Capital Resources.” The deterioration of the earnings from, or other available assets of, our subsidiaries for any reason could impair their ability to make distributions to us.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60"/>
          </w:cols>
          <w:pgMar w:left="320" w:top="454" w:right="51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4" w:lineRule="exact"/>
        <w:rPr>
          <w:sz w:val="20"/>
          <w:szCs w:val="20"/>
          <w:color w:val="auto"/>
        </w:rPr>
      </w:pPr>
    </w:p>
    <w:p>
      <w:pPr>
        <w:ind w:left="180" w:right="40" w:firstLine="436"/>
        <w:spacing w:after="0" w:line="277" w:lineRule="auto"/>
        <w:rPr>
          <w:sz w:val="20"/>
          <w:szCs w:val="20"/>
          <w:color w:val="auto"/>
        </w:rPr>
      </w:pPr>
      <w:r>
        <w:rPr>
          <w:rFonts w:ascii="Times New Roman" w:cs="Times New Roman" w:eastAsia="Times New Roman" w:hAnsi="Times New Roman"/>
          <w:sz w:val="17"/>
          <w:szCs w:val="17"/>
          <w:color w:val="auto"/>
        </w:rPr>
        <w:t>This prospectus contains forward-looking statements. All statements contained in this prospectus other than statements of historical facts, including statements regarding our business strategy, plans, market growth and our objectives for future operations, are forward-looking statements. The words “may,” “will,” “should,” “expect,” “plan,” “anticipate,” “could,” “intend,” “target,” “project,” “contemplate,” “believe,” “estimate,” “forecast,” “predict,” “potential” or “continue” or the negative of these terms and other similar expressions are intended to identify forward-looking statements.</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Forward-looking statements contained in this prospectus include, but are not limited to, statements about:</w:t>
      </w:r>
    </w:p>
    <w:p>
      <w:pPr>
        <w:spacing w:after="0" w:line="127" w:lineRule="exact"/>
        <w:rPr>
          <w:sz w:val="20"/>
          <w:szCs w:val="20"/>
          <w:color w:val="auto"/>
        </w:rPr>
      </w:pPr>
    </w:p>
    <w:p>
      <w:pPr>
        <w:ind w:left="1140" w:right="100" w:hanging="432"/>
        <w:spacing w:after="0" w:line="277"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operating expenses, including capital expenditures, and our ability to achieve and maintain future profitability;</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to meet our liquidity needs;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platform and offerings in general;</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Monthly Active Consumers and consumers of our various offerings;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value provided by our subscription offerings subscribers, and the continuation of existing trends;</w:t>
      </w:r>
    </w:p>
    <w:p>
      <w:pPr>
        <w:spacing w:after="0" w:line="126" w:lineRule="exact"/>
        <w:rPr>
          <w:rFonts w:ascii="Times New Roman" w:cs="Times New Roman" w:eastAsia="Times New Roman" w:hAnsi="Times New Roman"/>
          <w:sz w:val="18"/>
          <w:szCs w:val="18"/>
          <w:color w:val="auto"/>
        </w:rPr>
      </w:pPr>
    </w:p>
    <w:p>
      <w:pPr>
        <w:ind w:left="1140" w:right="640" w:hanging="432"/>
        <w:spacing w:after="0" w:line="277"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offerings and bring them to market in a timely manner, make enhancements to our platform and current offerings and integrate our offerings;</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upon our strategy, including in respect of our recently launched telehealth offerings;</w:t>
      </w:r>
    </w:p>
    <w:p>
      <w:pPr>
        <w:spacing w:after="0" w:line="126" w:lineRule="exact"/>
        <w:rPr>
          <w:rFonts w:ascii="Times New Roman" w:cs="Times New Roman" w:eastAsia="Times New Roman" w:hAnsi="Times New Roman"/>
          <w:sz w:val="18"/>
          <w:szCs w:val="18"/>
          <w:color w:val="auto"/>
        </w:rPr>
      </w:pPr>
    </w:p>
    <w:p>
      <w:pPr>
        <w:ind w:left="1140" w:hanging="432"/>
        <w:spacing w:after="0" w:line="277"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number of consumers of our telehealth offerings that opt to use our prescription offering following an online visit with a healthcare professional;</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scale our telehealth offerings;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lifetime value of our consumers;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our unaided awareness, build our brand, scale our existing marketing channels and unlock new ones;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compete with existing and new competitors in our markets;</w:t>
      </w:r>
    </w:p>
    <w:p>
      <w:pPr>
        <w:spacing w:after="0" w:line="126" w:lineRule="exact"/>
        <w:rPr>
          <w:rFonts w:ascii="Times New Roman" w:cs="Times New Roman" w:eastAsia="Times New Roman" w:hAnsi="Times New Roman"/>
          <w:sz w:val="18"/>
          <w:szCs w:val="18"/>
          <w:color w:val="auto"/>
        </w:rPr>
      </w:pPr>
    </w:p>
    <w:p>
      <w:pPr>
        <w:ind w:left="1140" w:right="480" w:hanging="432"/>
        <w:spacing w:after="0" w:line="277"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total addressable market and market trends, expected growth rates of these markets and our ability to grow within and further penetrate our primary markets;</w:t>
      </w:r>
    </w:p>
    <w:p>
      <w:pPr>
        <w:spacing w:after="0" w:line="69" w:lineRule="exact"/>
        <w:rPr>
          <w:rFonts w:ascii="Times New Roman" w:cs="Times New Roman" w:eastAsia="Times New Roman" w:hAnsi="Times New Roman"/>
          <w:sz w:val="18"/>
          <w:szCs w:val="18"/>
          <w:color w:val="auto"/>
        </w:rPr>
      </w:pPr>
    </w:p>
    <w:p>
      <w:pPr>
        <w:ind w:left="1140" w:right="240" w:hanging="432"/>
        <w:spacing w:after="0" w:line="277"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effects of existing and developing laws and regulations, including with respect to the healthcare industry, healthcare reform measures and data protection in the United States;</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protect our brand;</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availability of our platform;</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management of future growth;</w:t>
      </w:r>
    </w:p>
    <w:p>
      <w:pPr>
        <w:spacing w:after="0" w:line="126" w:lineRule="exact"/>
        <w:rPr>
          <w:rFonts w:ascii="Times New Roman" w:cs="Times New Roman" w:eastAsia="Times New Roman" w:hAnsi="Times New Roman"/>
          <w:sz w:val="18"/>
          <w:szCs w:val="18"/>
          <w:color w:val="auto"/>
        </w:rPr>
      </w:pPr>
    </w:p>
    <w:p>
      <w:pPr>
        <w:ind w:left="1140" w:right="480" w:hanging="432"/>
        <w:spacing w:after="0" w:line="277"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technology trends and developments in the healthcare industry and our ability to address those trends and developments with our offerings;</w:t>
      </w:r>
    </w:p>
    <w:p>
      <w:pPr>
        <w:spacing w:after="0" w:line="69" w:lineRule="exact"/>
        <w:rPr>
          <w:rFonts w:ascii="Times New Roman" w:cs="Times New Roman" w:eastAsia="Times New Roman" w:hAnsi="Times New Roman"/>
          <w:sz w:val="18"/>
          <w:szCs w:val="18"/>
          <w:color w:val="auto"/>
        </w:rPr>
      </w:pPr>
    </w:p>
    <w:p>
      <w:pPr>
        <w:ind w:left="1140" w:right="440" w:hanging="432"/>
        <w:spacing w:after="0" w:line="277"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third parties, including PBMs, healthcare professionals, telehealth providers and other healthcare partners;</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53"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w:t>
      </w:r>
    </w:p>
    <w:p>
      <w:pPr>
        <w:sectPr>
          <w:pgSz w:w="11900" w:h="16838" w:orient="portrait"/>
          <w:cols w:equalWidth="0" w:num="1">
            <w:col w:w="11060"/>
          </w:cols>
          <w:pgMar w:left="320" w:top="454" w:right="51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140" w:hanging="432"/>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maintain and improve effective internal controls and remediate material weaknesses;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expenses associated with being a public company; and</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uses of net proceeds from this offering.</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w:t>
      </w:r>
    </w:p>
    <w:p>
      <w:pPr>
        <w:spacing w:after="0" w:line="220" w:lineRule="exact"/>
        <w:rPr>
          <w:sz w:val="20"/>
          <w:szCs w:val="20"/>
          <w:color w:val="auto"/>
        </w:rPr>
      </w:pPr>
    </w:p>
    <w:p>
      <w:pPr>
        <w:ind w:left="180" w:firstLine="436"/>
        <w:spacing w:after="0" w:line="252"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85" w:lineRule="exact"/>
        <w:rPr>
          <w:sz w:val="20"/>
          <w:szCs w:val="20"/>
          <w:color w:val="auto"/>
        </w:rPr>
      </w:pPr>
    </w:p>
    <w:p>
      <w:pPr>
        <w:ind w:left="180" w:right="100" w:firstLine="436"/>
        <w:spacing w:after="0" w:line="277"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prospectus or to conform these statements to actual results or revised expectations, except as required by law.</w:t>
      </w:r>
    </w:p>
    <w:p>
      <w:pPr>
        <w:spacing w:after="0" w:line="166" w:lineRule="exact"/>
        <w:rPr>
          <w:sz w:val="20"/>
          <w:szCs w:val="20"/>
          <w:color w:val="auto"/>
        </w:rPr>
      </w:pPr>
    </w:p>
    <w:p>
      <w:pPr>
        <w:ind w:left="180" w:right="100" w:firstLine="436"/>
        <w:spacing w:after="0" w:line="262"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60"/>
          </w:cols>
          <w:pgMar w:left="320" w:top="454" w:right="51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4" w:lineRule="exact"/>
        <w:rPr>
          <w:sz w:val="20"/>
          <w:szCs w:val="20"/>
          <w:color w:val="auto"/>
        </w:rPr>
      </w:pPr>
    </w:p>
    <w:p>
      <w:pPr>
        <w:ind w:left="180" w:right="40" w:firstLine="436"/>
        <w:spacing w:after="0" w:line="255" w:lineRule="auto"/>
        <w:rPr>
          <w:sz w:val="20"/>
          <w:szCs w:val="20"/>
          <w:color w:val="auto"/>
        </w:rPr>
      </w:pPr>
      <w:r>
        <w:rPr>
          <w:rFonts w:ascii="Times New Roman" w:cs="Times New Roman" w:eastAsia="Times New Roman" w:hAnsi="Times New Roman"/>
          <w:sz w:val="18"/>
          <w:szCs w:val="18"/>
          <w:color w:val="auto"/>
        </w:rPr>
        <w:t>We estimate that the net proceeds to us from the sale of shares of our Class A common stock in this offering will be approximately $569.7 million (or $697.2 million if the underwriters exercise their option to purchase additional shares of our Class A common stock from us in full), assuming an initial public offering price of $26.00 per share, which is the midpoint of the price range set forth on the cover page of this prospectus, and after deducting the underwriting discounts and commissions and estimated offering expenses payable by us. In addition, we will receive gross proceeds of $100.0 million from the private placement.</w:t>
      </w:r>
    </w:p>
    <w:p>
      <w:pPr>
        <w:spacing w:after="0" w:line="183" w:lineRule="exact"/>
        <w:rPr>
          <w:sz w:val="20"/>
          <w:szCs w:val="20"/>
          <w:color w:val="auto"/>
        </w:rPr>
      </w:pPr>
    </w:p>
    <w:p>
      <w:pPr>
        <w:ind w:left="180" w:right="60" w:firstLine="436"/>
        <w:spacing w:after="0" w:line="252"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$26.00 per share, which is the midpoint of the price range set forth on the cover page of this prospectus, would increase (decrease) the net proceeds to us from this offering by approximately $22.1 million, assuming the number of shares of Class A common stock offered by us, as set forth on the cover page of this prospectus, remains the same and after deducting the underwriting discounts and commissions and estimated offering expenses payable by us, and would result in a (decrease) increase in the number of shares of Class A common stock issued and outstanding as a result of the private placement equal to $100 million divided by the increased (decreased) price. An increase (decrease) of 1.0 million shares in the number of shares of Class A common stock offered would increase (decrease) the net proceeds to us from this offering by approximately $24.6 million, assuming the assumed initial public offering price stays the same, and after deducting the underwriting discounts and commissions and estimated offering expenses payable by us.</w:t>
      </w:r>
    </w:p>
    <w:p>
      <w:pPr>
        <w:spacing w:after="0" w:line="185" w:lineRule="exact"/>
        <w:rPr>
          <w:sz w:val="20"/>
          <w:szCs w:val="20"/>
          <w:color w:val="auto"/>
        </w:rPr>
      </w:pPr>
    </w:p>
    <w:p>
      <w:pPr>
        <w:ind w:left="180" w:firstLine="436"/>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from this offering and the private placement for general corporate purposes to support the growth of our business. As of the date of this prospectus, we cannot specify with certainty the specific allocations or all of the particular uses for the net proceeds to be received upon completion of this offering and the private placement. We may use a portion of the proceeds for the acquisition of, or investment in, technologies, solutions, or businesses that complement our business. However, we do not have binding agreements or commitments for any acquisitions or investments outside the ordinary course of business at this time.</w:t>
      </w:r>
    </w:p>
    <w:p>
      <w:pPr>
        <w:spacing w:after="0" w:line="183" w:lineRule="exact"/>
        <w:rPr>
          <w:sz w:val="20"/>
          <w:szCs w:val="20"/>
          <w:color w:val="auto"/>
        </w:rPr>
      </w:pPr>
    </w:p>
    <w:p>
      <w:pPr>
        <w:ind w:left="180" w:right="40" w:firstLine="436"/>
        <w:spacing w:after="0" w:line="285" w:lineRule="auto"/>
        <w:rPr>
          <w:sz w:val="20"/>
          <w:szCs w:val="20"/>
          <w:color w:val="auto"/>
        </w:rPr>
      </w:pPr>
      <w:r>
        <w:rPr>
          <w:rFonts w:ascii="Times New Roman" w:cs="Times New Roman" w:eastAsia="Times New Roman" w:hAnsi="Times New Roman"/>
          <w:sz w:val="17"/>
          <w:szCs w:val="17"/>
          <w:color w:val="auto"/>
        </w:rPr>
        <w:t>We may find it necessary or advisable to use the net proceeds for other purposes, and we will have broad discretion in the application and specific allocations of the net proceeds of this offering and the private placement. Pending the uses described above, we intend to invest the net proceeds from this offering and the private placement in short- and intermediate-term, interest-bearing obligations, investment-grade instruments or other securities.</w:t>
      </w:r>
    </w:p>
    <w:p>
      <w:pPr>
        <w:spacing w:after="0" w:line="159" w:lineRule="exact"/>
        <w:rPr>
          <w:sz w:val="20"/>
          <w:szCs w:val="20"/>
          <w:color w:val="auto"/>
        </w:rPr>
      </w:pPr>
    </w:p>
    <w:p>
      <w:pPr>
        <w:ind w:left="180" w:right="320" w:firstLine="436"/>
        <w:spacing w:after="0" w:line="277"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our Class A common stock by the selling stockholders. We will, however, bear the costs, other than the underwriting discounts and commissions, associated with the sale of these shares.</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40"/>
          </w:cols>
          <w:pgMar w:left="320" w:top="454" w:right="5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4" w:lineRule="exact"/>
        <w:rPr>
          <w:sz w:val="20"/>
          <w:szCs w:val="20"/>
          <w:color w:val="auto"/>
        </w:rPr>
      </w:pPr>
    </w:p>
    <w:p>
      <w:pPr>
        <w:ind w:left="180" w:right="100" w:firstLine="436"/>
        <w:spacing w:after="0" w:line="253" w:lineRule="auto"/>
        <w:rPr>
          <w:sz w:val="20"/>
          <w:szCs w:val="20"/>
          <w:color w:val="auto"/>
        </w:rPr>
      </w:pPr>
      <w:r>
        <w:rPr>
          <w:rFonts w:ascii="Times New Roman" w:cs="Times New Roman" w:eastAsia="Times New Roman" w:hAnsi="Times New Roman"/>
          <w:sz w:val="18"/>
          <w:szCs w:val="18"/>
          <w:color w:val="auto"/>
        </w:rPr>
        <w:t>In May 2018, we paid a special dividend to our stockholders in an aggregate amount of $154.4 million, and paid accrued dividends to the holders of our convertible preferred stock of $18.6 million. The dividends were financed with net proceeds from a $150.0 million term loan under a credit agreement entered into by GoodRx, Inc. and various lenders party thereto, or the 2017 Credit Agreement, and cash on hand. In addition, in October 2018, we paid a special dividend to our stockholders in an aggregate amount of $1,167.1 million, and paid accrued dividends to the holders of our convertible preferred stock of $6.4 million. The dividends were financed with net proceeds from GoodRx, Inc.’s First Lien Term Loan Facility and the Second Lien Term Loan Facility, and cash on hand.</w:t>
      </w:r>
    </w:p>
    <w:p>
      <w:pPr>
        <w:spacing w:after="0" w:line="187" w:lineRule="exact"/>
        <w:rPr>
          <w:sz w:val="20"/>
          <w:szCs w:val="20"/>
          <w:color w:val="auto"/>
        </w:rPr>
      </w:pPr>
    </w:p>
    <w:p>
      <w:pPr>
        <w:ind w:left="180" w:firstLine="436"/>
        <w:spacing w:after="0" w:line="266" w:lineRule="auto"/>
        <w:rPr>
          <w:sz w:val="20"/>
          <w:szCs w:val="20"/>
          <w:color w:val="auto"/>
        </w:rPr>
      </w:pPr>
      <w:r>
        <w:rPr>
          <w:rFonts w:ascii="Times New Roman" w:cs="Times New Roman" w:eastAsia="Times New Roman" w:hAnsi="Times New Roman"/>
          <w:sz w:val="17"/>
          <w:szCs w:val="17"/>
          <w:color w:val="auto"/>
        </w:rPr>
        <w:t>We are a holding company that does not conduct any business operations of our own. We will only be able to pay dividends from our available cash on hand and cash distributions and other transfers received from our subsidiaries, including GoodRx, Inc. and GoodRx Intermediate Holdings, LLC, whose ability to make any payments to us will depend upon many factors, including their operating results and cash flows. We currently intend to retain all available funds and any future earnings for use in the operation of our business, and therefore we do not currently expect to pay any cash dividends on our common stock. Any future determination related to our dividend policy will be made at the discretion of our board of directors after considering our financial condition, results of operations, capital requirements, the operations and performance of our subsidiaries, business prospects and other factors our board of directors deems relevant, and subject to the restrictions contained in agreements governing the indebtedness of our subsidiaries. Our current Credit Facilities impose restrictions on our subsidiaries’ ability to pay dividends or other distributions to us. In addition to these restrictions, our ability to pay cash dividends on our capital stock in the future may also be limited by the terms of any preferred securities we may issue or agreements governing any additional indebtedness we or our subsidiaries may incur. In addition, Delaware law may impose requirements that may restrict our ability to pay dividends to holders of our common stock. See “Risk Factors—Risks Related to This Offering and Ownership of Our Class A Common Stock” and “Management’s Discussion and Analysis of Financial Condition and Results of Operations—Liquidity and Capital Resources.”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60"/>
          </w:cols>
          <w:pgMar w:left="320" w:top="454" w:right="51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our cash and capitalization as of June 30, 2020 on:</w:t>
      </w:r>
    </w:p>
    <w:p>
      <w:pPr>
        <w:spacing w:after="0" w:line="127" w:lineRule="exact"/>
        <w:rPr>
          <w:sz w:val="20"/>
          <w:szCs w:val="20"/>
          <w:color w:val="auto"/>
        </w:rPr>
      </w:pPr>
    </w:p>
    <w:p>
      <w:pPr>
        <w:ind w:left="1140" w:hanging="539"/>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w:t>
      </w:r>
    </w:p>
    <w:p>
      <w:pPr>
        <w:spacing w:after="0" w:line="126" w:lineRule="exact"/>
        <w:rPr>
          <w:rFonts w:ascii="Times New Roman" w:cs="Times New Roman" w:eastAsia="Times New Roman" w:hAnsi="Times New Roman"/>
          <w:sz w:val="18"/>
          <w:szCs w:val="18"/>
          <w:color w:val="auto"/>
        </w:rPr>
      </w:pPr>
    </w:p>
    <w:p>
      <w:pPr>
        <w:ind w:left="1140" w:right="720" w:hanging="539"/>
        <w:spacing w:after="0" w:line="277"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basis to give effect to (i) the Preferred Stock Conversion, (ii) the filing and effectiveness of our amended and restated certificate of incorporation and (iii) the Class B Reclassification; and</w:t>
      </w:r>
    </w:p>
    <w:p>
      <w:pPr>
        <w:spacing w:after="0" w:line="69" w:lineRule="exact"/>
        <w:rPr>
          <w:rFonts w:ascii="Times New Roman" w:cs="Times New Roman" w:eastAsia="Times New Roman" w:hAnsi="Times New Roman"/>
          <w:sz w:val="18"/>
          <w:szCs w:val="18"/>
          <w:color w:val="auto"/>
        </w:rPr>
      </w:pPr>
    </w:p>
    <w:p>
      <w:pPr>
        <w:ind w:left="1140" w:right="100" w:hanging="539"/>
        <w:spacing w:after="0" w:line="267" w:lineRule="auto"/>
        <w:tabs>
          <w:tab w:leader="none" w:pos="11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 forma as adjusted basis to give effect to (i) the pro forma adjustments described above, (ii) the sale and issuance by us of 23,422,727 shares of our Class A common stock in this offering at an assumed initial public offering price of $26.00 per share, which is the midpoint of the price range set forth on the cover page of this prospectus, and after deducting the underwriting discounts and commissions and estimated offering expenses payable by us, net of amounts recorded in accrued expenses and other current liabilities and other assets at June 30, 2020, (iii) the sale and issuance by us of 3,846,153 shares of our Class A common stock in the private placement at an assumed initial public offering price of $26.00 per share, which is the midpoint of the estimated offering price range set forth on the cover page of this prospectus, (iv) the conversion of 10,908,121 shares of our Class B common stock held by certain selling stockholders into an equivalent number of our Class A common stock upon the sale by the selling stockholders in this offering, and (v) the issuance of 284,536 shares of our Class A common stock upon the exercise of options by certain selling stockholders in connection with the sale of such shares in this offering, including aggregate proceeds of $1.2 million received by us in connection with the exercise of such options.</w:t>
      </w:r>
    </w:p>
    <w:p>
      <w:pPr>
        <w:spacing w:after="0" w:line="176" w:lineRule="exact"/>
        <w:rPr>
          <w:sz w:val="20"/>
          <w:szCs w:val="20"/>
          <w:color w:val="auto"/>
        </w:rPr>
      </w:pPr>
    </w:p>
    <w:p>
      <w:pPr>
        <w:ind w:left="180" w:right="80" w:firstLine="436"/>
        <w:spacing w:after="0" w:line="255" w:lineRule="auto"/>
        <w:rPr>
          <w:sz w:val="20"/>
          <w:szCs w:val="20"/>
          <w:color w:val="auto"/>
        </w:rPr>
      </w:pPr>
      <w:r>
        <w:rPr>
          <w:rFonts w:ascii="Times New Roman" w:cs="Times New Roman" w:eastAsia="Times New Roman" w:hAnsi="Times New Roman"/>
          <w:sz w:val="18"/>
          <w:szCs w:val="18"/>
          <w:color w:val="auto"/>
        </w:rPr>
        <w:t>The pro forma and pro forma as adjusted information below is illustrative only and our capitalization following the closing of this offering will be adjusted based on the actual initial public offering price and other terms of this offering determined at the pricing of this offering. You should read this information in conjunction with the sections titled “Use of Proceeds,” “Selected Consolidated Financial and Operating Data” and “Management’s Discussion and Analysis of Financial Condition and Results of Operations” and our financial statements and the accompanying notes thereto included elsewhere in this prospectus.</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163"/>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6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68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500" w:type="dxa"/>
            <w:vAlign w:val="bottom"/>
          </w:tcPr>
          <w:p>
            <w:pPr>
              <w:spacing w:after="0"/>
              <w:rPr>
                <w:sz w:val="10"/>
                <w:szCs w:val="10"/>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2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16"/>
        </w:trPr>
        <w:tc>
          <w:tcPr>
            <w:tcW w:w="56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180" w:type="dxa"/>
            <w:vAlign w:val="bottom"/>
            <w:tcBorders>
              <w:top w:val="single" w:sz="8" w:color="auto"/>
            </w:tcBorders>
            <w:gridSpan w:val="6"/>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(in thousands, except share amounts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gridSpan w:val="3"/>
          </w:tcPr>
          <w:p>
            <w:pPr>
              <w:jc w:val="center"/>
              <w:ind w:left="163"/>
              <w:spacing w:after="0"/>
              <w:rPr>
                <w:sz w:val="20"/>
                <w:szCs w:val="20"/>
                <w:color w:val="auto"/>
              </w:rPr>
            </w:pPr>
            <w:r>
              <w:rPr>
                <w:rFonts w:ascii="Times New Roman" w:cs="Times New Roman" w:eastAsia="Times New Roman" w:hAnsi="Times New Roman"/>
                <w:sz w:val="14"/>
                <w:szCs w:val="14"/>
                <w:b w:val="1"/>
                <w:bCs w:val="1"/>
                <w:color w:val="auto"/>
              </w:rPr>
              <w:t>and par values)</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Cash(1)</w:t>
            </w:r>
          </w:p>
        </w:tc>
        <w:tc>
          <w:tcPr>
            <w:tcW w:w="2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126,625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126,625</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797,439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Debt (including current portion of long-term debt)</w:t>
            </w:r>
          </w:p>
        </w:tc>
        <w:tc>
          <w:tcPr>
            <w:tcW w:w="2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2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696,921</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696,921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95"/>
        </w:trPr>
        <w:tc>
          <w:tcPr>
            <w:tcW w:w="74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Redeemable convertible preferred stock, $0.006 par value; 130,000,000 shares authorized;</w:t>
            </w:r>
          </w:p>
        </w:tc>
        <w:tc>
          <w:tcPr>
            <w:tcW w:w="1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4"/>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126,045,531 shares issued and outstanding; zero shares authorized, issued and outstanding, pro</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2"/>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forma and pro forma as adjusted</w:t>
            </w:r>
          </w:p>
        </w:tc>
        <w:tc>
          <w:tcPr>
            <w:tcW w:w="134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737,009</w:t>
            </w:r>
          </w:p>
        </w:tc>
        <w:tc>
          <w:tcPr>
            <w:tcW w:w="1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5"/>
        </w:trPr>
        <w:tc>
          <w:tcPr>
            <w:tcW w:w="7460" w:type="dxa"/>
            <w:vAlign w:val="bottom"/>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Preferred stock, par value $0.0001 per share; zero shares authorized, actual and pro forma; and</w:t>
            </w:r>
          </w:p>
        </w:tc>
        <w:tc>
          <w:tcPr>
            <w:tcW w:w="1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4"/>
        </w:trPr>
        <w:tc>
          <w:tcPr>
            <w:tcW w:w="7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50,000,000 shares authorized, pro forma as adjusted; zero shares issued and outstanding,</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2"/>
        </w:trPr>
        <w:tc>
          <w:tcPr>
            <w:tcW w:w="7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actual, pro forma and pro forma as adjusted</w:t>
            </w:r>
          </w:p>
        </w:tc>
        <w:tc>
          <w:tcPr>
            <w:tcW w:w="1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746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Common stock, par value $0.002 per share; 390,000,000 shares authorized, 230,439,443 shares</w:t>
            </w:r>
          </w:p>
        </w:tc>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4"/>
        </w:trPr>
        <w:tc>
          <w:tcPr>
            <w:tcW w:w="7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issued and outstanding, actual; and zero shares authorized, issued and outstanding, pro forma</w:t>
            </w: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2"/>
        </w:trPr>
        <w:tc>
          <w:tcPr>
            <w:tcW w:w="7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pro forma as adjusted</w:t>
            </w:r>
          </w:p>
        </w:tc>
        <w:tc>
          <w:tcPr>
            <w:tcW w:w="1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462</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7460" w:type="dxa"/>
            <w:vAlign w:val="bottom"/>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Class A common stock, par value $0.0001 per share; zero shares authorized, issued and</w:t>
            </w:r>
          </w:p>
        </w:tc>
        <w:tc>
          <w:tcPr>
            <w:tcW w:w="1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4"/>
        </w:trPr>
        <w:tc>
          <w:tcPr>
            <w:tcW w:w="7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actual; and 2,000,000,000 shares authorized, zero shares issued and outstanding,</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4"/>
        </w:trPr>
        <w:tc>
          <w:tcPr>
            <w:tcW w:w="7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 forma; and 2,000,000,000 shares authorized, 38,461,537 shares issued and outstanding,</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2"/>
        </w:trPr>
        <w:tc>
          <w:tcPr>
            <w:tcW w:w="7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 forma as adjusted</w:t>
            </w:r>
          </w:p>
        </w:tc>
        <w:tc>
          <w:tcPr>
            <w:tcW w:w="1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61"/>
        </w:trPr>
        <w:tc>
          <w:tcPr>
            <w:tcW w:w="746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-74-</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080"/>
          </w:cols>
          <w:pgMar w:left="320" w:top="454" w:right="49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6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6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80" w:type="dxa"/>
            <w:vAlign w:val="bottom"/>
          </w:tcPr>
          <w:p>
            <w:pPr>
              <w:spacing w:after="0"/>
              <w:rPr>
                <w:sz w:val="10"/>
                <w:szCs w:val="10"/>
                <w:color w:val="auto"/>
              </w:rPr>
            </w:pPr>
          </w:p>
        </w:tc>
        <w:tc>
          <w:tcPr>
            <w:tcW w:w="8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Pro Forma 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6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16"/>
        </w:trPr>
        <w:tc>
          <w:tcPr>
            <w:tcW w:w="6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560" w:type="dxa"/>
            <w:vAlign w:val="bottom"/>
            <w:tcBorders>
              <w:top w:val="single" w:sz="8" w:color="auto"/>
            </w:tcBorders>
            <w:gridSpan w:val="8"/>
          </w:tcPr>
          <w:p>
            <w:pPr>
              <w:jc w:val="center"/>
              <w:ind w:right="45"/>
              <w:spacing w:after="0" w:line="116" w:lineRule="exact"/>
              <w:rPr>
                <w:sz w:val="20"/>
                <w:szCs w:val="20"/>
                <w:color w:val="auto"/>
              </w:rPr>
            </w:pPr>
            <w:r>
              <w:rPr>
                <w:rFonts w:ascii="Times New Roman" w:cs="Times New Roman" w:eastAsia="Times New Roman" w:hAnsi="Times New Roman"/>
                <w:sz w:val="13"/>
                <w:szCs w:val="13"/>
                <w:b w:val="1"/>
                <w:bCs w:val="1"/>
                <w:color w:val="auto"/>
              </w:rPr>
              <w:t>(in thousands, except share amounts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6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and par values)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880" w:type="dxa"/>
            <w:vAlign w:val="bottom"/>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Class B common stock, par value $0.0001 per share; zero shares authorized, issued and</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actual; and 1,000,000,000 shares authorized, 356,484,974 shares issued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and outstanding, pro forma; and 1,000,000,000 shares authorized, 345,576,853 shares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issued and outstanding, pro forma as adjusted</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752,385</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$ 1,423,196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5"/>
              </w:rPr>
              <w:t>(1,042,147)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(1,042,147)</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(1,042,147)</w:t>
            </w:r>
          </w:p>
        </w:tc>
        <w:tc>
          <w:tcPr>
            <w:tcW w:w="0" w:type="dxa"/>
            <w:vAlign w:val="bottom"/>
          </w:tcPr>
          <w:p>
            <w:pPr>
              <w:spacing w:after="0"/>
              <w:rPr>
                <w:sz w:val="1"/>
                <w:szCs w:val="1"/>
                <w:color w:val="auto"/>
              </w:rPr>
            </w:pPr>
          </w:p>
        </w:tc>
      </w:tr>
      <w:tr>
        <w:trPr>
          <w:trHeight w:val="227"/>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(1,026,735</w:t>
            </w:r>
          </w:p>
        </w:tc>
        <w:tc>
          <w:tcPr>
            <w:tcW w:w="200" w:type="dxa"/>
            <w:vAlign w:val="bottom"/>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(289,726)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capitalization</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407,195</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407,195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$ 1,078,009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600" w:hanging="426"/>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amount does not reflect the use of approximately $60.1 million of cash in connection with the acquisition of Scriptcycle on August 31, 2020.</w:t>
      </w:r>
    </w:p>
    <w:p>
      <w:pPr>
        <w:spacing w:after="0" w:line="232" w:lineRule="exact"/>
        <w:rPr>
          <w:sz w:val="20"/>
          <w:szCs w:val="20"/>
          <w:color w:val="auto"/>
        </w:rPr>
      </w:pPr>
    </w:p>
    <w:p>
      <w:pPr>
        <w:ind w:left="180" w:right="20" w:firstLine="436"/>
        <w:spacing w:after="0" w:line="250"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$26.00 per share, which is the midpoint of the price range set forth on the cover page of this prospectus, would increase (decrease) the pro forma as adjusted amount of each of cash, additional paid-in capital, total stockholders’ equity (deficit) and total capitalization by approximately $22.1 million, assuming that the number of shares offered by us, as set forth on the cover page of this prospectus, remains the same and after deducting underwriting discounts and commissions and estimated offering expenses payable by us, and would result in a (decrease) increase in the number of shares of Class A common stock issued and outstanding, pro forma as adjusted, equal to $100 million divided by the increased (decreased) price. Similarly, an increase (decrease) of 1.0 million shares in the number of shares offered by us at the assumed initial public offering price of $26.00 per share, which is the midpoint of the price range set forth on the cover page of this prospectus, would increase (decrease) the pro forma as adjusted amount of each of cash, additional paid-in capital, total stockholders’ equity (deficit) and total capitalization by approximately $24.6 million, assuming the shares of our Class A common stock offered by this prospectus are sold at the assumed initial public offering price of $26.00 per share, which is the midpoint of the price range set forth on the cover page of this prospectus, and after deducting the underwriting discounts and commissions and estimated offering expenses payable by us.</w:t>
      </w:r>
    </w:p>
    <w:p>
      <w:pPr>
        <w:spacing w:after="0" w:line="193" w:lineRule="exact"/>
        <w:rPr>
          <w:sz w:val="20"/>
          <w:szCs w:val="20"/>
          <w:color w:val="auto"/>
        </w:rPr>
      </w:pPr>
    </w:p>
    <w:p>
      <w:pPr>
        <w:ind w:left="180" w:right="140" w:firstLine="436"/>
        <w:spacing w:after="0" w:line="257" w:lineRule="auto"/>
        <w:rPr>
          <w:sz w:val="20"/>
          <w:szCs w:val="20"/>
          <w:color w:val="auto"/>
        </w:rPr>
      </w:pPr>
      <w:r>
        <w:rPr>
          <w:rFonts w:ascii="Times New Roman" w:cs="Times New Roman" w:eastAsia="Times New Roman" w:hAnsi="Times New Roman"/>
          <w:sz w:val="18"/>
          <w:szCs w:val="18"/>
          <w:color w:val="auto"/>
        </w:rPr>
        <w:t>The number of shares of our Class A common stock and Class B common stock to be outstanding after this offering and the private placement is based on no shares of our Class A common stock and 356,484,974 shares of our Class B common stock outstanding, in each case, as of June 30, 2020 and reflects the Preferred Stock Conversion and the Class B Reclassification, as well as 284,536 shares of Class A common stock to be issued upon the exercise of options by certain selling stockholders in connection with the sale of such shares in this offering, and does not include:</w:t>
      </w:r>
    </w:p>
    <w:p>
      <w:pPr>
        <w:spacing w:after="0" w:line="89" w:lineRule="exact"/>
        <w:rPr>
          <w:sz w:val="20"/>
          <w:szCs w:val="20"/>
          <w:color w:val="auto"/>
        </w:rPr>
      </w:pPr>
    </w:p>
    <w:p>
      <w:pPr>
        <w:ind w:left="1140" w:right="500" w:hanging="432"/>
        <w:spacing w:after="0" w:line="277"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1,075,000 shares of our Class A common stock reserved for issuance to fund and support our philanthropic initiatives through GoodRxHelps;</w:t>
      </w:r>
    </w:p>
    <w:p>
      <w:pPr>
        <w:spacing w:after="0" w:line="69" w:lineRule="exact"/>
        <w:rPr>
          <w:rFonts w:ascii="Times New Roman" w:cs="Times New Roman" w:eastAsia="Times New Roman" w:hAnsi="Times New Roman"/>
          <w:sz w:val="18"/>
          <w:szCs w:val="18"/>
          <w:color w:val="auto"/>
        </w:rPr>
      </w:pPr>
    </w:p>
    <w:p>
      <w:pPr>
        <w:ind w:left="1140" w:right="240" w:hanging="432"/>
        <w:spacing w:after="0" w:line="26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24,041,027 shares of our Class A common stock issuable upon the exercise of outstanding options under our 2015 Plan, as of June 30, 2020, at a weighted-average exercise price of $4.81 per share, except for 284,536 shares to be issued upon exercise of options by certain selling stockholders in connection with the sale of such shares in this offering;</w:t>
      </w:r>
    </w:p>
    <w:p>
      <w:pPr>
        <w:spacing w:after="0" w:line="83" w:lineRule="exact"/>
        <w:rPr>
          <w:rFonts w:ascii="Times New Roman" w:cs="Times New Roman" w:eastAsia="Times New Roman" w:hAnsi="Times New Roman"/>
          <w:sz w:val="18"/>
          <w:szCs w:val="18"/>
          <w:color w:val="auto"/>
        </w:rPr>
      </w:pPr>
    </w:p>
    <w:p>
      <w:pPr>
        <w:ind w:left="1140" w:right="420" w:hanging="432"/>
        <w:spacing w:after="0" w:line="277"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1,101,817 shares of Class A common stock available for issuance under our 2015 Plan as of June 30, 2020, which shares will become available for issuance under our 2020 Plan at the time the 2020 Plan becomes effective;</w:t>
      </w:r>
    </w:p>
    <w:p>
      <w:pPr>
        <w:spacing w:after="0" w:line="96"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w:t>
      </w:r>
    </w:p>
    <w:p>
      <w:pPr>
        <w:sectPr>
          <w:pgSz w:w="11900" w:h="16838" w:orient="portrait"/>
          <w:cols w:equalWidth="0" w:num="1">
            <w:col w:w="11080"/>
          </w:cols>
          <w:pgMar w:left="320" w:top="454" w:right="49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140" w:hanging="432"/>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24,633,066 shares of our Class B common stock issuable in connection with the vesting of the Founders Awards;</w:t>
      </w:r>
    </w:p>
    <w:p>
      <w:pPr>
        <w:spacing w:after="0" w:line="126" w:lineRule="exact"/>
        <w:rPr>
          <w:rFonts w:ascii="Times New Roman" w:cs="Times New Roman" w:eastAsia="Times New Roman" w:hAnsi="Times New Roman"/>
          <w:sz w:val="18"/>
          <w:szCs w:val="18"/>
          <w:color w:val="auto"/>
        </w:rPr>
      </w:pPr>
    </w:p>
    <w:p>
      <w:pPr>
        <w:ind w:left="1140" w:right="380" w:hanging="432"/>
        <w:spacing w:after="0" w:line="277"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881,250 shares of our Class A common stock issuable upon the exercise of the IPO Options, with an exercise price equal to the initial public offering price;</w:t>
      </w:r>
    </w:p>
    <w:p>
      <w:pPr>
        <w:spacing w:after="0" w:line="69" w:lineRule="exact"/>
        <w:rPr>
          <w:rFonts w:ascii="Times New Roman" w:cs="Times New Roman" w:eastAsia="Times New Roman" w:hAnsi="Times New Roman"/>
          <w:sz w:val="18"/>
          <w:szCs w:val="18"/>
          <w:color w:val="auto"/>
        </w:rPr>
      </w:pPr>
    </w:p>
    <w:p>
      <w:pPr>
        <w:ind w:left="1140" w:right="160" w:hanging="432"/>
        <w:spacing w:after="0" w:line="262"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38,461 shares of our Class A common stock, based on an assumed initial public offering price of $26.00 per share, which is the midpoint of the estimated offering price range set forth on the cover page of this prospectus, issuable upon the vesting of the Acquisition RSUs granted under our 2020 Plan;</w:t>
      </w:r>
    </w:p>
    <w:p>
      <w:pPr>
        <w:spacing w:after="0" w:line="83"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917,750 shares of our Class A common stock issuable upon the vesting of IPO RSUs granted under our 2020 Plan; and</w:t>
      </w:r>
    </w:p>
    <w:p>
      <w:pPr>
        <w:spacing w:after="0" w:line="126" w:lineRule="exact"/>
        <w:rPr>
          <w:rFonts w:ascii="Times New Roman" w:cs="Times New Roman" w:eastAsia="Times New Roman" w:hAnsi="Times New Roman"/>
          <w:sz w:val="18"/>
          <w:szCs w:val="18"/>
          <w:color w:val="auto"/>
        </w:rPr>
      </w:pPr>
    </w:p>
    <w:p>
      <w:pPr>
        <w:ind w:left="1140" w:hanging="432"/>
        <w:spacing w:after="0" w:line="253"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68,633,066 shares of our Class A common stock and Class B common stock that will become available for future issuance under our new equity compensation plans, consisting of (1) 59,633,066 shares of our Class A common stock and Class B common stock under our 2020 Plan, which will become effective in connection with the completion of this offering (which number includes the Founders Awards and the IPO Awards and excludes any potential annual evergreen increases pursuant to the terms of the 2020 Plan); and (2) 9,000,000 shares of our Class A common stock under our ESPP which will become effective in connection with this offering (which number does not include any potential annual evergreen increases pursuant to the terms of the ESPP).</w:t>
      </w:r>
    </w:p>
    <w:p>
      <w:pPr>
        <w:spacing w:after="0" w:line="120"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w:t>
      </w:r>
    </w:p>
    <w:p>
      <w:pPr>
        <w:sectPr>
          <w:pgSz w:w="11900" w:h="16838" w:orient="portrait"/>
          <w:cols w:equalWidth="0" w:num="1">
            <w:col w:w="11040"/>
          </w:cols>
          <w:pgMar w:left="320" w:top="454" w:right="5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4" w:lineRule="exact"/>
        <w:rPr>
          <w:sz w:val="20"/>
          <w:szCs w:val="20"/>
          <w:color w:val="auto"/>
        </w:rPr>
      </w:pPr>
    </w:p>
    <w:p>
      <w:pPr>
        <w:ind w:left="180" w:right="140" w:firstLine="436"/>
        <w:spacing w:after="0" w:line="262" w:lineRule="auto"/>
        <w:rPr>
          <w:sz w:val="20"/>
          <w:szCs w:val="20"/>
          <w:color w:val="auto"/>
        </w:rPr>
      </w:pPr>
      <w:r>
        <w:rPr>
          <w:rFonts w:ascii="Times New Roman" w:cs="Times New Roman" w:eastAsia="Times New Roman" w:hAnsi="Times New Roman"/>
          <w:sz w:val="18"/>
          <w:szCs w:val="18"/>
          <w:color w:val="auto"/>
        </w:rPr>
        <w:t>If you invest in our Class A common stock in this offering, your interest will be diluted to the extent of the difference between the amount per share paid by purchasers of shares of our Class A common stock in this initial public offering and the pro forma as adjusted net tangible book value per share of our Class A common stock immediately after this offering and the private placement.</w:t>
      </w:r>
    </w:p>
    <w:p>
      <w:pPr>
        <w:spacing w:after="0" w:line="177" w:lineRule="exact"/>
        <w:rPr>
          <w:sz w:val="20"/>
          <w:szCs w:val="20"/>
          <w:color w:val="auto"/>
        </w:rPr>
      </w:pPr>
    </w:p>
    <w:p>
      <w:pPr>
        <w:ind w:left="180" w:right="80" w:firstLine="436"/>
        <w:spacing w:after="0" w:line="262" w:lineRule="auto"/>
        <w:rPr>
          <w:sz w:val="20"/>
          <w:szCs w:val="20"/>
          <w:color w:val="auto"/>
        </w:rPr>
      </w:pPr>
      <w:r>
        <w:rPr>
          <w:rFonts w:ascii="Times New Roman" w:cs="Times New Roman" w:eastAsia="Times New Roman" w:hAnsi="Times New Roman"/>
          <w:sz w:val="18"/>
          <w:szCs w:val="18"/>
          <w:color w:val="auto"/>
        </w:rPr>
        <w:t>As of June 30, 2020, our historical net tangible book value (deficit) was $(1,278) million, or $(5.55) per share of common stock. Historical net tangible book value (deficit) per share represents our total tangible assets less total liabilities and redeemable convertible preferred stock, divided by the number of shares of common stock outstanding as of June 30, 2020.</w:t>
      </w:r>
    </w:p>
    <w:p>
      <w:pPr>
        <w:spacing w:after="0" w:line="177" w:lineRule="exact"/>
        <w:rPr>
          <w:sz w:val="20"/>
          <w:szCs w:val="20"/>
          <w:color w:val="auto"/>
        </w:rPr>
      </w:pPr>
    </w:p>
    <w:p>
      <w:pPr>
        <w:ind w:left="180" w:right="60" w:firstLine="436"/>
        <w:spacing w:after="0" w:line="257" w:lineRule="auto"/>
        <w:rPr>
          <w:sz w:val="20"/>
          <w:szCs w:val="20"/>
          <w:color w:val="auto"/>
        </w:rPr>
      </w:pPr>
      <w:r>
        <w:rPr>
          <w:rFonts w:ascii="Times New Roman" w:cs="Times New Roman" w:eastAsia="Times New Roman" w:hAnsi="Times New Roman"/>
          <w:sz w:val="18"/>
          <w:szCs w:val="18"/>
          <w:color w:val="auto"/>
        </w:rPr>
        <w:t>As of June 30, 2020, our pro forma net tangible book value (deficit) was $(541) million, or ($1.52) per share. Pro forma net tangible book value per share represents the amount of our total tangible assets reduced by the amount of our total liabilities and divided by the total number of shares of our Class A common stock and Class B common stock outstanding as of June 30, 2020 after giving effect to (i) the Preferred Stock Conversion, (ii) the filing and effectiveness of our amended and restated certificate of incorporation and (iii) the Class B Reclassification.</w:t>
      </w:r>
    </w:p>
    <w:p>
      <w:pPr>
        <w:spacing w:after="0" w:line="182" w:lineRule="exact"/>
        <w:rPr>
          <w:sz w:val="20"/>
          <w:szCs w:val="20"/>
          <w:color w:val="auto"/>
        </w:rPr>
      </w:pPr>
    </w:p>
    <w:p>
      <w:pPr>
        <w:ind w:left="180" w:right="140" w:firstLine="436"/>
        <w:spacing w:after="0" w:line="267" w:lineRule="auto"/>
        <w:rPr>
          <w:sz w:val="20"/>
          <w:szCs w:val="20"/>
          <w:color w:val="auto"/>
        </w:rPr>
      </w:pPr>
      <w:r>
        <w:rPr>
          <w:rFonts w:ascii="Times New Roman" w:cs="Times New Roman" w:eastAsia="Times New Roman" w:hAnsi="Times New Roman"/>
          <w:sz w:val="17"/>
          <w:szCs w:val="17"/>
          <w:color w:val="auto"/>
        </w:rPr>
        <w:t>After giving further effect to (i) our sale of 23,422,727 shares of our Class A common stock in this offering at the assumed initial public offering price of $26.00 per share, which is the midpoint of the price range set forth on the cover page of this prospectus, and after deducting the underwriting discounts and commissions and estimated offering expenses payable by us, (ii) the sale of 3,846,153 shares of our Class A common stock in the private placement at an assumed initial public offering price of $26.00 per share, which is the midpoint of the estimated offering price range set forth on the cover page of this prospectus, and (iii) the issuance of 284,536 shares of our Class A common stock upon the exercise of options by certain selling stockholders in connection with the sale of such shares in this offering, including aggregate proceeds of $1.2 million received by us in connection with the exercise of such options, our pro forma as adjusted net tangible book value as of June 30, 2020 would have been approximately $129.6 million, or $0.34 per share. This represents an immediate increase in pro forma net tangible book value of $1.86 per share to our existing stockholders and an immediate dilution in pro forma net tangible book value of approximately $25.66 per share to new investors purchasing shares of our Class A common stock in this offering and the investor in the private placement at the assumed initial public offering price.</w:t>
      </w:r>
    </w:p>
    <w:p>
      <w:pPr>
        <w:spacing w:after="0" w:line="176" w:lineRule="exact"/>
        <w:rPr>
          <w:sz w:val="20"/>
          <w:szCs w:val="20"/>
          <w:color w:val="auto"/>
        </w:rPr>
      </w:pPr>
    </w:p>
    <w:tbl>
      <w:tblPr>
        <w:tblLayout w:type="fixed"/>
        <w:tblInd w:w="18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9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 to new investors:</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9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 of Class A common stock</w:t>
            </w:r>
          </w:p>
        </w:tc>
        <w:tc>
          <w:tcPr>
            <w:tcW w:w="1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June 30, 2020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 forma increase in net tangible book value (deficit) per share</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(deficit) per share as of June 30, 2020</w:t>
            </w:r>
          </w:p>
        </w:tc>
        <w:tc>
          <w:tcPr>
            <w:tcW w:w="2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4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 purchasing Class A common stock in</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this offering, the investor purchasing Class A common stock in the private placement and the exercise of options by</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certain selling stockholders in connection with this offering</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w:t>
            </w:r>
          </w:p>
        </w:tc>
        <w:tc>
          <w:tcPr>
            <w:tcW w:w="2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pro forma as adjusted net tangible book value per share to new investors in this offering</w:t>
            </w:r>
          </w:p>
        </w:tc>
        <w:tc>
          <w:tcPr>
            <w:tcW w:w="1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80" w:right="160" w:firstLine="436"/>
        <w:spacing w:after="0" w:line="262"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$26.00 per share, which is the midpoint of the price range set forth on the cover page of this prospectus, would increase (decrease) the pro forma as adjusted net tangible book value per share after this offering by $0.06 per share and would increase</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80"/>
          </w:cols>
          <w:pgMar w:left="320" w:top="454" w:right="49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20"/>
        <w:spacing w:after="0" w:line="253" w:lineRule="auto"/>
        <w:rPr>
          <w:sz w:val="20"/>
          <w:szCs w:val="20"/>
          <w:color w:val="auto"/>
        </w:rPr>
      </w:pPr>
      <w:r>
        <w:rPr>
          <w:rFonts w:ascii="Times New Roman" w:cs="Times New Roman" w:eastAsia="Times New Roman" w:hAnsi="Times New Roman"/>
          <w:sz w:val="18"/>
          <w:szCs w:val="18"/>
          <w:color w:val="auto"/>
        </w:rPr>
        <w:t>(decrease) the dilution per share to new investors in this offering by $0.94 per share, assuming that the number of shares offered by us, as set forth on the cover page of this prospectus, remains the same and after deducting the underwriting discounts and commissions and estimated offering expenses payable by us. An increase (decrease) of 1.0 million shares in the number of shares offered by us would increase (decrease) our pro forma as adjusted net tangible book value per share after this offering by $0.06 per share and would increase (decrease) the dilution per share to new investors in this offering by $(0.06) per share, assuming the assumed initial public offering price remains the same, and after deducting the underwriting discounts and commissions and the estimated offering expenses payable by us.</w:t>
      </w:r>
    </w:p>
    <w:p>
      <w:pPr>
        <w:spacing w:after="0" w:line="187" w:lineRule="exact"/>
        <w:rPr>
          <w:sz w:val="20"/>
          <w:szCs w:val="20"/>
          <w:color w:val="auto"/>
        </w:rPr>
      </w:pPr>
    </w:p>
    <w:p>
      <w:pPr>
        <w:ind w:left="180" w:right="160" w:firstLine="436"/>
        <w:spacing w:after="0" w:line="253" w:lineRule="auto"/>
        <w:rPr>
          <w:sz w:val="20"/>
          <w:szCs w:val="20"/>
          <w:color w:val="auto"/>
        </w:rPr>
      </w:pPr>
      <w:r>
        <w:rPr>
          <w:rFonts w:ascii="Times New Roman" w:cs="Times New Roman" w:eastAsia="Times New Roman" w:hAnsi="Times New Roman"/>
          <w:sz w:val="18"/>
          <w:szCs w:val="18"/>
          <w:color w:val="auto"/>
        </w:rPr>
        <w:t>The following table summarizes, on a pro forma as adjusted basis as of June 30, 2020, after giving effect to the pro forma adjustments described above and the private placement, the difference among existing stockholders and new investors purchasing shares of our Class A common stock in this offering with respect to the number of shares purchased from us, the total consideration paid to us and the average price per share paid by our existing stockholders or to be paid by investors purchasing shares in this offering at the assumed initial public offering price of $26.00 per share, which is the midpoint of the price range set forth on the cover page of this prospectus, and before deducting the underwriting discounts and commissions and estimated offering expenses payable by us.</w:t>
      </w: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36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16"/>
        </w:trPr>
        <w:tc>
          <w:tcPr>
            <w:tcW w:w="3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60" w:type="dxa"/>
            <w:vAlign w:val="bottom"/>
            <w:tcBorders>
              <w:top w:val="single" w:sz="8" w:color="auto"/>
            </w:tcBorders>
          </w:tcPr>
          <w:p>
            <w:pPr>
              <w:jc w:val="right"/>
              <w:ind w:right="99"/>
              <w:spacing w:after="0" w:line="116" w:lineRule="exact"/>
              <w:rPr>
                <w:sz w:val="20"/>
                <w:szCs w:val="20"/>
                <w:color w:val="auto"/>
              </w:rPr>
            </w:pPr>
            <w:r>
              <w:rPr>
                <w:rFonts w:ascii="Times New Roman" w:cs="Times New Roman" w:eastAsia="Times New Roman" w:hAnsi="Times New Roman"/>
                <w:sz w:val="13"/>
                <w:szCs w:val="13"/>
                <w:b w:val="1"/>
                <w:bCs w:val="1"/>
                <w:color w:val="auto"/>
              </w:rPr>
              <w:t>Number</w:t>
            </w:r>
          </w:p>
        </w:tc>
        <w:tc>
          <w:tcPr>
            <w:tcW w:w="900" w:type="dxa"/>
            <w:vAlign w:val="bottom"/>
            <w:tcBorders>
              <w:top w:val="single" w:sz="8" w:color="auto"/>
            </w:tcBorders>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6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top w:val="single" w:sz="8" w:color="auto"/>
            </w:tcBorders>
          </w:tcPr>
          <w:p>
            <w:pPr>
              <w:jc w:val="right"/>
              <w:ind w:right="101"/>
              <w:spacing w:after="0" w:line="116" w:lineRule="exact"/>
              <w:rPr>
                <w:sz w:val="20"/>
                <w:szCs w:val="20"/>
                <w:color w:val="auto"/>
              </w:rPr>
            </w:pPr>
            <w:r>
              <w:rPr>
                <w:rFonts w:ascii="Times New Roman" w:cs="Times New Roman" w:eastAsia="Times New Roman" w:hAnsi="Times New Roman"/>
                <w:sz w:val="13"/>
                <w:szCs w:val="13"/>
                <w:b w:val="1"/>
                <w:bCs w:val="1"/>
                <w:color w:val="auto"/>
              </w:rPr>
              <w:t>Amount</w:t>
            </w:r>
          </w:p>
        </w:tc>
        <w:tc>
          <w:tcPr>
            <w:tcW w:w="900" w:type="dxa"/>
            <w:vAlign w:val="bottom"/>
            <w:tcBorders>
              <w:top w:val="single" w:sz="8" w:color="auto"/>
            </w:tcBorders>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6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72"/>
        </w:trPr>
        <w:tc>
          <w:tcPr>
            <w:tcW w:w="3420" w:type="dxa"/>
            <w:vAlign w:val="bottom"/>
          </w:tcPr>
          <w:p>
            <w:pPr>
              <w:spacing w:after="0"/>
              <w:rPr>
                <w:sz w:val="14"/>
                <w:szCs w:val="14"/>
                <w:color w:val="auto"/>
              </w:rPr>
            </w:pP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19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20" w:type="dxa"/>
            <w:vAlign w:val="bottom"/>
            <w:vMerge w:val="continue"/>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356,769</w:t>
            </w:r>
          </w:p>
        </w:tc>
        <w:tc>
          <w:tcPr>
            <w:tcW w:w="44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w:t>
            </w:r>
          </w:p>
        </w:tc>
        <w:tc>
          <w:tcPr>
            <w:tcW w:w="22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973,982</w:t>
            </w:r>
          </w:p>
        </w:tc>
        <w:tc>
          <w:tcPr>
            <w:tcW w:w="44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14"/>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9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608,991</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0"/>
        </w:trPr>
        <w:tc>
          <w:tcPr>
            <w:tcW w:w="34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420" w:type="dxa"/>
            <w:vAlign w:val="bottom"/>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384,038</w:t>
            </w:r>
          </w:p>
        </w:tc>
        <w:tc>
          <w:tcPr>
            <w:tcW w:w="440" w:type="dxa"/>
            <w:vAlign w:val="bottom"/>
            <w:vMerge w:val="continue"/>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1,682,973</w:t>
            </w:r>
          </w:p>
        </w:tc>
        <w:tc>
          <w:tcPr>
            <w:tcW w:w="440" w:type="dxa"/>
            <w:vAlign w:val="bottom"/>
            <w:vMerge w:val="continue"/>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80" w:right="100" w:firstLine="436"/>
        <w:spacing w:after="0" w:line="257"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$26.00 per share, which is the midpoint of the price range set forth on the cover page of this prospectus, would increase (decrease) the total consideration paid by new investors and total consideration paid by all stockholders by $23.4 million, assuming that the number of shares offered by us, as set forth on the cover page of this prospectus, remains the same and after deducting the underwriting discounts and commissions and estimated offering expenses payable by us.</w:t>
      </w:r>
    </w:p>
    <w:p>
      <w:pPr>
        <w:spacing w:after="0" w:line="182" w:lineRule="exact"/>
        <w:rPr>
          <w:sz w:val="20"/>
          <w:szCs w:val="20"/>
          <w:color w:val="auto"/>
        </w:rPr>
      </w:pPr>
    </w:p>
    <w:p>
      <w:pPr>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Sales of shares of our Class A common stock by the selling stockholders in this offering will reduce the total number of shares of Class B common stock held by existing stockholders to 345,576,853 or approximately 90.0% of the total shares of Class A and Class B common stock outstanding after the completion of this offering and the private placement, and will increase the number of Class A shares held by investors to 38,461,537, or approximately 10.0% of the total shares of Class A and Class B common stock outstanding after the completion of this offering and the private placement (or to 34,615,384, or approximately 9.0% of the total shares of Class A and Class B common stock outstanding, excluding the private placement).</w:t>
      </w:r>
    </w:p>
    <w:p>
      <w:pPr>
        <w:spacing w:after="0" w:line="187" w:lineRule="exact"/>
        <w:rPr>
          <w:sz w:val="20"/>
          <w:szCs w:val="20"/>
          <w:color w:val="auto"/>
        </w:rPr>
      </w:pPr>
    </w:p>
    <w:p>
      <w:pPr>
        <w:ind w:left="180" w:right="160" w:firstLine="436"/>
        <w:spacing w:after="0" w:line="285" w:lineRule="auto"/>
        <w:rPr>
          <w:sz w:val="20"/>
          <w:szCs w:val="20"/>
          <w:color w:val="auto"/>
        </w:rPr>
      </w:pPr>
      <w:r>
        <w:rPr>
          <w:rFonts w:ascii="Times New Roman" w:cs="Times New Roman" w:eastAsia="Times New Roman" w:hAnsi="Times New Roman"/>
          <w:sz w:val="17"/>
          <w:szCs w:val="17"/>
          <w:color w:val="auto"/>
        </w:rPr>
        <w:t>The dilution information discussed above is illustrative only and may change based on the actual initial public offering price and other terms of this offering and the private placement. In addition, to the extent we issue any additional stock options or warrants or any outstanding stock options are exercised, if RSUs are settled, or if we issue any other securities or convertible debt in the future, investors will experience further dilution.</w:t>
      </w:r>
    </w:p>
    <w:p>
      <w:pPr>
        <w:spacing w:after="0" w:line="159" w:lineRule="exact"/>
        <w:rPr>
          <w:sz w:val="20"/>
          <w:szCs w:val="20"/>
          <w:color w:val="auto"/>
        </w:rPr>
      </w:pPr>
    </w:p>
    <w:p>
      <w:pPr>
        <w:ind w:left="180" w:right="140" w:firstLine="436"/>
        <w:spacing w:after="0" w:line="257" w:lineRule="auto"/>
        <w:rPr>
          <w:sz w:val="20"/>
          <w:szCs w:val="20"/>
          <w:color w:val="auto"/>
        </w:rPr>
      </w:pPr>
      <w:r>
        <w:rPr>
          <w:rFonts w:ascii="Times New Roman" w:cs="Times New Roman" w:eastAsia="Times New Roman" w:hAnsi="Times New Roman"/>
          <w:sz w:val="18"/>
          <w:szCs w:val="18"/>
          <w:color w:val="auto"/>
        </w:rPr>
        <w:t>The number of shares of our Class A common stock and Class B common stock to be outstanding after this offering and the private placement is based on no shares of our Class A common stock and 356,484,974 shares of our Class B common stock outstanding, in each case, as of June 30, 2020 and reflects the Preferred Stock Conversion and the Class B Reclassification, as well as 284,536 shares of Class A common stock to be issued upon the exercise of options by certain selling stockholders in connection with the sale of such shares in this offering, and does not include:</w:t>
      </w:r>
    </w:p>
    <w:p>
      <w:pPr>
        <w:spacing w:after="0" w:line="89" w:lineRule="exact"/>
        <w:rPr>
          <w:sz w:val="20"/>
          <w:szCs w:val="20"/>
          <w:color w:val="auto"/>
        </w:rPr>
      </w:pPr>
    </w:p>
    <w:p>
      <w:pPr>
        <w:ind w:left="1140" w:right="520" w:hanging="432"/>
        <w:spacing w:after="0" w:line="277"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1,075,000 shares of our Class A common stock reserved for issuance to fund and support our philanthropic initiatives through GoodRxHelps;</w:t>
      </w:r>
    </w:p>
    <w:p>
      <w:pPr>
        <w:spacing w:after="0" w:line="96"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w:t>
      </w:r>
    </w:p>
    <w:p>
      <w:pPr>
        <w:sectPr>
          <w:pgSz w:w="11900" w:h="16838" w:orient="portrait"/>
          <w:cols w:equalWidth="0" w:num="1">
            <w:col w:w="11080"/>
          </w:cols>
          <w:pgMar w:left="320" w:top="454" w:right="49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140" w:right="80" w:hanging="432"/>
        <w:spacing w:after="0" w:line="26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24,041,027 shares of our Class A common stock issuable upon the exercise of outstanding options under our 2015 Plan as of June 30, 2020, at a weighted-average exercise price of $4.81 per share, except for 284,536 shares to be issued upon exercise of options by certain selling stockholders in connection with the sale of such shares in this offering;</w:t>
      </w:r>
    </w:p>
    <w:p>
      <w:pPr>
        <w:spacing w:after="0" w:line="83" w:lineRule="exact"/>
        <w:rPr>
          <w:rFonts w:ascii="Times New Roman" w:cs="Times New Roman" w:eastAsia="Times New Roman" w:hAnsi="Times New Roman"/>
          <w:sz w:val="18"/>
          <w:szCs w:val="18"/>
          <w:color w:val="auto"/>
        </w:rPr>
      </w:pPr>
    </w:p>
    <w:p>
      <w:pPr>
        <w:ind w:left="1140" w:right="280" w:hanging="432"/>
        <w:spacing w:after="0" w:line="277"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1,101,817 shares of Class A common stock available for issuance under our 2015 Plan as of June 30, 2020, which shares will become available for issuance under our 2020 Plan at the time the 2020 Plan becomes effective;</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24,633,066 shares of our Class B common stock issuable in connection with the vesting of the Founders Awards;</w:t>
      </w:r>
    </w:p>
    <w:p>
      <w:pPr>
        <w:spacing w:after="0" w:line="126" w:lineRule="exact"/>
        <w:rPr>
          <w:rFonts w:ascii="Times New Roman" w:cs="Times New Roman" w:eastAsia="Times New Roman" w:hAnsi="Times New Roman"/>
          <w:sz w:val="18"/>
          <w:szCs w:val="18"/>
          <w:color w:val="auto"/>
        </w:rPr>
      </w:pPr>
    </w:p>
    <w:p>
      <w:pPr>
        <w:ind w:left="1140" w:right="260" w:hanging="432"/>
        <w:spacing w:after="0" w:line="277"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881,250 shares of our Class A common stock issuable upon the exercise of the IPO Options, with an exercise price equal to the initial public offering price;</w:t>
      </w:r>
    </w:p>
    <w:p>
      <w:pPr>
        <w:spacing w:after="0" w:line="69" w:lineRule="exact"/>
        <w:rPr>
          <w:rFonts w:ascii="Times New Roman" w:cs="Times New Roman" w:eastAsia="Times New Roman" w:hAnsi="Times New Roman"/>
          <w:sz w:val="18"/>
          <w:szCs w:val="18"/>
          <w:color w:val="auto"/>
        </w:rPr>
      </w:pPr>
    </w:p>
    <w:p>
      <w:pPr>
        <w:ind w:left="1140" w:right="40" w:hanging="432"/>
        <w:spacing w:after="0" w:line="26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38,461 shares of our Class A common stock, based on an assumed initial public offering price of $26.00 per share, which is the midpoint of the estimated offering price range set forth on the cover page of this prospectus, issuable upon the vesting of the Acquisition RSUs granted under our 2020 Plan;</w:t>
      </w:r>
    </w:p>
    <w:p>
      <w:pPr>
        <w:spacing w:after="0" w:line="83"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917,750 shares of our Class A common stock issuable upon the vesting of IPO RSUs granted under our 2020 Plan; and</w:t>
      </w:r>
    </w:p>
    <w:p>
      <w:pPr>
        <w:spacing w:after="0" w:line="126" w:lineRule="exact"/>
        <w:rPr>
          <w:rFonts w:ascii="Times New Roman" w:cs="Times New Roman" w:eastAsia="Times New Roman" w:hAnsi="Times New Roman"/>
          <w:sz w:val="18"/>
          <w:szCs w:val="18"/>
          <w:color w:val="auto"/>
        </w:rPr>
      </w:pPr>
    </w:p>
    <w:p>
      <w:pPr>
        <w:ind w:left="1140" w:hanging="432"/>
        <w:spacing w:after="0" w:line="274" w:lineRule="auto"/>
        <w:tabs>
          <w:tab w:leader="none" w:pos="11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68,633,066 shares of our Class A common stock and Class B common stock that will become available for future issuance under our new equity compensation plans, consisting of (1) 59,633,066 shares of our Class A common stock and Class B common stock under our</w:t>
      </w:r>
    </w:p>
    <w:p>
      <w:pPr>
        <w:ind w:left="1140" w:right="60"/>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2020 Plan, which will become effective in connection with the completion of this offering (which number includes the Founders Awards and the IPO Awards and excludes any potential annual evergreen increases pursuant to the terms of the 2020 Plan); and</w:t>
      </w:r>
    </w:p>
    <w:p>
      <w:pPr>
        <w:spacing w:after="0" w:line="1" w:lineRule="exact"/>
        <w:rPr>
          <w:rFonts w:ascii="Times New Roman" w:cs="Times New Roman" w:eastAsia="Times New Roman" w:hAnsi="Times New Roman"/>
          <w:sz w:val="17"/>
          <w:szCs w:val="17"/>
          <w:color w:val="auto"/>
        </w:rPr>
      </w:pPr>
    </w:p>
    <w:p>
      <w:pPr>
        <w:ind w:left="1140" w:right="80" w:hanging="4"/>
        <w:spacing w:after="0" w:line="255" w:lineRule="auto"/>
        <w:tabs>
          <w:tab w:leader="none" w:pos="139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9,000,000 shares of our Class A common stock under our ESPP, which will become effective in connection with this offering (which number does not include any potential annual evergreen increases pursuant to the terms of the ESPP).</w:t>
      </w:r>
    </w:p>
    <w:p>
      <w:pPr>
        <w:spacing w:after="0" w:line="115"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79 -</w:t>
      </w:r>
    </w:p>
    <w:p>
      <w:pPr>
        <w:sectPr>
          <w:pgSz w:w="11900" w:h="16838" w:orient="portrait"/>
          <w:cols w:equalWidth="0" w:num="1">
            <w:col w:w="10920"/>
          </w:cols>
          <w:pgMar w:left="320" w:top="454" w:right="6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SELECTED CONSOLIDATED FINANCIAL AND OPERATING DATA</w:t>
      </w:r>
    </w:p>
    <w:p>
      <w:pPr>
        <w:spacing w:after="0" w:line="118" w:lineRule="exact"/>
        <w:rPr>
          <w:sz w:val="20"/>
          <w:szCs w:val="20"/>
          <w:color w:val="auto"/>
        </w:rPr>
      </w:pPr>
    </w:p>
    <w:p>
      <w:pPr>
        <w:ind w:left="180" w:right="60" w:firstLine="436"/>
        <w:spacing w:after="0" w:line="250" w:lineRule="auto"/>
        <w:rPr>
          <w:sz w:val="20"/>
          <w:szCs w:val="20"/>
          <w:color w:val="auto"/>
        </w:rPr>
      </w:pPr>
      <w:r>
        <w:rPr>
          <w:rFonts w:ascii="Times New Roman" w:cs="Times New Roman" w:eastAsia="Times New Roman" w:hAnsi="Times New Roman"/>
          <w:sz w:val="18"/>
          <w:szCs w:val="18"/>
          <w:color w:val="auto"/>
        </w:rPr>
        <w:t>The following tables present our selected financial and operating data for the periods and as of the dates indicated. We derived our selected consolidated statement of operations data for the years ended December 31, 2018 and 2019 and our selected consolidated balance sheet data as of December 31, 2018 and 2019 from our audited consolidated financial statements included elsewhere in this prospectus. We derived our selected consolidated statement of operations data for the years ended December 31, 2016 and 2017 and our selected consolidated balance sheet data as of December 31, 2016 and 2017 from our unaudited consolidated financial statements that are not included in this prospectus. We derived our selected consolidated statement of operations data for the six months ended June 30, 2019 and 2020 and the balance sheet data as of June 30, 2020 from our unaudited interim condensed consolidated financial statements included elsewhere in this prospectus. In our opinion, the unaudited interim financial statements have been prepared on a basis consistent with our audited financial statements and contain all adjustments, consisting only of normal and recurring adjustments, necessary for a fair statement of such interim financial statements. Our historical results are not necessarily indicative of the results to be expected in the future and our operating results for the six months ended June 30, 2020 are not necessarily indicative of the results that may be expected for the year ending December 31, 2020 or any other interim periods or any future year or period. You should read the following information in conjunction with the section titled “Management’s Discussion and Analysis of Financial Condition and Results of Operations” and our consolidated financial statements and the accompanying notes thereto included elsewhere in this prospectus.</w:t>
      </w:r>
    </w:p>
    <w:p>
      <w:pPr>
        <w:spacing w:after="0" w:line="2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p>
      <w:pPr>
        <w:spacing w:after="0" w:line="23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6"/>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1"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1"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10"/>
          </w:tcPr>
          <w:p>
            <w:pPr>
              <w:jc w:val="right"/>
              <w:ind w:right="17"/>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99,377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157,240</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249,522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388,224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173,223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256,703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8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xml:space="preserve">presented separately below </w:t>
            </w:r>
            <w:r>
              <w:rPr>
                <w:rFonts w:ascii="Times New Roman" w:cs="Times New Roman" w:eastAsia="Times New Roman" w:hAnsi="Times New Roman"/>
                <w:sz w:val="15"/>
                <w:szCs w:val="15"/>
                <w:color w:val="auto"/>
              </w:rPr>
              <w:t>(1) (2)</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14,016</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Product development and technology </w:t>
            </w:r>
            <w:r>
              <w:rPr>
                <w:rFonts w:ascii="Times New Roman" w:cs="Times New Roman" w:eastAsia="Times New Roman" w:hAnsi="Times New Roman"/>
                <w:sz w:val="15"/>
                <w:szCs w:val="15"/>
                <w:color w:val="auto"/>
              </w:rPr>
              <w:t>(1) (2)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15"/>
                <w:szCs w:val="15"/>
                <w:color w:val="auto"/>
              </w:rPr>
              <w:t>(1) (2)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60,503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104,177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176,967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115,082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15"/>
                <w:szCs w:val="15"/>
                <w:color w:val="auto"/>
              </w:rPr>
              <w:t>(1) (2)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80,602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106,935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172,271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248,548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107,158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171,297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18,775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139,676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15,101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(15,427)</w:t>
            </w:r>
          </w:p>
        </w:tc>
        <w:tc>
          <w:tcPr>
            <w:tcW w:w="0" w:type="dxa"/>
            <w:vAlign w:val="bottom"/>
          </w:tcPr>
          <w:p>
            <w:pPr>
              <w:spacing w:after="0"/>
              <w:rPr>
                <w:sz w:val="1"/>
                <w:szCs w:val="1"/>
                <w:color w:val="auto"/>
              </w:rPr>
            </w:pPr>
          </w:p>
        </w:tc>
      </w:tr>
      <w:tr>
        <w:trPr>
          <w:trHeight w:val="22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Net (loss) income attributable to common stockholders </w:t>
            </w:r>
            <w:r>
              <w:rPr>
                <w:rFonts w:ascii="Times New Roman" w:cs="Times New Roman" w:eastAsia="Times New Roman" w:hAnsi="Times New Roman"/>
                <w:sz w:val="15"/>
                <w:szCs w:val="15"/>
                <w:color w:val="auto"/>
              </w:rPr>
              <w:t>(3)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(7,774)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8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3" w:right="49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4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1"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1" w:lineRule="exact"/>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9"/>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80" w:type="dxa"/>
            <w:vAlign w:val="bottom"/>
            <w:gridSpan w:val="8"/>
          </w:tcPr>
          <w:p>
            <w:pPr>
              <w:ind w:left="14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(Loss) earnings per share </w:t>
            </w:r>
            <w:r>
              <w:rPr>
                <w:rFonts w:ascii="Times New Roman" w:cs="Times New Roman" w:eastAsia="Times New Roman" w:hAnsi="Times New Roman"/>
                <w:sz w:val="15"/>
                <w:szCs w:val="15"/>
                <w:color w:val="auto"/>
              </w:rPr>
              <w:t>(3)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09</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(loss) earnings per</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share </w:t>
            </w:r>
            <w:r>
              <w:rPr>
                <w:rFonts w:ascii="Times New Roman" w:cs="Times New Roman" w:eastAsia="Times New Roman" w:hAnsi="Times New Roman"/>
                <w:sz w:val="15"/>
                <w:szCs w:val="15"/>
                <w:color w:val="auto"/>
              </w:rPr>
              <w:t>(3)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73,151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77,109</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111,842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226,607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225,841</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230,020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73,151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81,747</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118,344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231,209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229,974</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236,557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Pro forma earnings per share </w:t>
            </w:r>
            <w:r>
              <w:rPr>
                <w:rFonts w:ascii="Times New Roman" w:cs="Times New Roman" w:eastAsia="Times New Roman" w:hAnsi="Times New Roman"/>
                <w:sz w:val="15"/>
                <w:szCs w:val="15"/>
                <w:color w:val="auto"/>
              </w:rPr>
              <w:t>(3)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pro forma earnings per</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share </w:t>
            </w:r>
            <w:r>
              <w:rPr>
                <w:rFonts w:ascii="Times New Roman" w:cs="Times New Roman" w:eastAsia="Times New Roman" w:hAnsi="Times New Roman"/>
                <w:sz w:val="15"/>
                <w:szCs w:val="15"/>
                <w:color w:val="auto"/>
              </w:rPr>
              <w:t>(3)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352,653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356,066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357,255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362,603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8" w:lineRule="exact"/>
        <w:rPr>
          <w:sz w:val="20"/>
          <w:szCs w:val="20"/>
          <w:color w:val="auto"/>
        </w:rPr>
      </w:pPr>
    </w:p>
    <w:p>
      <w:pPr>
        <w:ind w:left="600" w:hanging="426"/>
        <w:spacing w:after="0"/>
        <w:tabs>
          <w:tab w:leader="none" w:pos="60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Includes stock-based compensation expense as follows:</w:t>
      </w:r>
    </w:p>
    <w:p>
      <w:pPr>
        <w:spacing w:after="0" w:line="210"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7"/>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
              <w:spacing w:after="0" w:line="141" w:lineRule="exact"/>
              <w:rPr>
                <w:sz w:val="20"/>
                <w:szCs w:val="20"/>
                <w:color w:val="auto"/>
              </w:rPr>
            </w:pPr>
            <w:r>
              <w:rPr>
                <w:rFonts w:ascii="Times New Roman" w:cs="Times New Roman" w:eastAsia="Times New Roman" w:hAnsi="Times New Roman"/>
                <w:sz w:val="14"/>
                <w:szCs w:val="14"/>
                <w:b w:val="1"/>
                <w:bCs w:val="1"/>
                <w:color w:val="auto"/>
                <w:w w:val="92"/>
              </w:rPr>
              <w:t>2016</w:t>
            </w:r>
          </w:p>
        </w:tc>
        <w:tc>
          <w:tcPr>
            <w:tcW w:w="780" w:type="dxa"/>
            <w:vAlign w:val="bottom"/>
            <w:tcBorders>
              <w:bottom w:val="single" w:sz="8" w:color="auto"/>
            </w:tcBorders>
            <w:gridSpan w:val="3"/>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2017</w:t>
            </w:r>
          </w:p>
        </w:tc>
        <w:tc>
          <w:tcPr>
            <w:tcW w:w="780" w:type="dxa"/>
            <w:vAlign w:val="bottom"/>
            <w:tcBorders>
              <w:bottom w:val="single" w:sz="8" w:color="auto"/>
            </w:tcBorders>
            <w:gridSpan w:val="3"/>
          </w:tcPr>
          <w:p>
            <w:pPr>
              <w:jc w:val="right"/>
              <w:ind w:right="1"/>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3"/>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3"/>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1"/>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5"/>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Product development and technology</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1,150</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1,278</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1,048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1,775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1,268</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3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2,002</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2,150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1,762</w:t>
            </w:r>
          </w:p>
        </w:tc>
        <w:tc>
          <w:tcPr>
            <w:tcW w:w="2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3,747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600" w:hanging="426"/>
        <w:spacing w:after="0"/>
        <w:tabs>
          <w:tab w:leader="none" w:pos="60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Includes expense for cash bonuses to vested option holders as follows:</w:t>
      </w:r>
    </w:p>
    <w:p>
      <w:pPr>
        <w:spacing w:after="0" w:line="210"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gridSpan w:val="7"/>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1"/>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2"/>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5"/>
          </w:tcPr>
          <w:p>
            <w:pPr>
              <w:ind w:left="28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Product development and technology</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29,189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vested option holder bonuses</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38,800</w:t>
            </w: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600" w:right="40" w:hanging="426"/>
        <w:spacing w:after="0" w:line="233" w:lineRule="auto"/>
        <w:tabs>
          <w:tab w:leader="none" w:pos="60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See Notes 2 and 16 to our audited consolidated financial statements included elsewhere in this prospectus for an explanation of the calculations of our earnings per share, basic and diluted, and pro forma earnings per share stockholders, basic and diluted, for the years ended December 31, 2018 and 2019. See Notes 2 and 9 to our unaudited interim condensed consolidated financial statements included elsewhere in this prospectus for an explanation of the calculations of earnings per share, basic and diluted, and pro forma earnings per share, basic and diluted, for the six months ended June 30, 2019 and 2020.</w:t>
      </w:r>
    </w:p>
    <w:p>
      <w:pPr>
        <w:spacing w:after="0" w:line="113" w:lineRule="exact"/>
        <w:rPr>
          <w:rFonts w:ascii="Times New Roman" w:cs="Times New Roman" w:eastAsia="Times New Roman" w:hAnsi="Times New Roman"/>
          <w:sz w:val="12"/>
          <w:szCs w:val="12"/>
          <w:color w:val="auto"/>
        </w:rPr>
      </w:pPr>
    </w:p>
    <w:p>
      <w:pPr>
        <w:ind w:left="5540" w:hanging="109"/>
        <w:spacing w:after="0"/>
        <w:tabs>
          <w:tab w:leader="none" w:pos="5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w:t>
      </w:r>
    </w:p>
    <w:p>
      <w:pPr>
        <w:sectPr>
          <w:pgSz w:w="11900" w:h="16838" w:orient="portrait"/>
          <w:cols w:equalWidth="0" w:num="1">
            <w:col w:w="11080"/>
          </w:cols>
          <w:pgMar w:left="320" w:top="454" w:right="49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p>
      <w:pPr>
        <w:spacing w:after="0" w:line="12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540" w:type="dxa"/>
            <w:vAlign w:val="bottom"/>
            <w:gridSpan w:val="3"/>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As of June 30,</w:t>
            </w:r>
          </w:p>
        </w:tc>
      </w:tr>
      <w:tr>
        <w:trPr>
          <w:trHeight w:val="140"/>
        </w:trPr>
        <w:tc>
          <w:tcPr>
            <w:tcW w:w="4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69"/>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2016 </w:t>
            </w:r>
            <w:r>
              <w:rPr>
                <w:rFonts w:ascii="Times New Roman" w:cs="Times New Roman" w:eastAsia="Times New Roman" w:hAnsi="Times New Roman"/>
                <w:sz w:val="12"/>
                <w:szCs w:val="12"/>
                <w:b w:val="1"/>
                <w:bCs w:val="1"/>
                <w:color w:val="auto"/>
              </w:rPr>
              <w:t>(1)</w:t>
            </w:r>
          </w:p>
        </w:tc>
        <w:tc>
          <w:tcPr>
            <w:tcW w:w="1180" w:type="dxa"/>
            <w:vAlign w:val="bottom"/>
            <w:tcBorders>
              <w:top w:val="single" w:sz="8" w:color="auto"/>
              <w:bottom w:val="single" w:sz="8" w:color="auto"/>
            </w:tcBorders>
          </w:tcPr>
          <w:p>
            <w:pPr>
              <w:jc w:val="right"/>
              <w:ind w:right="316"/>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2017 </w:t>
            </w:r>
            <w:r>
              <w:rPr>
                <w:rFonts w:ascii="Times New Roman" w:cs="Times New Roman" w:eastAsia="Times New Roman" w:hAnsi="Times New Roman"/>
                <w:sz w:val="12"/>
                <w:szCs w:val="12"/>
                <w:b w:val="1"/>
                <w:bCs w:val="1"/>
                <w:color w:val="auto"/>
              </w:rPr>
              <w:t>(1)</w:t>
            </w: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2018 </w:t>
            </w:r>
            <w:r>
              <w:rPr>
                <w:rFonts w:ascii="Times New Roman" w:cs="Times New Roman" w:eastAsia="Times New Roman" w:hAnsi="Times New Roman"/>
                <w:sz w:val="12"/>
                <w:szCs w:val="12"/>
                <w:b w:val="1"/>
                <w:bCs w:val="1"/>
                <w:color w:val="auto"/>
              </w:rPr>
              <w:t>(1)</w:t>
            </w:r>
          </w:p>
        </w:tc>
        <w:tc>
          <w:tcPr>
            <w:tcW w:w="3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29"/>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r>
      <w:tr>
        <w:trPr>
          <w:trHeight w:val="140"/>
        </w:trPr>
        <w:tc>
          <w:tcPr>
            <w:tcW w:w="4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540" w:type="dxa"/>
            <w:vAlign w:val="bottom"/>
            <w:gridSpan w:val="3"/>
          </w:tcPr>
          <w:p>
            <w:pPr>
              <w:jc w:val="right"/>
              <w:ind w:right="653"/>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3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8"/>
                <w:szCs w:val="18"/>
                <w:color w:val="auto"/>
              </w:rPr>
              <w:t>$ 23,613</w:t>
            </w:r>
          </w:p>
        </w:tc>
        <w:tc>
          <w:tcPr>
            <w:tcW w:w="11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$ 17,539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34,600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126,625</w:t>
            </w:r>
          </w:p>
        </w:tc>
        <w:tc>
          <w:tcPr>
            <w:tcW w:w="100" w:type="dxa"/>
            <w:vAlign w:val="bottom"/>
            <w:shd w:val="clear" w:color="auto" w:fill="CCEEFF"/>
          </w:tcPr>
          <w:p>
            <w:pPr>
              <w:spacing w:after="0"/>
              <w:rPr>
                <w:sz w:val="18"/>
                <w:szCs w:val="18"/>
                <w:color w:val="auto"/>
              </w:rPr>
            </w:pPr>
          </w:p>
        </w:tc>
      </w:tr>
      <w:tr>
        <w:trPr>
          <w:trHeight w:val="21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380" w:type="dxa"/>
            <w:vAlign w:val="bottom"/>
            <w:gridSpan w:val="2"/>
          </w:tcPr>
          <w:p>
            <w:pPr>
              <w:jc w:val="right"/>
              <w:ind w:right="149"/>
              <w:spacing w:after="0"/>
              <w:rPr>
                <w:sz w:val="20"/>
                <w:szCs w:val="20"/>
                <w:color w:val="auto"/>
              </w:rPr>
            </w:pPr>
            <w:r>
              <w:rPr>
                <w:rFonts w:ascii="Times New Roman" w:cs="Times New Roman" w:eastAsia="Times New Roman" w:hAnsi="Times New Roman"/>
                <w:sz w:val="18"/>
                <w:szCs w:val="18"/>
                <w:color w:val="auto"/>
              </w:rPr>
              <w:t>32,240</w:t>
            </w: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26,110</w:t>
            </w:r>
          </w:p>
        </w:tc>
        <w:tc>
          <w:tcPr>
            <w:tcW w:w="300" w:type="dxa"/>
            <w:vAlign w:val="bottom"/>
          </w:tcPr>
          <w:p>
            <w:pPr>
              <w:spacing w:after="0"/>
              <w:rPr>
                <w:sz w:val="18"/>
                <w:szCs w:val="18"/>
                <w:color w:val="auto"/>
              </w:rPr>
            </w:pP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56,451</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53,209</w:t>
            </w: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140,407</w:t>
            </w:r>
          </w:p>
        </w:tc>
        <w:tc>
          <w:tcPr>
            <w:tcW w:w="100" w:type="dxa"/>
            <w:vAlign w:val="bottom"/>
          </w:tcPr>
          <w:p>
            <w:pPr>
              <w:spacing w:after="0"/>
              <w:rPr>
                <w:sz w:val="18"/>
                <w:szCs w:val="18"/>
                <w:color w:val="auto"/>
              </w:rPr>
            </w:pPr>
          </w:p>
        </w:tc>
      </w:tr>
      <w:tr>
        <w:trPr>
          <w:trHeight w:val="21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8"/>
                <w:szCs w:val="18"/>
                <w:color w:val="auto"/>
              </w:rPr>
              <w:t>295,649</w:t>
            </w:r>
          </w:p>
        </w:tc>
        <w:tc>
          <w:tcPr>
            <w:tcW w:w="11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286,869</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314,791</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386,796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502,433</w:t>
            </w:r>
          </w:p>
        </w:tc>
        <w:tc>
          <w:tcPr>
            <w:tcW w:w="100" w:type="dxa"/>
            <w:vAlign w:val="bottom"/>
            <w:shd w:val="clear" w:color="auto" w:fill="CCEEFF"/>
          </w:tcPr>
          <w:p>
            <w:pPr>
              <w:spacing w:after="0"/>
              <w:rPr>
                <w:sz w:val="18"/>
                <w:szCs w:val="18"/>
                <w:color w:val="auto"/>
              </w:rPr>
            </w:pPr>
          </w:p>
        </w:tc>
      </w:tr>
      <w:tr>
        <w:trPr>
          <w:trHeight w:val="21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debt (including current portion of long-term debt)</w:t>
            </w:r>
          </w:p>
        </w:tc>
        <w:tc>
          <w:tcPr>
            <w:tcW w:w="1380" w:type="dxa"/>
            <w:vAlign w:val="bottom"/>
            <w:gridSpan w:val="2"/>
          </w:tcPr>
          <w:p>
            <w:pPr>
              <w:jc w:val="right"/>
              <w:ind w:right="149"/>
              <w:spacing w:after="0"/>
              <w:rPr>
                <w:sz w:val="20"/>
                <w:szCs w:val="20"/>
                <w:color w:val="auto"/>
              </w:rPr>
            </w:pPr>
            <w:r>
              <w:rPr>
                <w:rFonts w:ascii="Times New Roman" w:cs="Times New Roman" w:eastAsia="Times New Roman" w:hAnsi="Times New Roman"/>
                <w:sz w:val="18"/>
                <w:szCs w:val="18"/>
                <w:color w:val="auto"/>
              </w:rPr>
              <w:t>46,079</w:t>
            </w: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136,007</w:t>
            </w:r>
          </w:p>
        </w:tc>
        <w:tc>
          <w:tcPr>
            <w:tcW w:w="300" w:type="dxa"/>
            <w:vAlign w:val="bottom"/>
          </w:tcPr>
          <w:p>
            <w:pPr>
              <w:spacing w:after="0"/>
              <w:rPr>
                <w:sz w:val="18"/>
                <w:szCs w:val="18"/>
                <w:color w:val="auto"/>
              </w:rPr>
            </w:pP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722,236</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670,922</w:t>
            </w: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696,921</w:t>
            </w:r>
          </w:p>
        </w:tc>
        <w:tc>
          <w:tcPr>
            <w:tcW w:w="100" w:type="dxa"/>
            <w:vAlign w:val="bottom"/>
          </w:tcPr>
          <w:p>
            <w:pPr>
              <w:spacing w:after="0"/>
              <w:rPr>
                <w:sz w:val="18"/>
                <w:szCs w:val="18"/>
                <w:color w:val="auto"/>
              </w:rPr>
            </w:pPr>
          </w:p>
        </w:tc>
      </w:tr>
      <w:tr>
        <w:trPr>
          <w:trHeight w:val="21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3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8"/>
                <w:szCs w:val="18"/>
                <w:color w:val="auto"/>
              </w:rPr>
              <w:t>68,836</w:t>
            </w:r>
          </w:p>
        </w:tc>
        <w:tc>
          <w:tcPr>
            <w:tcW w:w="11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151,845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740,209</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737,369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792,159</w:t>
            </w:r>
          </w:p>
        </w:tc>
        <w:tc>
          <w:tcPr>
            <w:tcW w:w="100" w:type="dxa"/>
            <w:vAlign w:val="bottom"/>
            <w:shd w:val="clear" w:color="auto" w:fill="CCEEFF"/>
          </w:tcPr>
          <w:p>
            <w:pPr>
              <w:spacing w:after="0"/>
              <w:rPr>
                <w:sz w:val="18"/>
                <w:szCs w:val="18"/>
                <w:color w:val="auto"/>
              </w:rPr>
            </w:pPr>
          </w:p>
        </w:tc>
      </w:tr>
      <w:tr>
        <w:trPr>
          <w:trHeight w:val="21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380" w:type="dxa"/>
            <w:vAlign w:val="bottom"/>
            <w:gridSpan w:val="2"/>
          </w:tcPr>
          <w:p>
            <w:pPr>
              <w:jc w:val="right"/>
              <w:ind w:right="149"/>
              <w:spacing w:after="0"/>
              <w:rPr>
                <w:sz w:val="20"/>
                <w:szCs w:val="20"/>
                <w:color w:val="auto"/>
              </w:rPr>
            </w:pPr>
            <w:r>
              <w:rPr>
                <w:rFonts w:ascii="Times New Roman" w:cs="Times New Roman" w:eastAsia="Times New Roman" w:hAnsi="Times New Roman"/>
                <w:sz w:val="18"/>
                <w:szCs w:val="18"/>
                <w:color w:val="auto"/>
              </w:rPr>
              <w:t>166,777</w:t>
            </w: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166,777</w:t>
            </w:r>
          </w:p>
        </w:tc>
        <w:tc>
          <w:tcPr>
            <w:tcW w:w="300" w:type="dxa"/>
            <w:vAlign w:val="bottom"/>
          </w:tcPr>
          <w:p>
            <w:pPr>
              <w:spacing w:after="0"/>
              <w:rPr>
                <w:sz w:val="18"/>
                <w:szCs w:val="18"/>
                <w:color w:val="auto"/>
              </w:rPr>
            </w:pP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737,009</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737,009</w:t>
            </w: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737,009</w:t>
            </w:r>
          </w:p>
        </w:tc>
        <w:tc>
          <w:tcPr>
            <w:tcW w:w="100" w:type="dxa"/>
            <w:vAlign w:val="bottom"/>
          </w:tcPr>
          <w:p>
            <w:pPr>
              <w:spacing w:after="0"/>
              <w:rPr>
                <w:sz w:val="18"/>
                <w:szCs w:val="18"/>
                <w:color w:val="auto"/>
              </w:rPr>
            </w:pPr>
          </w:p>
        </w:tc>
      </w:tr>
      <w:tr>
        <w:trPr>
          <w:trHeight w:val="21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3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8"/>
                <w:szCs w:val="18"/>
                <w:color w:val="auto"/>
              </w:rPr>
              <w:t>8,109</w:t>
            </w: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(86,191)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97"/>
              </w:rPr>
              <w:t>(1,162,878)</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(1,096,830)</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(1,042,147)</w:t>
            </w:r>
          </w:p>
        </w:tc>
      </w:tr>
      <w:tr>
        <w:trPr>
          <w:trHeight w:val="23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Total stockholders’ equity (deficit) </w:t>
            </w:r>
            <w:r>
              <w:rPr>
                <w:rFonts w:ascii="Times New Roman" w:cs="Times New Roman" w:eastAsia="Times New Roman" w:hAnsi="Times New Roman"/>
                <w:sz w:val="15"/>
                <w:szCs w:val="15"/>
                <w:color w:val="auto"/>
              </w:rPr>
              <w:t>(2)</w:t>
            </w:r>
          </w:p>
        </w:tc>
        <w:tc>
          <w:tcPr>
            <w:tcW w:w="1380" w:type="dxa"/>
            <w:vAlign w:val="bottom"/>
            <w:gridSpan w:val="2"/>
          </w:tcPr>
          <w:p>
            <w:pPr>
              <w:jc w:val="right"/>
              <w:ind w:right="149"/>
              <w:spacing w:after="0"/>
              <w:rPr>
                <w:sz w:val="20"/>
                <w:szCs w:val="20"/>
                <w:color w:val="auto"/>
              </w:rPr>
            </w:pPr>
            <w:r>
              <w:rPr>
                <w:rFonts w:ascii="Times New Roman" w:cs="Times New Roman" w:eastAsia="Times New Roman" w:hAnsi="Times New Roman"/>
                <w:sz w:val="18"/>
                <w:szCs w:val="18"/>
                <w:color w:val="auto"/>
              </w:rPr>
              <w:t>60,036</w:t>
            </w: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(31,753)</w:t>
            </w:r>
          </w:p>
        </w:tc>
        <w:tc>
          <w:tcPr>
            <w:tcW w:w="300" w:type="dxa"/>
            <w:vAlign w:val="bottom"/>
          </w:tcPr>
          <w:p>
            <w:pPr>
              <w:spacing w:after="0"/>
              <w:rPr>
                <w:sz w:val="20"/>
                <w:szCs w:val="20"/>
                <w:color w:val="auto"/>
              </w:rPr>
            </w:pP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97"/>
              </w:rPr>
              <w:t>(1,162,427)</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(1,087,582)</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(1,026,735)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73025</wp:posOffset>
            </wp:positionV>
            <wp:extent cx="7550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32" w:lineRule="exact"/>
        <w:rPr>
          <w:sz w:val="20"/>
          <w:szCs w:val="20"/>
          <w:color w:val="auto"/>
        </w:rPr>
      </w:pPr>
    </w:p>
    <w:p>
      <w:pPr>
        <w:jc w:val="both"/>
        <w:ind w:left="600" w:right="200" w:hanging="426"/>
        <w:spacing w:after="0" w:line="216" w:lineRule="auto"/>
        <w:tabs>
          <w:tab w:leader="none" w:pos="600" w:val="left"/>
        </w:tabs>
        <w:numPr>
          <w:ilvl w:val="0"/>
          <w:numId w:val="4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 xml:space="preserve">On January 1, 2019, we adopted Accounting Standards Codification, or ASC,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on a modified retrospective basis. Accordingly, periods prior to 2019 reflect lease accounting under the accounting standards in effect for those periods. See Notes 2 and 10 to our audited consolidated financial statements included elsewhere in this prospectus.</w:t>
      </w:r>
    </w:p>
    <w:p>
      <w:pPr>
        <w:ind w:left="600" w:right="120" w:hanging="426"/>
        <w:spacing w:after="0" w:line="223" w:lineRule="auto"/>
        <w:tabs>
          <w:tab w:leader="none" w:pos="600" w:val="left"/>
        </w:tabs>
        <w:numPr>
          <w:ilvl w:val="0"/>
          <w:numId w:val="4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 October 2018, we paid a special dividend to our stockholders in an aggregate amount of $1,167.1 million, and paid accrued dividends to the holders of our convertible preferred stock of $6.4 million. The dividends were financed with net proceeds from GoodRx, Inc.’s First Lien Term Loan Facility and the Second Lien Term Loan Facility, and cash on hand. See Note 14 to our audited consolidated financial statements included elsewhere in this prospectus for an explanation of the special dividends paid in October 2018.</w:t>
      </w:r>
    </w:p>
    <w:p>
      <w:pPr>
        <w:spacing w:after="0" w:line="3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Key Financial and Operating Metrics</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Monthly Active Consumers</w:t>
      </w:r>
    </w:p>
    <w:p>
      <w:pPr>
        <w:spacing w:after="0" w:line="134" w:lineRule="exact"/>
        <w:rPr>
          <w:sz w:val="20"/>
          <w:szCs w:val="20"/>
          <w:color w:val="auto"/>
        </w:rPr>
      </w:pPr>
    </w:p>
    <w:tbl>
      <w:tblPr>
        <w:tblLayout w:type="fixed"/>
        <w:tblInd w:w="180" w:type="dxa"/>
        <w:tblCellMar>
          <w:top w:w="0" w:type="dxa"/>
          <w:left w:w="0" w:type="dxa"/>
          <w:bottom w:w="0" w:type="dxa"/>
          <w:right w:w="0" w:type="dxa"/>
        </w:tblCellMar>
      </w:tblPr>
      <w:tr>
        <w:trPr>
          <w:trHeight w:val="136"/>
        </w:trPr>
        <w:tc>
          <w:tcPr>
            <w:tcW w:w="1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4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98"/>
        </w:trPr>
        <w:tc>
          <w:tcPr>
            <w:tcW w:w="1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jc w:val="right"/>
              <w:ind w:right="7"/>
              <w:spacing w:after="0" w:line="98" w:lineRule="exact"/>
              <w:rPr>
                <w:sz w:val="20"/>
                <w:szCs w:val="20"/>
                <w:color w:val="auto"/>
              </w:rPr>
            </w:pPr>
            <w:r>
              <w:rPr>
                <w:rFonts w:ascii="Times New Roman" w:cs="Times New Roman" w:eastAsia="Times New Roman" w:hAnsi="Times New Roman"/>
                <w:sz w:val="11"/>
                <w:szCs w:val="11"/>
                <w:b w:val="1"/>
                <w:bCs w:val="1"/>
                <w:color w:val="auto"/>
                <w:w w:val="89"/>
              </w:rPr>
              <w:t>Mar. 31,</w:t>
            </w:r>
          </w:p>
        </w:tc>
        <w:tc>
          <w:tcPr>
            <w:tcW w:w="480" w:type="dxa"/>
            <w:vAlign w:val="bottom"/>
          </w:tcPr>
          <w:p>
            <w:pPr>
              <w:jc w:val="right"/>
              <w:ind w:right="7"/>
              <w:spacing w:after="0" w:line="98" w:lineRule="exact"/>
              <w:rPr>
                <w:sz w:val="20"/>
                <w:szCs w:val="20"/>
                <w:color w:val="auto"/>
              </w:rPr>
            </w:pPr>
            <w:r>
              <w:rPr>
                <w:rFonts w:ascii="Times New Roman" w:cs="Times New Roman" w:eastAsia="Times New Roman" w:hAnsi="Times New Roman"/>
                <w:sz w:val="11"/>
                <w:szCs w:val="11"/>
                <w:b w:val="1"/>
                <w:bCs w:val="1"/>
                <w:color w:val="auto"/>
              </w:rPr>
              <w:t>June 30,</w:t>
            </w:r>
          </w:p>
        </w:tc>
        <w:tc>
          <w:tcPr>
            <w:tcW w:w="520" w:type="dxa"/>
            <w:vAlign w:val="bottom"/>
          </w:tcPr>
          <w:p>
            <w:pPr>
              <w:jc w:val="center"/>
              <w:spacing w:after="0" w:line="98" w:lineRule="exact"/>
              <w:rPr>
                <w:sz w:val="20"/>
                <w:szCs w:val="20"/>
                <w:color w:val="auto"/>
              </w:rPr>
            </w:pPr>
            <w:r>
              <w:rPr>
                <w:rFonts w:ascii="Times New Roman" w:cs="Times New Roman" w:eastAsia="Times New Roman" w:hAnsi="Times New Roman"/>
                <w:sz w:val="11"/>
                <w:szCs w:val="11"/>
                <w:b w:val="1"/>
                <w:bCs w:val="1"/>
                <w:color w:val="auto"/>
                <w:w w:val="99"/>
              </w:rPr>
              <w:t>Sept. 30,</w:t>
            </w:r>
          </w:p>
        </w:tc>
        <w:tc>
          <w:tcPr>
            <w:tcW w:w="460" w:type="dxa"/>
            <w:vAlign w:val="bottom"/>
          </w:tcPr>
          <w:p>
            <w:pPr>
              <w:jc w:val="right"/>
              <w:ind w:right="7"/>
              <w:spacing w:after="0" w:line="98" w:lineRule="exact"/>
              <w:rPr>
                <w:sz w:val="20"/>
                <w:szCs w:val="20"/>
                <w:color w:val="auto"/>
              </w:rPr>
            </w:pPr>
            <w:r>
              <w:rPr>
                <w:rFonts w:ascii="Times New Roman" w:cs="Times New Roman" w:eastAsia="Times New Roman" w:hAnsi="Times New Roman"/>
                <w:sz w:val="11"/>
                <w:szCs w:val="11"/>
                <w:b w:val="1"/>
                <w:bCs w:val="1"/>
                <w:color w:val="auto"/>
              </w:rPr>
              <w:t>Dec. 31,</w:t>
            </w:r>
          </w:p>
        </w:tc>
        <w:tc>
          <w:tcPr>
            <w:tcW w:w="500" w:type="dxa"/>
            <w:vAlign w:val="bottom"/>
          </w:tcPr>
          <w:p>
            <w:pPr>
              <w:jc w:val="right"/>
              <w:ind w:right="7"/>
              <w:spacing w:after="0" w:line="98" w:lineRule="exact"/>
              <w:rPr>
                <w:sz w:val="20"/>
                <w:szCs w:val="20"/>
                <w:color w:val="auto"/>
              </w:rPr>
            </w:pPr>
            <w:r>
              <w:rPr>
                <w:rFonts w:ascii="Times New Roman" w:cs="Times New Roman" w:eastAsia="Times New Roman" w:hAnsi="Times New Roman"/>
                <w:sz w:val="11"/>
                <w:szCs w:val="11"/>
                <w:b w:val="1"/>
                <w:bCs w:val="1"/>
                <w:color w:val="auto"/>
              </w:rPr>
              <w:t>Mar. 31,</w:t>
            </w:r>
          </w:p>
        </w:tc>
        <w:tc>
          <w:tcPr>
            <w:tcW w:w="500" w:type="dxa"/>
            <w:vAlign w:val="bottom"/>
          </w:tcPr>
          <w:p>
            <w:pPr>
              <w:jc w:val="right"/>
              <w:ind w:right="7"/>
              <w:spacing w:after="0" w:line="98" w:lineRule="exact"/>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Pr>
          <w:p>
            <w:pPr>
              <w:jc w:val="center"/>
              <w:spacing w:after="0" w:line="98" w:lineRule="exact"/>
              <w:rPr>
                <w:sz w:val="20"/>
                <w:szCs w:val="20"/>
                <w:color w:val="auto"/>
              </w:rPr>
            </w:pPr>
            <w:r>
              <w:rPr>
                <w:rFonts w:ascii="Times New Roman" w:cs="Times New Roman" w:eastAsia="Times New Roman" w:hAnsi="Times New Roman"/>
                <w:sz w:val="11"/>
                <w:szCs w:val="11"/>
                <w:b w:val="1"/>
                <w:bCs w:val="1"/>
                <w:color w:val="auto"/>
                <w:w w:val="99"/>
              </w:rPr>
              <w:t>Sept. 30,</w:t>
            </w:r>
          </w:p>
        </w:tc>
        <w:tc>
          <w:tcPr>
            <w:tcW w:w="440" w:type="dxa"/>
            <w:vAlign w:val="bottom"/>
          </w:tcPr>
          <w:p>
            <w:pPr>
              <w:jc w:val="right"/>
              <w:spacing w:after="0" w:line="98" w:lineRule="exact"/>
              <w:rPr>
                <w:sz w:val="20"/>
                <w:szCs w:val="20"/>
                <w:color w:val="auto"/>
              </w:rPr>
            </w:pPr>
            <w:r>
              <w:rPr>
                <w:rFonts w:ascii="Times New Roman" w:cs="Times New Roman" w:eastAsia="Times New Roman" w:hAnsi="Times New Roman"/>
                <w:sz w:val="11"/>
                <w:szCs w:val="11"/>
                <w:b w:val="1"/>
                <w:bCs w:val="1"/>
                <w:color w:val="auto"/>
              </w:rPr>
              <w:t>Dec. 31,</w:t>
            </w:r>
          </w:p>
        </w:tc>
        <w:tc>
          <w:tcPr>
            <w:tcW w:w="520" w:type="dxa"/>
            <w:vAlign w:val="bottom"/>
          </w:tcPr>
          <w:p>
            <w:pPr>
              <w:jc w:val="right"/>
              <w:ind w:right="7"/>
              <w:spacing w:after="0" w:line="98" w:lineRule="exact"/>
              <w:rPr>
                <w:sz w:val="20"/>
                <w:szCs w:val="20"/>
                <w:color w:val="auto"/>
              </w:rPr>
            </w:pPr>
            <w:r>
              <w:rPr>
                <w:rFonts w:ascii="Times New Roman" w:cs="Times New Roman" w:eastAsia="Times New Roman" w:hAnsi="Times New Roman"/>
                <w:sz w:val="11"/>
                <w:szCs w:val="11"/>
                <w:b w:val="1"/>
                <w:bCs w:val="1"/>
                <w:color w:val="auto"/>
              </w:rPr>
              <w:t>Mar. 31,</w:t>
            </w:r>
          </w:p>
        </w:tc>
        <w:tc>
          <w:tcPr>
            <w:tcW w:w="520" w:type="dxa"/>
            <w:vAlign w:val="bottom"/>
          </w:tcPr>
          <w:p>
            <w:pPr>
              <w:jc w:val="right"/>
              <w:ind w:right="27"/>
              <w:spacing w:after="0" w:line="98" w:lineRule="exact"/>
              <w:rPr>
                <w:sz w:val="20"/>
                <w:szCs w:val="20"/>
                <w:color w:val="auto"/>
              </w:rPr>
            </w:pPr>
            <w:r>
              <w:rPr>
                <w:rFonts w:ascii="Times New Roman" w:cs="Times New Roman" w:eastAsia="Times New Roman" w:hAnsi="Times New Roman"/>
                <w:sz w:val="11"/>
                <w:szCs w:val="11"/>
                <w:b w:val="1"/>
                <w:bCs w:val="1"/>
                <w:color w:val="auto"/>
              </w:rPr>
              <w:t>June 30,</w:t>
            </w:r>
          </w:p>
        </w:tc>
        <w:tc>
          <w:tcPr>
            <w:tcW w:w="480" w:type="dxa"/>
            <w:vAlign w:val="bottom"/>
          </w:tcPr>
          <w:p>
            <w:pPr>
              <w:jc w:val="center"/>
              <w:spacing w:after="0" w:line="98" w:lineRule="exact"/>
              <w:rPr>
                <w:sz w:val="20"/>
                <w:szCs w:val="20"/>
                <w:color w:val="auto"/>
              </w:rPr>
            </w:pPr>
            <w:r>
              <w:rPr>
                <w:rFonts w:ascii="Times New Roman" w:cs="Times New Roman" w:eastAsia="Times New Roman" w:hAnsi="Times New Roman"/>
                <w:sz w:val="11"/>
                <w:szCs w:val="11"/>
                <w:b w:val="1"/>
                <w:bCs w:val="1"/>
                <w:color w:val="auto"/>
                <w:w w:val="94"/>
              </w:rPr>
              <w:t>Sept. 30,</w:t>
            </w:r>
          </w:p>
        </w:tc>
        <w:tc>
          <w:tcPr>
            <w:tcW w:w="480" w:type="dxa"/>
            <w:vAlign w:val="bottom"/>
          </w:tcPr>
          <w:p>
            <w:pPr>
              <w:jc w:val="right"/>
              <w:ind w:right="7"/>
              <w:spacing w:after="0" w:line="98" w:lineRule="exact"/>
              <w:rPr>
                <w:sz w:val="20"/>
                <w:szCs w:val="20"/>
                <w:color w:val="auto"/>
              </w:rPr>
            </w:pPr>
            <w:r>
              <w:rPr>
                <w:rFonts w:ascii="Times New Roman" w:cs="Times New Roman" w:eastAsia="Times New Roman" w:hAnsi="Times New Roman"/>
                <w:sz w:val="11"/>
                <w:szCs w:val="11"/>
                <w:b w:val="1"/>
                <w:bCs w:val="1"/>
                <w:color w:val="auto"/>
              </w:rPr>
              <w:t>Dec. 31,</w:t>
            </w:r>
          </w:p>
        </w:tc>
        <w:tc>
          <w:tcPr>
            <w:tcW w:w="480" w:type="dxa"/>
            <w:vAlign w:val="bottom"/>
          </w:tcPr>
          <w:p>
            <w:pPr>
              <w:jc w:val="right"/>
              <w:ind w:right="7"/>
              <w:spacing w:after="0" w:line="98" w:lineRule="exact"/>
              <w:rPr>
                <w:sz w:val="20"/>
                <w:szCs w:val="20"/>
                <w:color w:val="auto"/>
              </w:rPr>
            </w:pPr>
            <w:r>
              <w:rPr>
                <w:rFonts w:ascii="Times New Roman" w:cs="Times New Roman" w:eastAsia="Times New Roman" w:hAnsi="Times New Roman"/>
                <w:sz w:val="11"/>
                <w:szCs w:val="11"/>
                <w:b w:val="1"/>
                <w:bCs w:val="1"/>
                <w:color w:val="auto"/>
                <w:w w:val="99"/>
              </w:rPr>
              <w:t>Mar. 31,</w:t>
            </w:r>
          </w:p>
        </w:tc>
        <w:tc>
          <w:tcPr>
            <w:tcW w:w="500" w:type="dxa"/>
            <w:vAlign w:val="bottom"/>
          </w:tcPr>
          <w:p>
            <w:pPr>
              <w:jc w:val="right"/>
              <w:ind w:right="7"/>
              <w:spacing w:after="0" w:line="98" w:lineRule="exact"/>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Pr>
          <w:p>
            <w:pPr>
              <w:jc w:val="center"/>
              <w:spacing w:after="0" w:line="98" w:lineRule="exact"/>
              <w:rPr>
                <w:sz w:val="20"/>
                <w:szCs w:val="20"/>
                <w:color w:val="auto"/>
              </w:rPr>
            </w:pPr>
            <w:r>
              <w:rPr>
                <w:rFonts w:ascii="Times New Roman" w:cs="Times New Roman" w:eastAsia="Times New Roman" w:hAnsi="Times New Roman"/>
                <w:sz w:val="11"/>
                <w:szCs w:val="11"/>
                <w:b w:val="1"/>
                <w:bCs w:val="1"/>
                <w:color w:val="auto"/>
                <w:w w:val="94"/>
              </w:rPr>
              <w:t>Sept. 30,</w:t>
            </w:r>
          </w:p>
        </w:tc>
        <w:tc>
          <w:tcPr>
            <w:tcW w:w="480" w:type="dxa"/>
            <w:vAlign w:val="bottom"/>
          </w:tcPr>
          <w:p>
            <w:pPr>
              <w:jc w:val="right"/>
              <w:ind w:right="7"/>
              <w:spacing w:after="0" w:line="98" w:lineRule="exact"/>
              <w:rPr>
                <w:sz w:val="20"/>
                <w:szCs w:val="20"/>
                <w:color w:val="auto"/>
              </w:rPr>
            </w:pPr>
            <w:r>
              <w:rPr>
                <w:rFonts w:ascii="Times New Roman" w:cs="Times New Roman" w:eastAsia="Times New Roman" w:hAnsi="Times New Roman"/>
                <w:sz w:val="11"/>
                <w:szCs w:val="11"/>
                <w:b w:val="1"/>
                <w:bCs w:val="1"/>
                <w:color w:val="auto"/>
              </w:rPr>
              <w:t>Dec. 31,</w:t>
            </w:r>
          </w:p>
        </w:tc>
        <w:tc>
          <w:tcPr>
            <w:tcW w:w="480" w:type="dxa"/>
            <w:vAlign w:val="bottom"/>
          </w:tcPr>
          <w:p>
            <w:pPr>
              <w:jc w:val="right"/>
              <w:ind w:right="7"/>
              <w:spacing w:after="0" w:line="98" w:lineRule="exact"/>
              <w:rPr>
                <w:sz w:val="20"/>
                <w:szCs w:val="20"/>
                <w:color w:val="auto"/>
              </w:rPr>
            </w:pPr>
            <w:r>
              <w:rPr>
                <w:rFonts w:ascii="Times New Roman" w:cs="Times New Roman" w:eastAsia="Times New Roman" w:hAnsi="Times New Roman"/>
                <w:sz w:val="11"/>
                <w:szCs w:val="11"/>
                <w:b w:val="1"/>
                <w:bCs w:val="1"/>
                <w:color w:val="auto"/>
                <w:w w:val="99"/>
              </w:rPr>
              <w:t>Mar. 31,</w:t>
            </w:r>
          </w:p>
        </w:tc>
        <w:tc>
          <w:tcPr>
            <w:tcW w:w="460" w:type="dxa"/>
            <w:vAlign w:val="bottom"/>
          </w:tcPr>
          <w:p>
            <w:pPr>
              <w:jc w:val="right"/>
              <w:spacing w:after="0" w:line="98" w:lineRule="exact"/>
              <w:rPr>
                <w:sz w:val="20"/>
                <w:szCs w:val="20"/>
                <w:color w:val="auto"/>
              </w:rPr>
            </w:pPr>
            <w:r>
              <w:rPr>
                <w:rFonts w:ascii="Times New Roman" w:cs="Times New Roman" w:eastAsia="Times New Roman" w:hAnsi="Times New Roman"/>
                <w:sz w:val="11"/>
                <w:szCs w:val="11"/>
                <w:b w:val="1"/>
                <w:bCs w:val="1"/>
                <w:color w:val="auto"/>
              </w:rPr>
              <w:t>June 30,</w:t>
            </w:r>
          </w:p>
        </w:tc>
        <w:tc>
          <w:tcPr>
            <w:tcW w:w="20" w:type="dxa"/>
            <w:vAlign w:val="bottom"/>
          </w:tcPr>
          <w:p>
            <w:pPr>
              <w:spacing w:after="0"/>
              <w:rPr>
                <w:sz w:val="8"/>
                <w:szCs w:val="8"/>
                <w:color w:val="auto"/>
              </w:rPr>
            </w:pPr>
          </w:p>
        </w:tc>
      </w:tr>
      <w:tr>
        <w:trPr>
          <w:trHeight w:val="136"/>
        </w:trPr>
        <w:tc>
          <w:tcPr>
            <w:tcW w:w="1720" w:type="dxa"/>
            <w:vAlign w:val="bottom"/>
          </w:tcPr>
          <w:p>
            <w:pPr>
              <w:spacing w:after="0"/>
              <w:rPr>
                <w:sz w:val="11"/>
                <w:szCs w:val="11"/>
                <w:color w:val="auto"/>
              </w:rPr>
            </w:pPr>
          </w:p>
        </w:tc>
        <w:tc>
          <w:tcPr>
            <w:tcW w:w="860" w:type="dxa"/>
            <w:vAlign w:val="bottom"/>
            <w:gridSpan w:val="2"/>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2016</w:t>
            </w:r>
          </w:p>
        </w:tc>
        <w:tc>
          <w:tcPr>
            <w:tcW w:w="48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2016</w:t>
            </w:r>
          </w:p>
        </w:tc>
        <w:tc>
          <w:tcPr>
            <w:tcW w:w="5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2016</w:t>
            </w:r>
          </w:p>
        </w:tc>
        <w:tc>
          <w:tcPr>
            <w:tcW w:w="460" w:type="dxa"/>
            <w:vAlign w:val="bottom"/>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2016</w:t>
            </w:r>
          </w:p>
        </w:tc>
        <w:tc>
          <w:tcPr>
            <w:tcW w:w="5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2017</w:t>
            </w:r>
          </w:p>
        </w:tc>
        <w:tc>
          <w:tcPr>
            <w:tcW w:w="50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2017</w:t>
            </w:r>
          </w:p>
        </w:tc>
        <w:tc>
          <w:tcPr>
            <w:tcW w:w="5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2017</w:t>
            </w:r>
          </w:p>
        </w:tc>
        <w:tc>
          <w:tcPr>
            <w:tcW w:w="440" w:type="dxa"/>
            <w:vAlign w:val="bottom"/>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rPr>
              <w:t>2017</w:t>
            </w:r>
          </w:p>
        </w:tc>
        <w:tc>
          <w:tcPr>
            <w:tcW w:w="52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2018</w:t>
            </w:r>
          </w:p>
        </w:tc>
        <w:tc>
          <w:tcPr>
            <w:tcW w:w="5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2018</w:t>
            </w:r>
          </w:p>
        </w:tc>
        <w:tc>
          <w:tcPr>
            <w:tcW w:w="48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2018</w:t>
            </w:r>
          </w:p>
        </w:tc>
        <w:tc>
          <w:tcPr>
            <w:tcW w:w="48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2018</w:t>
            </w:r>
          </w:p>
        </w:tc>
        <w:tc>
          <w:tcPr>
            <w:tcW w:w="48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2019</w:t>
            </w:r>
          </w:p>
        </w:tc>
        <w:tc>
          <w:tcPr>
            <w:tcW w:w="5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2019</w:t>
            </w:r>
          </w:p>
        </w:tc>
        <w:tc>
          <w:tcPr>
            <w:tcW w:w="5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2019</w:t>
            </w:r>
          </w:p>
        </w:tc>
        <w:tc>
          <w:tcPr>
            <w:tcW w:w="48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2019</w:t>
            </w:r>
          </w:p>
        </w:tc>
        <w:tc>
          <w:tcPr>
            <w:tcW w:w="48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2020</w:t>
            </w:r>
          </w:p>
        </w:tc>
        <w:tc>
          <w:tcPr>
            <w:tcW w:w="460" w:type="dxa"/>
            <w:vAlign w:val="bottom"/>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rPr>
              <w:t>2020</w:t>
            </w:r>
          </w:p>
        </w:tc>
        <w:tc>
          <w:tcPr>
            <w:tcW w:w="20" w:type="dxa"/>
            <w:vAlign w:val="bottom"/>
          </w:tcPr>
          <w:p>
            <w:pPr>
              <w:spacing w:after="0"/>
              <w:rPr>
                <w:sz w:val="11"/>
                <w:szCs w:val="11"/>
                <w:color w:val="auto"/>
              </w:rPr>
            </w:pPr>
          </w:p>
        </w:tc>
      </w:tr>
      <w:tr>
        <w:trPr>
          <w:trHeight w:val="114"/>
        </w:trPr>
        <w:tc>
          <w:tcPr>
            <w:tcW w:w="1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2"/>
          </w:tcPr>
          <w:p>
            <w:pPr>
              <w:jc w:val="right"/>
              <w:ind w:right="147"/>
              <w:spacing w:after="0" w:line="114"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4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20"/>
        </w:trPr>
        <w:tc>
          <w:tcPr>
            <w:tcW w:w="172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Monthly Active Consumers</w:t>
            </w:r>
            <w:r>
              <w:rPr>
                <w:rFonts w:ascii="Times New Roman" w:cs="Times New Roman" w:eastAsia="Times New Roman" w:hAnsi="Times New Roman"/>
                <w:sz w:val="9"/>
                <w:szCs w:val="9"/>
                <w:color w:val="auto"/>
              </w:rPr>
              <w:t>(1)</w:t>
            </w:r>
          </w:p>
        </w:tc>
        <w:tc>
          <w:tcPr>
            <w:tcW w:w="860" w:type="dxa"/>
            <w:vAlign w:val="bottom"/>
            <w:gridSpan w:val="2"/>
            <w:shd w:val="clear" w:color="auto" w:fill="CCEEFF"/>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718</w:t>
            </w:r>
          </w:p>
        </w:tc>
        <w:tc>
          <w:tcPr>
            <w:tcW w:w="4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852</w:t>
            </w:r>
          </w:p>
        </w:tc>
        <w:tc>
          <w:tcPr>
            <w:tcW w:w="520" w:type="dxa"/>
            <w:vAlign w:val="bottom"/>
            <w:shd w:val="clear" w:color="auto" w:fill="CCEEFF"/>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981</w:t>
            </w:r>
          </w:p>
        </w:tc>
        <w:tc>
          <w:tcPr>
            <w:tcW w:w="460" w:type="dxa"/>
            <w:vAlign w:val="bottom"/>
            <w:shd w:val="clear" w:color="auto" w:fill="CCEEFF"/>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1,138</w:t>
            </w:r>
          </w:p>
        </w:tc>
        <w:tc>
          <w:tcPr>
            <w:tcW w:w="500" w:type="dxa"/>
            <w:vAlign w:val="bottom"/>
            <w:shd w:val="clear" w:color="auto" w:fill="CCEEFF"/>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1,279</w:t>
            </w:r>
          </w:p>
        </w:tc>
        <w:tc>
          <w:tcPr>
            <w:tcW w:w="500" w:type="dxa"/>
            <w:vAlign w:val="bottom"/>
            <w:shd w:val="clear" w:color="auto" w:fill="CCEEFF"/>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1,309</w:t>
            </w:r>
          </w:p>
        </w:tc>
        <w:tc>
          <w:tcPr>
            <w:tcW w:w="500" w:type="dxa"/>
            <w:vAlign w:val="bottom"/>
            <w:shd w:val="clear" w:color="auto" w:fill="CCEEFF"/>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1,455</w:t>
            </w:r>
          </w:p>
        </w:tc>
        <w:tc>
          <w:tcPr>
            <w:tcW w:w="4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1,710</w:t>
            </w:r>
          </w:p>
        </w:tc>
        <w:tc>
          <w:tcPr>
            <w:tcW w:w="520" w:type="dxa"/>
            <w:vAlign w:val="bottom"/>
            <w:shd w:val="clear" w:color="auto" w:fill="CCEEFF"/>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2,020</w:t>
            </w:r>
          </w:p>
        </w:tc>
        <w:tc>
          <w:tcPr>
            <w:tcW w:w="520" w:type="dxa"/>
            <w:vAlign w:val="bottom"/>
            <w:shd w:val="clear" w:color="auto" w:fill="CCEEFF"/>
          </w:tcPr>
          <w:p>
            <w:pPr>
              <w:jc w:val="right"/>
              <w:ind w:right="27"/>
              <w:spacing w:after="0" w:line="121" w:lineRule="exact"/>
              <w:rPr>
                <w:sz w:val="20"/>
                <w:szCs w:val="20"/>
                <w:color w:val="auto"/>
              </w:rPr>
            </w:pPr>
            <w:r>
              <w:rPr>
                <w:rFonts w:ascii="Times New Roman" w:cs="Times New Roman" w:eastAsia="Times New Roman" w:hAnsi="Times New Roman"/>
                <w:sz w:val="11"/>
                <w:szCs w:val="11"/>
                <w:color w:val="auto"/>
              </w:rPr>
              <w:t>2,170</w:t>
            </w:r>
          </w:p>
        </w:tc>
        <w:tc>
          <w:tcPr>
            <w:tcW w:w="480" w:type="dxa"/>
            <w:vAlign w:val="bottom"/>
            <w:shd w:val="clear" w:color="auto" w:fill="CCEEFF"/>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2,413</w:t>
            </w:r>
          </w:p>
        </w:tc>
        <w:tc>
          <w:tcPr>
            <w:tcW w:w="480" w:type="dxa"/>
            <w:vAlign w:val="bottom"/>
            <w:shd w:val="clear" w:color="auto" w:fill="CCEEFF"/>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2,750</w:t>
            </w:r>
          </w:p>
        </w:tc>
        <w:tc>
          <w:tcPr>
            <w:tcW w:w="480" w:type="dxa"/>
            <w:vAlign w:val="bottom"/>
            <w:shd w:val="clear" w:color="auto" w:fill="CCEEFF"/>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3,188</w:t>
            </w:r>
          </w:p>
        </w:tc>
        <w:tc>
          <w:tcPr>
            <w:tcW w:w="500" w:type="dxa"/>
            <w:vAlign w:val="bottom"/>
            <w:shd w:val="clear" w:color="auto" w:fill="CCEEFF"/>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3,513</w:t>
            </w:r>
          </w:p>
        </w:tc>
        <w:tc>
          <w:tcPr>
            <w:tcW w:w="5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3,787</w:t>
            </w:r>
          </w:p>
        </w:tc>
        <w:tc>
          <w:tcPr>
            <w:tcW w:w="480" w:type="dxa"/>
            <w:vAlign w:val="bottom"/>
            <w:shd w:val="clear" w:color="auto" w:fill="CCEEFF"/>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4,272</w:t>
            </w:r>
          </w:p>
        </w:tc>
        <w:tc>
          <w:tcPr>
            <w:tcW w:w="4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4,875</w:t>
            </w:r>
          </w:p>
        </w:tc>
        <w:tc>
          <w:tcPr>
            <w:tcW w:w="4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4,418</w:t>
            </w:r>
          </w:p>
        </w:tc>
        <w:tc>
          <w:tcPr>
            <w:tcW w:w="2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85090</wp:posOffset>
            </wp:positionV>
            <wp:extent cx="7550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3" w:lineRule="exact"/>
        <w:rPr>
          <w:sz w:val="20"/>
          <w:szCs w:val="20"/>
          <w:color w:val="auto"/>
        </w:rPr>
      </w:pPr>
    </w:p>
    <w:p>
      <w:pPr>
        <w:ind w:left="600" w:right="100" w:hanging="426"/>
        <w:spacing w:after="0" w:line="246" w:lineRule="auto"/>
        <w:tabs>
          <w:tab w:leader="none" w:pos="600" w:val="left"/>
        </w:tabs>
        <w:numPr>
          <w:ilvl w:val="0"/>
          <w:numId w:val="4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“Monthly Active Consumers” represents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pharmaceutical manufacturers solutions offering, or consumers who used our telehealth offerings. When presented for a period longer than a month, Monthly Active Consumers is averaged over the number of calendar months in such period. For example, a unique consumer who uses a GoodRx code twice in January, but who did not use our prescription offering again in February or March, is counted as 1 in January and as 0 in both February and March, thus contributing 0.33 to our Monthly Active Consumers for such quarter (average of 1, 0 and 0). A unique consumer who uses a GoodRx code in January and in March, but did not use our prescription offering in February, would be counted as 1 in January, 0 in February and 1 in March, thus contributing 0.66 to our Monthly Active Consumers for such quarter.</w:t>
      </w:r>
    </w:p>
    <w:p>
      <w:pPr>
        <w:spacing w:after="0" w:line="130" w:lineRule="exact"/>
        <w:rPr>
          <w:rFonts w:ascii="Times New Roman" w:cs="Times New Roman" w:eastAsia="Times New Roman" w:hAnsi="Times New Roman"/>
          <w:sz w:val="27"/>
          <w:szCs w:val="27"/>
          <w:color w:val="auto"/>
          <w:vertAlign w:val="superscript"/>
        </w:rPr>
      </w:pPr>
    </w:p>
    <w:p>
      <w:pPr>
        <w:ind w:left="5540" w:hanging="109"/>
        <w:spacing w:after="0"/>
        <w:tabs>
          <w:tab w:leader="none" w:pos="5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w:t>
      </w:r>
    </w:p>
    <w:p>
      <w:pPr>
        <w:sectPr>
          <w:pgSz w:w="11900" w:h="16838" w:orient="portrait"/>
          <w:cols w:equalWidth="0" w:num="1">
            <w:col w:w="11080"/>
          </w:cols>
          <w:pgMar w:left="320" w:top="454" w:right="49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1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3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2"/>
            <w:vMerge w:val="continue"/>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Borders>
              <w:bottom w:val="single" w:sz="8" w:color="auto"/>
            </w:tcBorders>
          </w:tcPr>
          <w:p>
            <w:pPr>
              <w:jc w:val="right"/>
              <w:ind w:right="409"/>
              <w:spacing w:after="0" w:line="141" w:lineRule="exact"/>
              <w:rPr>
                <w:sz w:val="20"/>
                <w:szCs w:val="20"/>
                <w:color w:val="auto"/>
              </w:rPr>
            </w:pPr>
            <w:r>
              <w:rPr>
                <w:rFonts w:ascii="Times New Roman" w:cs="Times New Roman" w:eastAsia="Times New Roman" w:hAnsi="Times New Roman"/>
                <w:sz w:val="14"/>
                <w:szCs w:val="14"/>
                <w:b w:val="1"/>
                <w:bCs w:val="1"/>
                <w:color w:val="auto"/>
              </w:rPr>
              <w:t>2016</w:t>
            </w:r>
          </w:p>
        </w:tc>
        <w:tc>
          <w:tcPr>
            <w:tcW w:w="1080" w:type="dxa"/>
            <w:vAlign w:val="bottom"/>
            <w:tcBorders>
              <w:bottom w:val="single" w:sz="8" w:color="auto"/>
            </w:tcBorders>
          </w:tcPr>
          <w:p>
            <w:pPr>
              <w:jc w:val="right"/>
              <w:ind w:right="400"/>
              <w:spacing w:after="0" w:line="141" w:lineRule="exact"/>
              <w:rPr>
                <w:sz w:val="20"/>
                <w:szCs w:val="20"/>
                <w:color w:val="auto"/>
              </w:rPr>
            </w:pPr>
            <w:r>
              <w:rPr>
                <w:rFonts w:ascii="Times New Roman" w:cs="Times New Roman" w:eastAsia="Times New Roman" w:hAnsi="Times New Roman"/>
                <w:sz w:val="14"/>
                <w:szCs w:val="14"/>
                <w:b w:val="1"/>
                <w:bCs w:val="1"/>
                <w:color w:val="auto"/>
              </w:rPr>
              <w:t>2017</w:t>
            </w:r>
          </w:p>
        </w:tc>
        <w:tc>
          <w:tcPr>
            <w:tcW w:w="1180" w:type="dxa"/>
            <w:vAlign w:val="bottom"/>
            <w:tcBorders>
              <w:bottom w:val="single" w:sz="8" w:color="auto"/>
            </w:tcBorders>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920" w:type="dxa"/>
            <w:vAlign w:val="bottom"/>
            <w:tcBorders>
              <w:bottom w:val="single" w:sz="8" w:color="auto"/>
            </w:tcBorders>
          </w:tcPr>
          <w:p>
            <w:pPr>
              <w:jc w:val="right"/>
              <w:ind w:right="157"/>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9"/>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80" w:type="dxa"/>
            <w:vAlign w:val="bottom"/>
            <w:gridSpan w:val="3"/>
          </w:tcPr>
          <w:p>
            <w:pPr>
              <w:jc w:val="right"/>
              <w:ind w:right="520"/>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15"/>
                <w:szCs w:val="15"/>
                <w:color w:val="auto"/>
              </w:rPr>
              <w:t>(1)</w:t>
            </w:r>
          </w:p>
        </w:tc>
        <w:tc>
          <w:tcPr>
            <w:tcW w:w="200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8"/>
                <w:szCs w:val="18"/>
                <w:color w:val="auto"/>
              </w:rPr>
              <w:t>$ 30,008</w:t>
            </w:r>
          </w:p>
        </w:tc>
        <w:tc>
          <w:tcPr>
            <w:tcW w:w="10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$ 62,956</w:t>
            </w:r>
          </w:p>
        </w:tc>
        <w:tc>
          <w:tcPr>
            <w:tcW w:w="11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$ 127,634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$ 159,629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$ 74,521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15"/>
                <w:szCs w:val="15"/>
                <w:color w:val="auto"/>
              </w:rPr>
              <w:t>(1)</w:t>
            </w:r>
          </w:p>
        </w:tc>
        <w:tc>
          <w:tcPr>
            <w:tcW w:w="200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rPr>
              <w:t>30.2%</w:t>
            </w:r>
          </w:p>
        </w:tc>
        <w:tc>
          <w:tcPr>
            <w:tcW w:w="108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51.2%</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41.1%</w:t>
            </w:r>
          </w:p>
        </w:tc>
        <w:tc>
          <w:tcPr>
            <w:tcW w:w="14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43.0%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73025</wp:posOffset>
            </wp:positionV>
            <wp:extent cx="7550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34" w:lineRule="exact"/>
        <w:rPr>
          <w:sz w:val="20"/>
          <w:szCs w:val="20"/>
          <w:color w:val="auto"/>
        </w:rPr>
      </w:pPr>
    </w:p>
    <w:p>
      <w:pPr>
        <w:ind w:left="600" w:right="180" w:hanging="426"/>
        <w:spacing w:after="0" w:line="225" w:lineRule="auto"/>
        <w:tabs>
          <w:tab w:leader="none" w:pos="600" w:val="left"/>
        </w:tabs>
        <w:numPr>
          <w:ilvl w:val="0"/>
          <w:numId w:val="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Adjusted EBITDA and Adjusted EBITDA Margin are non-GAAP financial measures. For a reconciliation of Adjusted EBITDA to the most directly comparable GAAP financial measure, information about why we consider Adjusted EBITDA useful and a discussion of the material risks and limitations of these measures, please see “Prospectus Summary—Summary Consolidated Financial and Operating Data—Key Financial and Operating Metrics—Non-GAAP Financial Measures.”</w:t>
      </w:r>
    </w:p>
    <w:p>
      <w:pPr>
        <w:spacing w:after="0" w:line="135" w:lineRule="exact"/>
        <w:rPr>
          <w:rFonts w:ascii="Times New Roman" w:cs="Times New Roman" w:eastAsia="Times New Roman" w:hAnsi="Times New Roman"/>
          <w:sz w:val="27"/>
          <w:szCs w:val="27"/>
          <w:color w:val="auto"/>
          <w:vertAlign w:val="superscript"/>
        </w:rPr>
      </w:pPr>
    </w:p>
    <w:p>
      <w:pPr>
        <w:ind w:left="5540" w:hanging="109"/>
        <w:spacing w:after="0"/>
        <w:tabs>
          <w:tab w:leader="none" w:pos="5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w:t>
      </w:r>
    </w:p>
    <w:p>
      <w:pPr>
        <w:sectPr>
          <w:pgSz w:w="11900" w:h="16838" w:orient="portrait"/>
          <w:cols w:equalWidth="0" w:num="1">
            <w:col w:w="11080"/>
          </w:cols>
          <w:pgMar w:left="320" w:top="454" w:right="49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0" w:lineRule="exact"/>
        <w:rPr>
          <w:sz w:val="20"/>
          <w:szCs w:val="20"/>
          <w:color w:val="auto"/>
        </w:rPr>
      </w:pPr>
    </w:p>
    <w:p>
      <w:pPr>
        <w:ind w:left="180" w:firstLine="436"/>
        <w:spacing w:after="0" w:line="272"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in conjunction with the section titled “Selected Consolidated Financial and Other Data” and our financial statements and the accompanying notes thereto included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w:t>
      </w:r>
    </w:p>
    <w:p>
      <w:pPr>
        <w:spacing w:after="0" w:line="2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ind w:left="180" w:right="180" w:firstLine="436"/>
        <w:spacing w:after="0" w:line="277" w:lineRule="auto"/>
        <w:rPr>
          <w:sz w:val="20"/>
          <w:szCs w:val="20"/>
          <w:color w:val="auto"/>
        </w:rPr>
      </w:pPr>
      <w:r>
        <w:rPr>
          <w:rFonts w:ascii="Times New Roman" w:cs="Times New Roman" w:eastAsia="Times New Roman" w:hAnsi="Times New Roman"/>
          <w:sz w:val="18"/>
          <w:szCs w:val="18"/>
          <w:color w:val="auto"/>
        </w:rPr>
        <w:t>Our mission is to help Americans get the healthcare they need at a price they can afford. To achieve this, we are building the leading, consumer-focused digital healthcare platform in the United States.</w:t>
      </w:r>
    </w:p>
    <w:p>
      <w:pPr>
        <w:spacing w:after="0" w:line="163" w:lineRule="exact"/>
        <w:rPr>
          <w:sz w:val="20"/>
          <w:szCs w:val="20"/>
          <w:color w:val="auto"/>
        </w:rPr>
      </w:pPr>
    </w:p>
    <w:p>
      <w:pPr>
        <w:ind w:left="180" w:right="40" w:firstLine="436"/>
        <w:spacing w:after="0" w:line="251" w:lineRule="auto"/>
        <w:rPr>
          <w:sz w:val="20"/>
          <w:szCs w:val="20"/>
          <w:color w:val="auto"/>
        </w:rPr>
      </w:pPr>
      <w:r>
        <w:rPr>
          <w:rFonts w:ascii="Times New Roman" w:cs="Times New Roman" w:eastAsia="Times New Roman" w:hAnsi="Times New Roman"/>
          <w:sz w:val="18"/>
          <w:szCs w:val="18"/>
          <w:color w:val="auto"/>
        </w:rPr>
        <w:t>Healthcare consumers in the United States face an increasing number of challenges. These include a lack of affordability, transparency, and access to care. Additionally, healthcare professionals’ lack of access to current prescription pricing and out of pocket consumer cost information exacerbate the challenges that healthcare consumers face. GoodRx was founded to solve these challenges. We started with a price comparison tool for prescriptions, offering consumers free access to lower prices on their medication. Today, our expanded platform also provides access to brand medication savings programs, affordable and convenient medical provider consultations and lab tests via our telehealth offerings, HeyDoctor and the GoodRx Telehealth Marketplace, and other healthcare related content. Whether a consumer is insured or uninsured, young or old, or suffers from an acute or a chronic ailment, we strive to be at the consumer’s side throughout their healthcare journey. We believe that our offerings provide significant savings to consumers, and can help drive greater medication adherence, faster treatment and better patient outcomes that also benefit the broader healthcare ecosystem and its stakeholders. These all contribute to a healthier, happier society.</w:t>
      </w:r>
    </w:p>
    <w:p>
      <w:pPr>
        <w:spacing w:after="0" w:line="189" w:lineRule="exact"/>
        <w:rPr>
          <w:sz w:val="20"/>
          <w:szCs w:val="20"/>
          <w:color w:val="auto"/>
        </w:rPr>
      </w:pPr>
    </w:p>
    <w:p>
      <w:pPr>
        <w:ind w:left="180" w:right="20" w:firstLine="436"/>
        <w:spacing w:after="0" w:line="252" w:lineRule="auto"/>
        <w:rPr>
          <w:sz w:val="20"/>
          <w:szCs w:val="20"/>
          <w:color w:val="auto"/>
        </w:rPr>
      </w:pPr>
      <w:r>
        <w:rPr>
          <w:rFonts w:ascii="Times New Roman" w:cs="Times New Roman" w:eastAsia="Times New Roman" w:hAnsi="Times New Roman"/>
          <w:sz w:val="18"/>
          <w:szCs w:val="18"/>
          <w:color w:val="auto"/>
        </w:rPr>
        <w:t>Our success is demonstrated by our 4.4 million Monthly Active Consumers for the second quarter of 2020, the 15 million Monthly Visitors for the second quarter of 2020, the approximately $20 billion of cumulative consumer savings generated for GoodRx consumers through June 30, 2020 and our consumer and healthcare professional NPS scores of 90 and 86, respectively, as of February 2020. On average, we have been the most downloaded medical app on the Apple App Store and Google Play App Store for the last three years. Our GoodRx app had a rating of 4.8 out of 5.0 stars in the Apple App Store and 4.7 out of 5.0 stars in the Google Play App Store, with over 700,000 combined reviews as of June 30, 2020. In both app stores, our HeyDoctor app had a rating of 5.0 out of 5.0 stars, with over 8,000 combined reviews as of June 30, 2020. The chart below shows our cumulative consumer savings over time, which we believe demonstrates the positive impact of our prescription offering within the U.S. prescriptions market and broader healthcare ecosystem over time, but is not representative or indicative of our revenue or results of operations.</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60"/>
          </w:cols>
          <w:pgMar w:left="320" w:top="454" w:right="51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Cumulative Consumer Savings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1056005</wp:posOffset>
            </wp:positionH>
            <wp:positionV relativeFrom="paragraph">
              <wp:posOffset>17145</wp:posOffset>
            </wp:positionV>
            <wp:extent cx="5029835" cy="43173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029835" cy="4317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firstLine="436"/>
        <w:spacing w:after="0" w:line="251" w:lineRule="auto"/>
        <w:rPr>
          <w:sz w:val="20"/>
          <w:szCs w:val="20"/>
          <w:color w:val="auto"/>
        </w:rPr>
      </w:pPr>
      <w:r>
        <w:rPr>
          <w:rFonts w:ascii="Times New Roman" w:cs="Times New Roman" w:eastAsia="Times New Roman" w:hAnsi="Times New Roman"/>
          <w:sz w:val="18"/>
          <w:szCs w:val="18"/>
          <w:color w:val="auto"/>
        </w:rPr>
        <w:t>We believe our financial results reflect the significant market demand for our offerings and the value that we provide to the broader healthcare ecosystem. We have been focused on capital efficiency and delivering on a cash generative monetization model since inception. The GMV generated by our prescription offering was $2.5 billion in 2019. Our revenue has grown at a compound annual growth rate, or CAGR, of 57% since 2016, and reached $388 million in 2019, up from $250 million in 2018. Our net income was $66 million in 2019, up from $44 million in 2018, and our Adjusted EBITDA was $160 million in 2019, up from $128 million in 2018. Our revenue grew 48% in the first half of 2020 to $257 million, up from $173 million in the first half of 2019. Our net income was $55 million in the first half of 2020, up from $31 million in the first half of 2019, and our Adjusted EBITDA was $101 million in the first half of 2020, up from $75 million in the first half of 2019. Adjusted EBITDA is a non-GAAP financial measure. For a reconciliation of Adjusted EBITDA to the most directly comparable GAAP financial measure, information about why we consider Adjusted EBITDA useful and a discussion of the material risks and limitations of these measures, please see “Prospectus Summary—Summary Consolidated Financial and Operating Data—Key Financial and Operating Metrics—Non-GAAP Financial Measures”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60"/>
          </w:cols>
          <w:pgMar w:left="320" w:top="454" w:right="51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18" w:lineRule="exact"/>
        <w:rPr>
          <w:sz w:val="20"/>
          <w:szCs w:val="20"/>
          <w:color w:val="auto"/>
        </w:rPr>
      </w:pPr>
    </w:p>
    <w:p>
      <w:pPr>
        <w:ind w:left="180" w:firstLine="436"/>
        <w:spacing w:after="0" w:line="250" w:lineRule="auto"/>
        <w:rPr>
          <w:sz w:val="20"/>
          <w:szCs w:val="20"/>
          <w:color w:val="auto"/>
        </w:rPr>
      </w:pPr>
      <w:r>
        <w:rPr>
          <w:rFonts w:ascii="Times New Roman" w:cs="Times New Roman" w:eastAsia="Times New Roman" w:hAnsi="Times New Roman"/>
          <w:sz w:val="18"/>
          <w:szCs w:val="18"/>
          <w:color w:val="auto"/>
        </w:rPr>
        <w:t>In December 2019, a novel strain of coronavirus, SARS-CoV-2, was identified in Wuhan, China. Since then, SARS-CoV-2, and the resulting disease, COVID-19, has spread to almost every country in the world and all 50 states within the United States. Global health concerns relating to the outbreak of COVID-19 have been weighing on the macroeconomic environment, and the outbreak has significantly increased economic uncertainty. The outbreak has resulted in authorities implementing numerous measures to try to contain the virus, such as travel bans and restrictions, quarantines, shelter-in-place orders, and business shutdowns. In particular for our business, governmental authorities have also recommended, and in certain cases, required, that elective or other medical appointments be suspended or cancelled to avoid non-essential patient exposure to medical environments and potential infection. These and other measures have not only negatively impacted consumer spending and business spending habits, they have adversely impacted and may further impact our workforce and operations and the operations of healthcare professionals, pharmacies, consumers, PBMs and others in the broader healthcare ecosystem. Although certain of these measures are beginning to ease in some geographic regions, overall measures to contain the COVID-19 outbreak may remain in place for a significant period of time, and certain geographic regions are experiencing a resurgence of COVID-19 infections. The duration and severity of this pandemic is unknown and the extent of the business disruption and financial impact depend on factors beyond our knowledge and control.</w:t>
      </w:r>
    </w:p>
    <w:p>
      <w:pPr>
        <w:spacing w:after="0" w:line="191" w:lineRule="exact"/>
        <w:rPr>
          <w:sz w:val="20"/>
          <w:szCs w:val="20"/>
          <w:color w:val="auto"/>
        </w:rPr>
      </w:pPr>
    </w:p>
    <w:p>
      <w:pPr>
        <w:ind w:left="180" w:firstLine="436"/>
        <w:spacing w:after="0" w:line="251" w:lineRule="auto"/>
        <w:rPr>
          <w:sz w:val="20"/>
          <w:szCs w:val="20"/>
          <w:color w:val="auto"/>
        </w:rPr>
      </w:pPr>
      <w:r>
        <w:rPr>
          <w:rFonts w:ascii="Times New Roman" w:cs="Times New Roman" w:eastAsia="Times New Roman" w:hAnsi="Times New Roman"/>
          <w:sz w:val="18"/>
          <w:szCs w:val="18"/>
          <w:color w:val="auto"/>
        </w:rPr>
        <w:t>Various government measures, community self-isolation practices and shelter-in-place requirements, as well as the perceived need by individuals to continue such practices to avoid infection, have generally reduced the extent to which consumers visit healthcare professionals in-person, seek treatment for certain conditions or ailments, and receive and fill prescriptions. Consumers may also increasingly elect to receive prescriptions by mail order instead of at the pharmacy, which could have an adverse impact on our prescription offering. In addition, many pharmacies and healthcare providers have reduced staffing, closed locations or otherwise limited operations, and many prescribing healthcare professionals have reduced or postponed treatment of certain patients. The number of Monthly Active Consumers decreased and our prescription offering experienced a decline in activity in the second quarter of 2020 as compared to the first quarter of 2020 as many consumers avoided visiting healthcare professionals and pharmacies in-person, which we believe has had a similar effect across the industry. Any decrease in the number of consumers seeking to fill prescriptions could negatively impact demand for and use of certain of our offerings, particularly our prescription offering, which would have an adverse effect on our business, financial condition and results of operations.</w:t>
      </w:r>
    </w:p>
    <w:p>
      <w:pPr>
        <w:spacing w:after="0" w:line="186" w:lineRule="exact"/>
        <w:rPr>
          <w:sz w:val="20"/>
          <w:szCs w:val="20"/>
          <w:color w:val="auto"/>
        </w:rPr>
      </w:pPr>
    </w:p>
    <w:p>
      <w:pPr>
        <w:ind w:left="180" w:right="60" w:firstLine="436"/>
        <w:spacing w:after="0" w:line="257" w:lineRule="auto"/>
        <w:rPr>
          <w:sz w:val="20"/>
          <w:szCs w:val="20"/>
          <w:color w:val="auto"/>
        </w:rPr>
      </w:pPr>
      <w:r>
        <w:rPr>
          <w:rFonts w:ascii="Times New Roman" w:cs="Times New Roman" w:eastAsia="Times New Roman" w:hAnsi="Times New Roman"/>
          <w:sz w:val="18"/>
          <w:szCs w:val="18"/>
          <w:color w:val="auto"/>
        </w:rPr>
        <w:t>As described below, the number of Monthly Active Consumers is a key indicator of the scale of our consumer base and a gauge for our marketing and engagement efforts and we believe that this metric reflects our scale, growth and engagement with consumers. To provide information regarding consumer activity on our platform during the outbreak of COVID-19, the chart below shows Monthly Active Consumers by month during the period in which COVID-19 has impacted our operations and the healthcare industry:</w:t>
      </w:r>
    </w:p>
    <w:p>
      <w:pPr>
        <w:spacing w:after="0" w:line="1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Monthly Active Consumers (in millions) and Year over Year Growth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1005205</wp:posOffset>
            </wp:positionH>
            <wp:positionV relativeFrom="paragraph">
              <wp:posOffset>170180</wp:posOffset>
            </wp:positionV>
            <wp:extent cx="5132070" cy="16795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32070" cy="167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60"/>
          </w:cols>
          <w:pgMar w:left="320" w:top="454" w:right="51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200" w:firstLine="436"/>
        <w:spacing w:after="0" w:line="262" w:lineRule="auto"/>
        <w:rPr>
          <w:sz w:val="20"/>
          <w:szCs w:val="20"/>
          <w:color w:val="auto"/>
        </w:rPr>
      </w:pPr>
      <w:r>
        <w:rPr>
          <w:rFonts w:ascii="Times New Roman" w:cs="Times New Roman" w:eastAsia="Times New Roman" w:hAnsi="Times New Roman"/>
          <w:sz w:val="18"/>
          <w:szCs w:val="18"/>
          <w:color w:val="auto"/>
        </w:rPr>
        <w:t>April and May of 2020 were most significantly impacted by COVID-19, and we saw an improvement in the number of Monthly Active Consumers in June and July as the number of in-person physician visits began to rebound, although continued improvement in future periods remains uncertain.</w:t>
      </w:r>
    </w:p>
    <w:p>
      <w:pPr>
        <w:spacing w:after="0" w:line="177" w:lineRule="exact"/>
        <w:rPr>
          <w:sz w:val="20"/>
          <w:szCs w:val="20"/>
          <w:color w:val="auto"/>
        </w:rPr>
      </w:pPr>
    </w:p>
    <w:p>
      <w:pPr>
        <w:ind w:left="180" w:firstLine="436"/>
        <w:spacing w:after="0" w:line="255" w:lineRule="auto"/>
        <w:rPr>
          <w:sz w:val="20"/>
          <w:szCs w:val="20"/>
          <w:color w:val="auto"/>
        </w:rPr>
      </w:pPr>
      <w:r>
        <w:rPr>
          <w:rFonts w:ascii="Times New Roman" w:cs="Times New Roman" w:eastAsia="Times New Roman" w:hAnsi="Times New Roman"/>
          <w:sz w:val="18"/>
          <w:szCs w:val="18"/>
          <w:color w:val="auto"/>
        </w:rPr>
        <w:t>Conversely, pandemics, epidemics and outbreaks may significantly and temporarily increase demand for our telehealth offerings. COVID-19 has significantly accelerated the awareness and use of our telehealth offerings, including demand for our HeyDoctor offering and the utilization of our GoodRx Telehealth Marketplace. While we have experienced a significant increase in demand for the telehealth offerings, there can be no assurance that the levels of interest, demand and use of our telehealth offerings will continue at current levels or will not decrease during or after the pandemic. Any such decrease could have an adverse effect on our growth and the success of our telehealth offerings.</w:t>
      </w:r>
    </w:p>
    <w:p>
      <w:pPr>
        <w:spacing w:after="0" w:line="183" w:lineRule="exact"/>
        <w:rPr>
          <w:sz w:val="20"/>
          <w:szCs w:val="20"/>
          <w:color w:val="auto"/>
        </w:rPr>
      </w:pPr>
    </w:p>
    <w:p>
      <w:pPr>
        <w:ind w:left="180" w:right="220" w:firstLine="436"/>
        <w:spacing w:after="0" w:line="285" w:lineRule="auto"/>
        <w:rPr>
          <w:sz w:val="20"/>
          <w:szCs w:val="20"/>
          <w:color w:val="auto"/>
        </w:rPr>
      </w:pPr>
      <w:r>
        <w:rPr>
          <w:rFonts w:ascii="Times New Roman" w:cs="Times New Roman" w:eastAsia="Times New Roman" w:hAnsi="Times New Roman"/>
          <w:sz w:val="17"/>
          <w:szCs w:val="17"/>
          <w:color w:val="auto"/>
        </w:rPr>
        <w:t>Additionally, 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reducing our ability to access capital, which could in the future negatively affect our liquidity.</w:t>
      </w:r>
    </w:p>
    <w:p>
      <w:pPr>
        <w:spacing w:after="0" w:line="159" w:lineRule="exact"/>
        <w:rPr>
          <w:sz w:val="20"/>
          <w:szCs w:val="20"/>
          <w:color w:val="auto"/>
        </w:rPr>
      </w:pPr>
    </w:p>
    <w:p>
      <w:pPr>
        <w:ind w:left="180" w:right="100" w:firstLine="436"/>
        <w:spacing w:after="0" w:line="255" w:lineRule="auto"/>
        <w:rPr>
          <w:sz w:val="20"/>
          <w:szCs w:val="20"/>
          <w:color w:val="auto"/>
        </w:rPr>
      </w:pPr>
      <w:r>
        <w:rPr>
          <w:rFonts w:ascii="Times New Roman" w:cs="Times New Roman" w:eastAsia="Times New Roman" w:hAnsi="Times New Roman"/>
          <w:sz w:val="18"/>
          <w:szCs w:val="18"/>
          <w:color w:val="auto"/>
        </w:rPr>
        <w:t>The full extent to which the outbreak of COVID-19 will impact our business, results of operations and financial condition is still unknown and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outbreak of COVID-19 has subsided, we may experience materially adverse impacts to our business as a result of its global economic impact, including any recession that has occurred or may occur in the future.</w:t>
      </w:r>
    </w:p>
    <w:p>
      <w:pPr>
        <w:spacing w:after="0" w:line="183" w:lineRule="exact"/>
        <w:rPr>
          <w:sz w:val="20"/>
          <w:szCs w:val="20"/>
          <w:color w:val="auto"/>
        </w:rPr>
      </w:pPr>
    </w:p>
    <w:p>
      <w:pPr>
        <w:ind w:left="180" w:right="60" w:firstLine="436"/>
        <w:spacing w:after="0" w:line="277" w:lineRule="auto"/>
        <w:rPr>
          <w:sz w:val="20"/>
          <w:szCs w:val="20"/>
          <w:color w:val="auto"/>
        </w:rPr>
      </w:pPr>
      <w:r>
        <w:rPr>
          <w:rFonts w:ascii="Times New Roman" w:cs="Times New Roman" w:eastAsia="Times New Roman" w:hAnsi="Times New Roman"/>
          <w:sz w:val="18"/>
          <w:szCs w:val="18"/>
          <w:color w:val="auto"/>
        </w:rPr>
        <w:t>For additional information, see “Risk Factors—Risks Related to Our Business—A pandemic, epidemic or outbreak of an infectious disease in the United States, including the outbreak of the novel strain of coronavirus disease, could impact our business.”</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How We Make Money</w:t>
      </w:r>
    </w:p>
    <w:p>
      <w:pPr>
        <w:spacing w:after="0" w:line="118" w:lineRule="exact"/>
        <w:rPr>
          <w:sz w:val="20"/>
          <w:szCs w:val="20"/>
          <w:color w:val="auto"/>
        </w:rPr>
      </w:pPr>
    </w:p>
    <w:p>
      <w:pPr>
        <w:ind w:left="180" w:right="20" w:firstLine="436"/>
        <w:spacing w:after="0" w:line="252" w:lineRule="auto"/>
        <w:rPr>
          <w:sz w:val="20"/>
          <w:szCs w:val="20"/>
          <w:color w:val="auto"/>
        </w:rPr>
      </w:pPr>
      <w:r>
        <w:rPr>
          <w:rFonts w:ascii="Times New Roman" w:cs="Times New Roman" w:eastAsia="Times New Roman" w:hAnsi="Times New Roman"/>
          <w:sz w:val="18"/>
          <w:szCs w:val="18"/>
          <w:color w:val="auto"/>
        </w:rPr>
        <w:t>We generate the vast majority of our revenue from our prescription offering, where consumers save money on prescription medications using a GoodRx code. Through our price comparison platform, we present consumers with curated, geographically relevant prescription pricing, and provide access to negotiated prices through GoodRx codes that can be used to save money on prescriptions across the United States. While the medication distribution and pricing system underlying the pharmacy’s retail experience is extremely complex, we provide consumers with price transparency through a simple, easy to use, and convenient digital interface. We do so through our proprietary platform, which aggregates over 150 billion prescription pricing data points from a variety of different healthcare sources every day to provide consumers with comparison tools and access to lower prices. Our GoodRx codes are accepted at over 70,000 pharmacies, nearly every retail pharmacy in the United States.</w:t>
      </w:r>
    </w:p>
    <w:p>
      <w:pPr>
        <w:spacing w:after="0" w:line="189" w:lineRule="exact"/>
        <w:rPr>
          <w:sz w:val="20"/>
          <w:szCs w:val="20"/>
          <w:color w:val="auto"/>
        </w:rPr>
      </w:pPr>
    </w:p>
    <w:p>
      <w:pPr>
        <w:ind w:left="180" w:firstLine="436"/>
        <w:spacing w:after="0" w:line="251" w:lineRule="auto"/>
        <w:rPr>
          <w:sz w:val="20"/>
          <w:szCs w:val="20"/>
          <w:color w:val="auto"/>
        </w:rPr>
      </w:pPr>
      <w:r>
        <w:rPr>
          <w:rFonts w:ascii="Times New Roman" w:cs="Times New Roman" w:eastAsia="Times New Roman" w:hAnsi="Times New Roman"/>
          <w:sz w:val="18"/>
          <w:szCs w:val="18"/>
          <w:color w:val="auto"/>
        </w:rPr>
        <w:t>When a consumer uses a GoodRx code to fill a prescription and saves money compared to the list price at that pharmacy, we receive fees from our partners, primarily PBMs. The fees can be a percentage of the fees that our partners earn or a fixed payment per transaction. Revenue from prescription transactions fees made up approximately 94% of our revenue in 2019 and 91% of revenue in the first half of 2020. We have seen strong repeat activity on our platform due to the typical refill cycle and long-term nature of most prescriptions. Since 2016, over 80% of transactions for our prescription offering have come from repeat activity, which refers to the second and later use of our discounted prices by a single GoodRx consumer, whether refilling an existing prescription or filling a new prescription. Our high percentage of repeat activity is partially related to the inherent nature and mechanics of our product: when a consumer uses a GoodRx code, the code is saved to the consumer’s profile at the pharmacy. From then on, the GoodRx code typically applies to all future refills as well as, in many cases, fills for other prescriptions at that location, without the consumer having to re-present the GoodRx code.</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40"/>
          </w:cols>
          <w:pgMar w:left="320" w:top="454" w:right="5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420" w:firstLine="436"/>
        <w:spacing w:after="0" w:line="262" w:lineRule="auto"/>
        <w:rPr>
          <w:sz w:val="20"/>
          <w:szCs w:val="20"/>
          <w:color w:val="auto"/>
        </w:rPr>
      </w:pPr>
      <w:r>
        <w:rPr>
          <w:rFonts w:ascii="Times New Roman" w:cs="Times New Roman" w:eastAsia="Times New Roman" w:hAnsi="Times New Roman"/>
          <w:sz w:val="18"/>
          <w:szCs w:val="18"/>
          <w:color w:val="auto"/>
        </w:rPr>
        <w:t>Building on the rapid growth and increasing scale of our platform and greater brand recognition, we have developed additional offerings that enable consumers to save even more on their healthcare costs and allow us to monetize consumers at different stages of the consumer healthcare journey:</w:t>
      </w:r>
    </w:p>
    <w:p>
      <w:pPr>
        <w:spacing w:after="0" w:line="82" w:lineRule="exact"/>
        <w:rPr>
          <w:sz w:val="20"/>
          <w:szCs w:val="20"/>
          <w:color w:val="auto"/>
        </w:rPr>
      </w:pPr>
    </w:p>
    <w:p>
      <w:pPr>
        <w:ind w:left="1140" w:right="20" w:hanging="432"/>
        <w:spacing w:after="0" w:line="251"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 Offerings</w:t>
      </w:r>
      <w:r>
        <w:rPr>
          <w:rFonts w:ascii="Times New Roman" w:cs="Times New Roman" w:eastAsia="Times New Roman" w:hAnsi="Times New Roman"/>
          <w:sz w:val="18"/>
          <w:szCs w:val="18"/>
          <w:color w:val="auto"/>
        </w:rPr>
        <w:t>: Our subscription offerings are a natural extension of our successful prescription offering, as they address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 need and generally offer greater savings on prescription medication than our prescription offering does. We launched our first subscription offering, Gold, in 2017, and added a second offering, Kroger Savings, in 2018. We receive subscriptions fees from subscribers for these offerings, and for Kroger Savings we share a portion of these fees with Kroger. We recognize the subscription fees, net of Kroger’s share, as revenue over the subscription period. We have significantly increased the number of subscribers who use our subscription offerings. The number of subscribers as of June 30, 2020 was 15 times higher than as of December 31, 2018. Based on our data for the cohort of consumers who started using our subscription offerings between July 2018 and June 2019, we estimate that consumers of our subscription offerings have a first year contribution of approximately two times that of consumers of our prescription offering, which we expect will result in a substantially higher lifetime value for these consumers. First year contribution represents the cumulative revenue generated by consumers in the first year after they became consumers of our subscription offerings, less our estimated cost of revenue attributable to such revenue.</w:t>
      </w:r>
    </w:p>
    <w:p>
      <w:pPr>
        <w:spacing w:after="0" w:line="90" w:lineRule="exact"/>
        <w:rPr>
          <w:rFonts w:ascii="Times New Roman" w:cs="Times New Roman" w:eastAsia="Times New Roman" w:hAnsi="Times New Roman"/>
          <w:sz w:val="18"/>
          <w:szCs w:val="18"/>
          <w:color w:val="auto"/>
        </w:rPr>
      </w:pPr>
    </w:p>
    <w:p>
      <w:pPr>
        <w:ind w:left="1140" w:right="60" w:hanging="432"/>
        <w:spacing w:after="0" w:line="251"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Pharmaceutical Manufacturer Solutions Offering</w:t>
      </w:r>
      <w:r>
        <w:rPr>
          <w:rFonts w:ascii="Times New Roman" w:cs="Times New Roman" w:eastAsia="Times New Roman" w:hAnsi="Times New Roman"/>
          <w:sz w:val="18"/>
          <w:szCs w:val="18"/>
          <w:color w:val="auto"/>
        </w:rPr>
        <w:t>: Approximately 20% of the consumer searches on our platform are for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medications. Brand medications tend to be expensive, and insurance coverage is complicated and may be restrictive. Pharmaceutical manufacturers provide affordability solutions such as co-pay cards, patient assistance programs, and other savings options so that consumers can access their medications. We partner with pharmaceutical manufacturers to advertise and integrate these affordability solutions into our platform. Our trusted brand, large volume of high intent consumers and easy-to-use interface make our platform highly desirable to pharmaceutical manufacturers. We generate revenue from pharmaceutical manufacturers who advertise, integrate, and communicate their affordability solutions to consumers on our platform, typically for fixed fees for a specified time period. Our pharmaceutical manufacturer solutions offering delivers a product that both increases overall consumer satisfaction and drives incremental consumer lifetime value at a low incremental cost to us. Revenue from our pharmaceutical manufacturer solutions offering has more than quadrupled in the first half of 2020, compared to the same period in 2019.</w:t>
      </w:r>
    </w:p>
    <w:p>
      <w:pPr>
        <w:spacing w:after="0" w:line="92" w:lineRule="exact"/>
        <w:rPr>
          <w:rFonts w:ascii="Times New Roman" w:cs="Times New Roman" w:eastAsia="Times New Roman" w:hAnsi="Times New Roman"/>
          <w:sz w:val="18"/>
          <w:szCs w:val="18"/>
          <w:color w:val="auto"/>
        </w:rPr>
      </w:pPr>
    </w:p>
    <w:p>
      <w:pPr>
        <w:ind w:left="1140" w:right="40" w:hanging="432"/>
        <w:spacing w:after="0" w:line="258"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Telehealth Offerings</w:t>
      </w:r>
      <w:r>
        <w:rPr>
          <w:rFonts w:ascii="Times New Roman" w:cs="Times New Roman" w:eastAsia="Times New Roman" w:hAnsi="Times New Roman"/>
          <w:sz w:val="18"/>
          <w:szCs w:val="18"/>
          <w:color w:val="auto"/>
        </w:rPr>
        <w:t>: We have built a telehealth platform that is designed to meet our consumers’ demand for timely, convenient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affordable access to healthcare. Our two-pronged approach includes our own telehealth provider, HeyDoctor, as well as our GoodRx Telehealth Marketplace, which is a marketplace designed to bring third party providers to our ecosystem so that we can provide consumers with a breadth of services in a single platform.</w:t>
      </w:r>
    </w:p>
    <w:p>
      <w:pPr>
        <w:spacing w:after="0" w:line="73" w:lineRule="exact"/>
        <w:rPr>
          <w:rFonts w:ascii="Times New Roman" w:cs="Times New Roman" w:eastAsia="Times New Roman" w:hAnsi="Times New Roman"/>
          <w:sz w:val="18"/>
          <w:szCs w:val="18"/>
          <w:color w:val="auto"/>
        </w:rPr>
      </w:pPr>
    </w:p>
    <w:p>
      <w:pPr>
        <w:ind w:left="11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data suggests that approximately 20% of consumers who search for medications on GoodRx do not have a prescription at the time of their search. Through HeyDoctor and the GoodRx Telehealth Marketplace, we can provide these and other consumers with a convenient and affordable way to receive a diagnosis and a prescription online, when medically appropriate. Once they complete their online visit via HeyDoctor, consumers are able to choose to fill their prescriptions, if they receive one, at retail locations using a GoodRx code, or via mail order through a third-party partner. In March 2020, we launched our GoodRx Telehealth Marketplace, an online marketplace for individuals to access providers of telehealth and lab tests. Our GoodRx Telehealth Marketplace added additional services, conditions and geographies to our telehealth offerings, and also provides alternative providers for the conditions and geographies already covered by HeyDoctor, providing consumers with additional options to choose from.</w:t>
      </w:r>
    </w:p>
    <w:p>
      <w:pPr>
        <w:spacing w:after="0" w:line="78" w:lineRule="exact"/>
        <w:rPr>
          <w:rFonts w:ascii="Times New Roman" w:cs="Times New Roman" w:eastAsia="Times New Roman" w:hAnsi="Times New Roman"/>
          <w:sz w:val="18"/>
          <w:szCs w:val="18"/>
          <w:color w:val="auto"/>
        </w:rPr>
      </w:pPr>
    </w:p>
    <w:p>
      <w:pPr>
        <w:ind w:left="1160" w:right="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HeyDoctor comes from visits fees paid by our consumers, with many visits starting at $20. If consumers choose to use mail order through a third-party partner, they pay us an additional fee. Revenue for the GoodRx Telehealth Marketplace comes from fees we earn for directing traffic to the third-party telehealth providers on our marketplace.</w:t>
      </w:r>
    </w:p>
    <w:p>
      <w:pPr>
        <w:spacing w:after="0" w:line="110"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w:t>
      </w:r>
    </w:p>
    <w:p>
      <w:pPr>
        <w:sectPr>
          <w:pgSz w:w="11900" w:h="16838" w:orient="portrait"/>
          <w:cols w:equalWidth="0" w:num="1">
            <w:col w:w="11060"/>
          </w:cols>
          <w:pgMar w:left="320" w:top="454" w:right="51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160" w:right="100"/>
        <w:spacing w:after="0" w:line="277" w:lineRule="auto"/>
        <w:rPr>
          <w:sz w:val="20"/>
          <w:szCs w:val="20"/>
          <w:color w:val="auto"/>
        </w:rPr>
      </w:pPr>
      <w:r>
        <w:rPr>
          <w:rFonts w:ascii="Times New Roman" w:cs="Times New Roman" w:eastAsia="Times New Roman" w:hAnsi="Times New Roman"/>
          <w:sz w:val="18"/>
          <w:szCs w:val="18"/>
          <w:color w:val="auto"/>
        </w:rPr>
        <w:t>An average of more than 1,000 consumers per day completed online visits using HeyDoctor in the second quarter of 2020, and more than 200,000 medical visits and lab tests have been initiated through the GoodRx Telehealth Marketplace since its launch.</w:t>
      </w:r>
    </w:p>
    <w:p>
      <w:pPr>
        <w:spacing w:after="0" w:line="57" w:lineRule="exact"/>
        <w:rPr>
          <w:sz w:val="20"/>
          <w:szCs w:val="20"/>
          <w:color w:val="auto"/>
        </w:rPr>
      </w:pPr>
    </w:p>
    <w:p>
      <w:pPr>
        <w:ind w:left="1160"/>
        <w:spacing w:after="0" w:line="251" w:lineRule="auto"/>
        <w:rPr>
          <w:sz w:val="20"/>
          <w:szCs w:val="20"/>
          <w:color w:val="auto"/>
        </w:rPr>
      </w:pPr>
      <w:r>
        <w:rPr>
          <w:rFonts w:ascii="Times New Roman" w:cs="Times New Roman" w:eastAsia="Times New Roman" w:hAnsi="Times New Roman"/>
          <w:sz w:val="18"/>
          <w:szCs w:val="18"/>
          <w:color w:val="auto"/>
        </w:rPr>
        <w:t>In March 2020, we also launched an integrated service that allows HeyDoctor consumers to opt in to use our prescription offering for their prescription needs after they complete their online visit. Since launch, we have already seen more than 10% of HeyDoctor consumers utilize this feature to fill prescriptions using a GoodRx code at pharmacies. As awareness of our offering grows, we expect this percentage to increase. In addition, we expect that the recent launch of HeyDoctor’s mail order service, where prescriptions are processed by a third-party partner, will further increase the number of consumers who use our platform to fill their prescriptions after completing an online visit. We have also partnered with some of the telehealth providers in the GoodRx Telehealth Marketplace to enable consumers to opt in to use our prescription offering for their prescription needs after they complete their online visit. The introduction of these integrated solutions and the addition of mail order provides our consumers with additional value and convenience in their healthcare journey, and adds monetization opportunities for us after consumers visit a healthcare professional online.</w:t>
      </w:r>
    </w:p>
    <w:p>
      <w:pPr>
        <w:spacing w:after="0" w:line="2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Key Financial and Operating Metrics</w:t>
      </w:r>
    </w:p>
    <w:p>
      <w:pPr>
        <w:spacing w:after="0" w:line="118" w:lineRule="exact"/>
        <w:rPr>
          <w:sz w:val="20"/>
          <w:szCs w:val="20"/>
          <w:color w:val="auto"/>
        </w:rPr>
      </w:pPr>
    </w:p>
    <w:p>
      <w:pPr>
        <w:ind w:left="180" w:right="580" w:firstLine="436"/>
        <w:spacing w:after="0" w:line="277" w:lineRule="auto"/>
        <w:rPr>
          <w:sz w:val="20"/>
          <w:szCs w:val="20"/>
          <w:color w:val="auto"/>
        </w:rPr>
      </w:pPr>
      <w:r>
        <w:rPr>
          <w:rFonts w:ascii="Times New Roman" w:cs="Times New Roman" w:eastAsia="Times New Roman" w:hAnsi="Times New Roman"/>
          <w:sz w:val="18"/>
          <w:szCs w:val="18"/>
          <w:color w:val="auto"/>
        </w:rPr>
        <w:t>We use Monthly Active Consumers and Adjusted EBITDA to assess our performance, make strategic and offering decisions and build our financial projections.</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Monthly Active Consumers</w:t>
      </w:r>
    </w:p>
    <w:p>
      <w:pPr>
        <w:spacing w:after="0" w:line="118" w:lineRule="exact"/>
        <w:rPr>
          <w:sz w:val="20"/>
          <w:szCs w:val="20"/>
          <w:color w:val="auto"/>
        </w:rPr>
      </w:pPr>
    </w:p>
    <w:p>
      <w:pPr>
        <w:ind w:left="180" w:right="180" w:firstLine="436"/>
        <w:spacing w:after="0" w:line="250" w:lineRule="auto"/>
        <w:rPr>
          <w:sz w:val="20"/>
          <w:szCs w:val="20"/>
          <w:color w:val="auto"/>
        </w:rPr>
      </w:pPr>
      <w:r>
        <w:rPr>
          <w:rFonts w:ascii="Times New Roman" w:cs="Times New Roman" w:eastAsia="Times New Roman" w:hAnsi="Times New Roman"/>
          <w:sz w:val="18"/>
          <w:szCs w:val="18"/>
          <w:color w:val="auto"/>
        </w:rPr>
        <w:t>We define Monthly Active Consumers as the number of unique consumers who have used a GoodRx code to purchase a prescription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pharmaceutical manufacturers solutions offering, or consumers who used our telehealth offerings. When presented for a period longer than a month, Monthly Active Consumers is averaged over the number of calendar months in such period. For example, a unique consumer who uses a GoodRx code twice in January, but who did not use our prescription offering again in February or March, is counted as 1 in January and as 0 in both February and March, thus contributing 0.33 to our Monthly Active Consumers for such quarter (average of 1, 0 and 0). A unique consumer who uses a GoodRx code in January and in March, but did not use our prescription offering in February, would be counted as 1 in January, 0 in February and 1 in March, thus contributing 0.66 to our Monthly Active Consumers for such quarter.</w:t>
      </w:r>
    </w:p>
    <w:p>
      <w:pPr>
        <w:spacing w:after="0" w:line="1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40"/>
          </w:cols>
          <w:pgMar w:left="320" w:top="454" w:right="5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both"/>
        <w:ind w:left="180" w:right="220" w:firstLine="436"/>
        <w:spacing w:after="0" w:line="262" w:lineRule="auto"/>
        <w:rPr>
          <w:sz w:val="20"/>
          <w:szCs w:val="20"/>
          <w:color w:val="auto"/>
        </w:rPr>
      </w:pPr>
      <w:r>
        <w:rPr>
          <w:rFonts w:ascii="Times New Roman" w:cs="Times New Roman" w:eastAsia="Times New Roman" w:hAnsi="Times New Roman"/>
          <w:sz w:val="18"/>
          <w:szCs w:val="18"/>
          <w:color w:val="auto"/>
        </w:rPr>
        <w:t>The number of Monthly Active Consumers is a key indicator of the scale of our consumer base and a gauge for our marketing and engagement efforts. We believe that this metric reflects our scale, growth and engagement with consumers. The chart below shows Monthly Active Consumers by quarter from the first quarter of 2016 to the second quarter of 2020.</w:t>
      </w:r>
    </w:p>
    <w:p>
      <w:pPr>
        <w:spacing w:after="0" w:line="1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Monthly Active Consumers (in millions) and Year over Year Growth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1106805</wp:posOffset>
            </wp:positionH>
            <wp:positionV relativeFrom="paragraph">
              <wp:posOffset>17145</wp:posOffset>
            </wp:positionV>
            <wp:extent cx="4928235" cy="20358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28235" cy="2035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80" w:right="40" w:firstLine="436"/>
        <w:spacing w:after="0" w:line="257" w:lineRule="auto"/>
        <w:rPr>
          <w:sz w:val="20"/>
          <w:szCs w:val="20"/>
          <w:color w:val="auto"/>
        </w:rPr>
      </w:pPr>
      <w:r>
        <w:rPr>
          <w:rFonts w:ascii="Times New Roman" w:cs="Times New Roman" w:eastAsia="Times New Roman" w:hAnsi="Times New Roman"/>
          <w:sz w:val="18"/>
          <w:szCs w:val="18"/>
          <w:color w:val="auto"/>
        </w:rPr>
        <w:t>The number of Monthly Active Consumers has grown rapidly in recent years due to both consumer acquisition and repeat consumer engagement with our platform. Monthly Active Consumers reached 4.9 million for the first quarter of 2020 before declining to 4.4 million for the second quarter of 2020 due to the impact of COVID-19, as many consumers avoided visiting healthcare professionals and pharmacies in-person. We expect to continue to drive growth in Monthly Active Consumers through investments in sales and marketing and strong repeat activity.</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18" w:lineRule="exact"/>
        <w:rPr>
          <w:sz w:val="20"/>
          <w:szCs w:val="20"/>
          <w:color w:val="auto"/>
        </w:rPr>
      </w:pPr>
    </w:p>
    <w:p>
      <w:pPr>
        <w:ind w:left="180" w:firstLine="436"/>
        <w:spacing w:after="0" w:line="262" w:lineRule="auto"/>
        <w:rPr>
          <w:sz w:val="20"/>
          <w:szCs w:val="20"/>
          <w:color w:val="auto"/>
        </w:rPr>
      </w:pPr>
      <w:r>
        <w:rPr>
          <w:rFonts w:ascii="Times New Roman" w:cs="Times New Roman" w:eastAsia="Times New Roman" w:hAnsi="Times New Roman"/>
          <w:sz w:val="18"/>
          <w:szCs w:val="18"/>
          <w:color w:val="auto"/>
        </w:rPr>
        <w:t>We define Adjusted EBITDA for a particular period as net income before interest, taxes, depreciation and amortization, and as further adjusted for acquisition related expenses, stock-based compensation expense, loss on extinguishment of debt, financing related expenses, cash bonuses to vested option holders and other expense (income), net. Adjusted EBITDA Margin represents Adjusted EBITDA as a percentage of revenue.</w:t>
      </w:r>
    </w:p>
    <w:p>
      <w:pPr>
        <w:spacing w:after="0" w:line="177" w:lineRule="exact"/>
        <w:rPr>
          <w:sz w:val="20"/>
          <w:szCs w:val="20"/>
          <w:color w:val="auto"/>
        </w:rPr>
      </w:pPr>
    </w:p>
    <w:p>
      <w:pPr>
        <w:ind w:left="180" w:right="240" w:firstLine="436"/>
        <w:spacing w:after="0" w:line="257" w:lineRule="auto"/>
        <w:rPr>
          <w:sz w:val="20"/>
          <w:szCs w:val="20"/>
          <w:color w:val="auto"/>
        </w:rPr>
      </w:pPr>
      <w:r>
        <w:rPr>
          <w:rFonts w:ascii="Times New Roman" w:cs="Times New Roman" w:eastAsia="Times New Roman" w:hAnsi="Times New Roman"/>
          <w:sz w:val="18"/>
          <w:szCs w:val="18"/>
          <w:color w:val="auto"/>
        </w:rPr>
        <w:t>Adjusted EBITDA is a key measure we use to assess our financial performance and is also used for internal planning and forecasting purposes. We believe Adjusted EBITDA is helpful to investors, analysts and other interested parties because it can assist in providing a more consistent and comparable overview of our operations across our historical financial periods. In addition, this measure is frequently used by analysts, investors and other interested parties to evaluate and assess performance.</w:t>
      </w:r>
    </w:p>
    <w:p>
      <w:pPr>
        <w:spacing w:after="0" w:line="182" w:lineRule="exact"/>
        <w:rPr>
          <w:sz w:val="20"/>
          <w:szCs w:val="20"/>
          <w:color w:val="auto"/>
        </w:rPr>
      </w:pPr>
    </w:p>
    <w:p>
      <w:pPr>
        <w:ind w:left="180" w:right="40" w:firstLine="436"/>
        <w:spacing w:after="0" w:line="270" w:lineRule="auto"/>
        <w:rPr>
          <w:sz w:val="20"/>
          <w:szCs w:val="20"/>
          <w:color w:val="auto"/>
        </w:rPr>
      </w:pPr>
      <w:r>
        <w:rPr>
          <w:rFonts w:ascii="Times New Roman" w:cs="Times New Roman" w:eastAsia="Times New Roman" w:hAnsi="Times New Roman"/>
          <w:sz w:val="17"/>
          <w:szCs w:val="17"/>
          <w:color w:val="auto"/>
        </w:rPr>
        <w:t>Adjusted EBITDA and Adjusted EBITDA Margin are non-GAAP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expenses that are reflected in our consolidated statement of operations that are necessary to run our business. Other companies, including other companies in our industry, may not use these measures or may calculate these measures differently than as presented in this prospectus, limiting their usefulness as comparative measures. The chart below shows Adjusted EBITDA and Adjusted EBITDA Margin from 2016 to 2019. See the section titled “Prospectus Summary—Summary Consolidated Financial and Operating Data—Key Financial and Operating Metrics—Non-GAAP Financial Measures” for additional information and a reconciliation of net income to Adjusted EBITDA.</w:t>
      </w:r>
    </w:p>
    <w:p>
      <w:pPr>
        <w:spacing w:after="0" w:line="10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40"/>
          </w:cols>
          <w:pgMar w:left="320" w:top="454" w:right="5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Adjusted EBITDA (in millions) and Adjusted EBITDA Margin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1616075</wp:posOffset>
            </wp:positionH>
            <wp:positionV relativeFrom="paragraph">
              <wp:posOffset>170180</wp:posOffset>
            </wp:positionV>
            <wp:extent cx="3919220" cy="18491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919220" cy="184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80" w:firstLine="436"/>
        <w:spacing w:after="0" w:line="257" w:lineRule="auto"/>
        <w:rPr>
          <w:sz w:val="20"/>
          <w:szCs w:val="20"/>
          <w:color w:val="auto"/>
        </w:rPr>
      </w:pPr>
      <w:r>
        <w:rPr>
          <w:rFonts w:ascii="Times New Roman" w:cs="Times New Roman" w:eastAsia="Times New Roman" w:hAnsi="Times New Roman"/>
          <w:sz w:val="18"/>
          <w:szCs w:val="18"/>
          <w:color w:val="auto"/>
        </w:rPr>
        <w:t>We have been focused on capital efficiency and delivering on a cash generative monetization model since inception. We have also been focused on using our cash flow to invest in our business to be able to continue to capture the large market opportunities across our multiple offerings. In 2019, we increased our expenditures on advertising by $74.4 million compared to 2018. As a result, advertising expense as a percent of revenue increased from 36% in 2018 to 42% in 2019, which reduced our Adjusted EBITDA Margin.</w:t>
      </w:r>
    </w:p>
    <w:p>
      <w:pPr>
        <w:spacing w:after="0" w:line="182" w:lineRule="exact"/>
        <w:rPr>
          <w:sz w:val="20"/>
          <w:szCs w:val="20"/>
          <w:color w:val="auto"/>
        </w:rPr>
      </w:pPr>
    </w:p>
    <w:p>
      <w:pPr>
        <w:ind w:left="180" w:right="120" w:firstLine="436"/>
        <w:spacing w:after="0" w:line="262" w:lineRule="auto"/>
        <w:rPr>
          <w:sz w:val="20"/>
          <w:szCs w:val="20"/>
          <w:color w:val="auto"/>
        </w:rPr>
      </w:pPr>
      <w:r>
        <w:rPr>
          <w:rFonts w:ascii="Times New Roman" w:cs="Times New Roman" w:eastAsia="Times New Roman" w:hAnsi="Times New Roman"/>
          <w:sz w:val="18"/>
          <w:szCs w:val="18"/>
          <w:color w:val="auto"/>
        </w:rPr>
        <w:t>The chart below shows Adjusted EBITDA and Adjusted EBITDA Margin by quarter from the first quarter of 2019 to the second quarter of 2020. See the section titled “—Quarterly Results of Operations—Non-GAAP Financial Measures” for additional information and a reconciliation of net income to Adjusted EBITDA.</w:t>
      </w:r>
    </w:p>
    <w:p>
      <w:pPr>
        <w:spacing w:after="0" w:line="1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Adjusted EBITDA (in millions) and Adjusted EBITDA Margin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1064895</wp:posOffset>
            </wp:positionH>
            <wp:positionV relativeFrom="paragraph">
              <wp:posOffset>170180</wp:posOffset>
            </wp:positionV>
            <wp:extent cx="5013325" cy="21628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13325" cy="2162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 w:right="120" w:firstLine="436"/>
        <w:spacing w:after="0" w:line="253" w:lineRule="auto"/>
        <w:rPr>
          <w:sz w:val="20"/>
          <w:szCs w:val="20"/>
          <w:color w:val="auto"/>
        </w:rPr>
      </w:pPr>
      <w:r>
        <w:rPr>
          <w:rFonts w:ascii="Times New Roman" w:cs="Times New Roman" w:eastAsia="Times New Roman" w:hAnsi="Times New Roman"/>
          <w:sz w:val="18"/>
          <w:szCs w:val="18"/>
          <w:color w:val="auto"/>
        </w:rPr>
        <w:t>Our Adjusted EBITDA and Adjusted EBITDA Margin fluctuate on a quarterly basis primarily based on the level of our investments in sales and marketing and product development and technology relative to changes in revenue. During the fourth quarter of 2019, we increased the level of sales and marketing spend as we sought to increase our consumer base and continue to build the GoodRx brand, which reduced our Adjusted EBITDA and Adjusted EBITDA Margin. In the first quarter of 2020, we experienced strong consumer demand, which resulted in an increase in both Monthly Active Consumers and prescription transactions revenue. Those increases, coupled with a more modest sequential increase in sales and marketing spend, resulted in higher Adjusted EBITDA and higher Adjusted EBITDA Margin.</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80"/>
          </w:cols>
          <w:pgMar w:left="320" w:top="454" w:right="49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firstLine="436"/>
        <w:spacing w:after="0" w:line="273" w:lineRule="auto"/>
        <w:rPr>
          <w:sz w:val="20"/>
          <w:szCs w:val="20"/>
          <w:color w:val="auto"/>
        </w:rPr>
      </w:pPr>
      <w:r>
        <w:rPr>
          <w:rFonts w:ascii="Times New Roman" w:cs="Times New Roman" w:eastAsia="Times New Roman" w:hAnsi="Times New Roman"/>
          <w:sz w:val="17"/>
          <w:szCs w:val="17"/>
          <w:color w:val="auto"/>
        </w:rPr>
        <w:t>Adjusted EBITDA decreased in the second quarter of 2020 compared with the first quarter of 2020, as we experienced a decline in our prescription transactions revenue due to COVID-19 as many consumers avoided visiting healthcare professionals and pharmacies in-person. In response, we proactively reduced our sales and marketing spend during the second quarter of 2020, which largely offset the decrease in prescription transactions revenue. During the second quarter of 2020 we continued to invest in product development and technology and our general and administrative infrastructure. For additional details on quarterly revenue and expenses, please see the section titled “—Quarterly Results of Operations.”</w:t>
      </w:r>
    </w:p>
    <w:p>
      <w:pPr>
        <w:spacing w:after="0" w:line="171" w:lineRule="exact"/>
        <w:rPr>
          <w:sz w:val="20"/>
          <w:szCs w:val="20"/>
          <w:color w:val="auto"/>
        </w:rPr>
      </w:pPr>
    </w:p>
    <w:p>
      <w:pPr>
        <w:ind w:left="180" w:right="60" w:firstLine="436"/>
        <w:spacing w:after="0" w:line="253" w:lineRule="auto"/>
        <w:rPr>
          <w:sz w:val="20"/>
          <w:szCs w:val="20"/>
          <w:color w:val="auto"/>
        </w:rPr>
      </w:pPr>
      <w:r>
        <w:rPr>
          <w:rFonts w:ascii="Times New Roman" w:cs="Times New Roman" w:eastAsia="Times New Roman" w:hAnsi="Times New Roman"/>
          <w:sz w:val="18"/>
          <w:szCs w:val="18"/>
          <w:color w:val="auto"/>
        </w:rPr>
        <w:t>We generally expect to continue to invest in sales and marketing in the near-term, but will continue to evaluate the impact of COVID-19 on our business and actively manage our sales and marketing spend, including investment in consumer acquisition, which is largely variable, as market conditions change. We will also continue to invest in product development and technology to continue to improve our platform, introduce new offerings and scale existing ones. Additionally, we will invest in our general and administrative infrastructure as we prepare to become a public company and operate as such thereafter. Therefore, we expect our Adjusted EBITDA Margin to decline in the near and medium term. We believe these investments will positively impact our business in the long-term.</w:t>
      </w:r>
    </w:p>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18" w:lineRule="exact"/>
        <w:rPr>
          <w:sz w:val="20"/>
          <w:szCs w:val="20"/>
          <w:color w:val="auto"/>
        </w:rPr>
      </w:pPr>
    </w:p>
    <w:p>
      <w:pPr>
        <w:ind w:left="180" w:right="100" w:firstLine="436"/>
        <w:spacing w:after="0" w:line="277"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but also pose risks and challenges, including those discussed below and in the section of this prospectus titled “Risk Factors.”</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Growth of Monthly Active Consumers Through Consumer Acquisition and Repeat Activity</w:t>
      </w:r>
    </w:p>
    <w:p>
      <w:pPr>
        <w:spacing w:after="0" w:line="118" w:lineRule="exact"/>
        <w:rPr>
          <w:sz w:val="20"/>
          <w:szCs w:val="20"/>
          <w:color w:val="auto"/>
        </w:rPr>
      </w:pPr>
    </w:p>
    <w:p>
      <w:pPr>
        <w:ind w:left="180" w:right="40" w:firstLine="436"/>
        <w:spacing w:after="0" w:line="262" w:lineRule="auto"/>
        <w:rPr>
          <w:sz w:val="20"/>
          <w:szCs w:val="20"/>
          <w:color w:val="auto"/>
        </w:rPr>
      </w:pPr>
      <w:r>
        <w:rPr>
          <w:rFonts w:ascii="Times New Roman" w:cs="Times New Roman" w:eastAsia="Times New Roman" w:hAnsi="Times New Roman"/>
          <w:sz w:val="18"/>
          <w:szCs w:val="18"/>
          <w:color w:val="auto"/>
        </w:rPr>
        <w:t>Our goal is to attract new visitors to our platform and to successfully convert them to become active consumers of our offerings. We also seek to generate value from our existing consumers through repeat activity and higher engagement. We believe that we have a significant opportunity to expand our consumer base given the massive size of the market in which we operate.</w:t>
      </w:r>
    </w:p>
    <w:p>
      <w:pPr>
        <w:spacing w:after="0" w:line="177" w:lineRule="exact"/>
        <w:rPr>
          <w:sz w:val="20"/>
          <w:szCs w:val="20"/>
          <w:color w:val="auto"/>
        </w:rPr>
      </w:pPr>
    </w:p>
    <w:p>
      <w:pPr>
        <w:ind w:left="180" w:right="160" w:firstLine="436"/>
        <w:spacing w:after="0" w:line="285" w:lineRule="auto"/>
        <w:rPr>
          <w:sz w:val="20"/>
          <w:szCs w:val="20"/>
          <w:color w:val="auto"/>
        </w:rPr>
      </w:pPr>
      <w:r>
        <w:rPr>
          <w:rFonts w:ascii="Times New Roman" w:cs="Times New Roman" w:eastAsia="Times New Roman" w:hAnsi="Times New Roman"/>
          <w:sz w:val="17"/>
          <w:szCs w:val="17"/>
          <w:color w:val="auto"/>
        </w:rPr>
        <w:t>Consumer acquisition is driven primarily by the number of consumers that we acquire through unpaid and paid sources. A significant portion of our consumer base comes from unpaid channels, including word-of-mouth referrals from healthcare providers, friends and family. We also acquire consumers through a variety of paid channels, such as television, paid search, marketing to healthcare providers, and other online and offline channels.</w:t>
      </w:r>
    </w:p>
    <w:p>
      <w:pPr>
        <w:spacing w:after="0" w:line="159" w:lineRule="exact"/>
        <w:rPr>
          <w:sz w:val="20"/>
          <w:szCs w:val="20"/>
          <w:color w:val="auto"/>
        </w:rPr>
      </w:pPr>
    </w:p>
    <w:p>
      <w:pPr>
        <w:ind w:left="180" w:right="100" w:firstLine="436"/>
        <w:spacing w:after="0" w:line="251" w:lineRule="auto"/>
        <w:rPr>
          <w:sz w:val="20"/>
          <w:szCs w:val="20"/>
          <w:color w:val="auto"/>
        </w:rPr>
      </w:pPr>
      <w:r>
        <w:rPr>
          <w:rFonts w:ascii="Times New Roman" w:cs="Times New Roman" w:eastAsia="Times New Roman" w:hAnsi="Times New Roman"/>
          <w:sz w:val="18"/>
          <w:szCs w:val="18"/>
          <w:color w:val="auto"/>
        </w:rPr>
        <w:t>For the second quarter of 2020, we had 15 million Monthly Visitors. Monthly Visitors is the number of individuals who visited our apps and websites in a given calendar month. Visitors to our apps and websites are counted independently. As a result, a consumer that visits or engages with our platform through both apps and websites will be counted multiple times in calculating Monthly Visitors, while family members who use a single computer to visit our websites will be counted only once. Additionally, Monthly Active Consumers who used a GoodRx code without accessing our apps or websites (since their GoodRx codes were saved in their profile at the pharmacy), will not be counted as Monthly Visitors. When presented for a period longer than a calendar month, Monthly Visitors is averaged over each calendar month in such period. We believe that we have a substantial opportunity to increase the number of Monthly Visitors as our offerings are applicable to a broad range of Americans seeking healthcare. We also believe that Monthly Visitors in part reflects growth from our newer monetization channels and that over time we can continue to convert Monthly Visitors to Monthly Active Consumers of our prescription offering as well as consumers of our other offerings.</w:t>
      </w:r>
    </w:p>
    <w:p>
      <w:pPr>
        <w:spacing w:after="0" w:line="189" w:lineRule="exact"/>
        <w:rPr>
          <w:sz w:val="20"/>
          <w:szCs w:val="20"/>
          <w:color w:val="auto"/>
        </w:rPr>
      </w:pPr>
    </w:p>
    <w:p>
      <w:pPr>
        <w:ind w:left="180" w:right="200" w:firstLine="436"/>
        <w:spacing w:after="0" w:line="308" w:lineRule="auto"/>
        <w:rPr>
          <w:sz w:val="20"/>
          <w:szCs w:val="20"/>
          <w:color w:val="auto"/>
        </w:rPr>
      </w:pPr>
      <w:r>
        <w:rPr>
          <w:rFonts w:ascii="Times New Roman" w:cs="Times New Roman" w:eastAsia="Times New Roman" w:hAnsi="Times New Roman"/>
          <w:sz w:val="17"/>
          <w:szCs w:val="17"/>
          <w:color w:val="auto"/>
        </w:rPr>
        <w:t>When assessing the efficiency of our marketing spending, we monitor the payback period on consumer acquisition, which has been consistently under eight months since the launch of our prescription offering, despite a significant increase in advertising spending over the last few years.</w:t>
      </w:r>
    </w:p>
    <w:p>
      <w:pPr>
        <w:spacing w:after="0" w:line="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60"/>
          </w:cols>
          <w:pgMar w:left="320" w:top="454" w:right="51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80" w:firstLine="436"/>
        <w:spacing w:after="0" w:line="250" w:lineRule="auto"/>
        <w:rPr>
          <w:sz w:val="20"/>
          <w:szCs w:val="20"/>
          <w:color w:val="auto"/>
        </w:rPr>
      </w:pPr>
      <w:r>
        <w:rPr>
          <w:rFonts w:ascii="Times New Roman" w:cs="Times New Roman" w:eastAsia="Times New Roman" w:hAnsi="Times New Roman"/>
          <w:sz w:val="18"/>
          <w:szCs w:val="18"/>
          <w:color w:val="auto"/>
        </w:rPr>
        <w:t>Payback period represents the number of months it takes a cohort of consumers of our prescription offering to generate a cumulative contribution that equals or exceeds estimated advertising expenses attributable to the acquisition of such cohort in the calendar quarter in which the cohort was acquired. A consumer is considered acquired in the calendar quarter in which such consumer first used a GoodRx code to realize savings compared to the list price of a medication. Cumulative contribution is defined as the cumulative revenue generated from that cohort of consumers of our prescription offering, less our estimated cost of revenue attributable to such revenue. We attribute cost of revenue by applying, in each period in which the cohort generated revenue, the cost of revenue rate (cost of revenue, exclusive of depreciation and amortization, as a percentage of revenue) for such period to the cohort’s revenue for such period. Cost of revenue included for the purposes of calculating the cost of revenue rate excludes cost of revenue that is specific to our telehealth offering, pharmaceutical manufacturer solutions offering, and our subscription offerings. Advertising expense attributable to the acquisition of a new consumer cohort of our prescription offering in a particular period is comprised of third-party expenses on television advertising, search engine marketing expenses, marketing expenses to healthcare professionals, and other online and offline advertising expenses. We exclude personnel costs related to our sales and marketing team, and also exclude any direct spending on other offerings, such as our subscription, pharmaceutical manufacturer solutions and telehealth offerings.</w:t>
      </w:r>
    </w:p>
    <w:p>
      <w:pPr>
        <w:spacing w:after="0" w:line="191" w:lineRule="exact"/>
        <w:rPr>
          <w:sz w:val="20"/>
          <w:szCs w:val="20"/>
          <w:color w:val="auto"/>
        </w:rPr>
      </w:pPr>
    </w:p>
    <w:p>
      <w:pPr>
        <w:ind w:left="180" w:right="100" w:firstLine="436"/>
        <w:spacing w:after="0" w:line="273" w:lineRule="auto"/>
        <w:rPr>
          <w:sz w:val="20"/>
          <w:szCs w:val="20"/>
          <w:color w:val="auto"/>
        </w:rPr>
      </w:pPr>
      <w:r>
        <w:rPr>
          <w:rFonts w:ascii="Times New Roman" w:cs="Times New Roman" w:eastAsia="Times New Roman" w:hAnsi="Times New Roman"/>
          <w:sz w:val="17"/>
          <w:szCs w:val="17"/>
          <w:color w:val="auto"/>
        </w:rPr>
        <w:t>In addition to acquiring new consumers, our success also depends on our ability to continue to generate repeat activity from existing consumers. Since 2016, over 80% of transactions for our prescription offering have come from repeat activity, which refers to the second and later use of our discounted prices by a single GoodRx consumer, whether refilling an existing prescription or filling a new prescription. Our goal is to continue to increase the lifetime value of our consumers through delivering affordable prices and an increasingly engaging product experience, converting more consumers to our subscription offerings, growing our pharmaceutical manufacturer solutions offering and driving utilization of our telehealth offerings.</w:t>
      </w: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Size and Strength of our Healthcare Partner Network</w:t>
      </w:r>
    </w:p>
    <w:p>
      <w:pPr>
        <w:spacing w:after="0" w:line="118" w:lineRule="exact"/>
        <w:rPr>
          <w:sz w:val="20"/>
          <w:szCs w:val="20"/>
          <w:color w:val="auto"/>
        </w:rPr>
      </w:pPr>
    </w:p>
    <w:p>
      <w:pPr>
        <w:ind w:left="180" w:right="140" w:firstLine="436"/>
        <w:spacing w:after="0" w:line="270" w:lineRule="auto"/>
        <w:rPr>
          <w:sz w:val="20"/>
          <w:szCs w:val="20"/>
          <w:color w:val="auto"/>
        </w:rPr>
      </w:pPr>
      <w:r>
        <w:rPr>
          <w:rFonts w:ascii="Times New Roman" w:cs="Times New Roman" w:eastAsia="Times New Roman" w:hAnsi="Times New Roman"/>
          <w:sz w:val="17"/>
          <w:szCs w:val="17"/>
          <w:color w:val="auto"/>
        </w:rPr>
        <w:t>Our proprietary technology platform aggregates data from a variety of different sources on a daily basis to present consumers with curated, geographically relevant prescription pricing that can be used to save money at every major retail pharmacy. Our pricing sources span the entire healthcare industry and include PBMs, pharmacies, pharmaceutical manufacturers, patient assistance programs, Medicare prescription drug plans (Part</w:t>
      </w:r>
    </w:p>
    <w:p>
      <w:pPr>
        <w:ind w:left="180" w:right="500" w:hanging="6"/>
        <w:spacing w:after="0" w:line="255" w:lineRule="auto"/>
        <w:tabs>
          <w:tab w:leader="none" w:pos="4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others. The size of our database, combined with our proprietary platform, allows us to present highly competitive prices to consumers. We believe that we currently have the largest database of PBM prices in the United States.</w:t>
      </w:r>
    </w:p>
    <w:p>
      <w:pPr>
        <w:spacing w:after="0" w:line="182" w:lineRule="exact"/>
        <w:rPr>
          <w:sz w:val="20"/>
          <w:szCs w:val="20"/>
          <w:color w:val="auto"/>
        </w:rPr>
      </w:pPr>
    </w:p>
    <w:p>
      <w:pPr>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We believe the size of our healthcare partner network impacts our ability to provide price comparisons and attractive pricing to drive consumer acquisition and engagement. As we have increased the scale of our business, we have been able to offer consumers access to better pricing for their medications. According to our calculations, on aggregate, in 2019, consumers saving using GoodRx codes were able to realize a discount of 71% off the list price for their medications, compared to 59% in 2016. We believe that we have been able to drive these greater savings by expanding our network of healthcare partners and increasing our number of consumers, which has led to a stronger desire by our partners to show attractive pricing to our consumers. We plan to continue to harness our scale to further deepen our relationships within the healthcare industry.</w:t>
      </w:r>
    </w:p>
    <w:p>
      <w:pPr>
        <w:spacing w:after="0" w:line="187"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color w:val="auto"/>
        </w:rPr>
        <w:t>We have been able to develop strong long-term relationships with our PBM and other healthcare partners and have steadily increased the number of PBMs with which we work. There is currently significant concentration in the U.S. healthcare industry, and in particular only a limited number of PBMs. Due in part to this concentration, a limited number of PBMs generate a significant portion of our revenue. To date, a PBM has never terminated a relationship with us. Even if a contract with a PBM were to be terminated, many of our contracts require the PBM to continue to pay us for activity by consumers originally directed to their pricing by us, even subsequent to the contract termination. Throughout our history, we have been able to help our consumers realize increased savings. PBM mix and relative share on our platform has varied over time as we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60"/>
          </w:cols>
          <w:pgMar w:left="320" w:top="454" w:right="51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80"/>
        <w:spacing w:after="0" w:line="257" w:lineRule="auto"/>
        <w:rPr>
          <w:sz w:val="20"/>
          <w:szCs w:val="20"/>
          <w:color w:val="auto"/>
        </w:rPr>
      </w:pPr>
      <w:r>
        <w:rPr>
          <w:rFonts w:ascii="Times New Roman" w:cs="Times New Roman" w:eastAsia="Times New Roman" w:hAnsi="Times New Roman"/>
          <w:sz w:val="18"/>
          <w:szCs w:val="18"/>
          <w:color w:val="auto"/>
        </w:rPr>
        <w:t>have added new PBMs and as certain PBMs have delivered more or less favorable pricing relative to other PBMs. Even as the mix has changed, we have continued to grow and deliver a strong value proposition to our consumers. While we believe that the loss of any one PBM or other healthcare provider that we partner with would generally result in minimal disruption in our ability to provide competitive discounts and pricing, the breadth of the pricing that we are able to offer consumers may be adversely impacted by any such loss.</w:t>
      </w:r>
    </w:p>
    <w:p>
      <w:pPr>
        <w:spacing w:after="0" w:line="182"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As we continue to expand our platform and scale offerings like pharmaceutical manufacturer solutions and telehealth, our success will also depend on the number of pharmaceutical manufacturers and telehealth providers we are able to engage.</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Growth of our Platform Offerings</w:t>
      </w:r>
    </w:p>
    <w:p>
      <w:pPr>
        <w:spacing w:after="0" w:line="118" w:lineRule="exact"/>
        <w:rPr>
          <w:sz w:val="20"/>
          <w:szCs w:val="20"/>
          <w:color w:val="auto"/>
        </w:rPr>
      </w:pPr>
    </w:p>
    <w:p>
      <w:pPr>
        <w:ind w:left="180" w:firstLine="436"/>
        <w:spacing w:after="0" w:line="262" w:lineRule="auto"/>
        <w:rPr>
          <w:sz w:val="20"/>
          <w:szCs w:val="20"/>
          <w:color w:val="auto"/>
        </w:rPr>
      </w:pPr>
      <w:r>
        <w:rPr>
          <w:rFonts w:ascii="Times New Roman" w:cs="Times New Roman" w:eastAsia="Times New Roman" w:hAnsi="Times New Roman"/>
          <w:sz w:val="18"/>
          <w:szCs w:val="18"/>
          <w:color w:val="auto"/>
        </w:rPr>
        <w:t>We believe that we have several growth opportunities in various stages of development, which may contribute significantly to our financial performance in the future. We believe that growing these offerings will help us to better provide value to consumers at different stages of their healthcare journey, improve our ability to attract additional consumers, and increase the engagement and value of our existing consumer base.</w:t>
      </w:r>
    </w:p>
    <w:p>
      <w:pPr>
        <w:spacing w:after="0" w:line="82" w:lineRule="exact"/>
        <w:rPr>
          <w:sz w:val="20"/>
          <w:szCs w:val="20"/>
          <w:color w:val="auto"/>
        </w:rPr>
      </w:pPr>
    </w:p>
    <w:p>
      <w:pPr>
        <w:ind w:left="1140" w:right="120" w:hanging="432"/>
        <w:spacing w:after="0" w:line="255"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 Offerings</w:t>
      </w:r>
      <w:r>
        <w:rPr>
          <w:rFonts w:ascii="Times New Roman" w:cs="Times New Roman" w:eastAsia="Times New Roman" w:hAnsi="Times New Roman"/>
          <w:sz w:val="18"/>
          <w:szCs w:val="18"/>
          <w:color w:val="auto"/>
        </w:rPr>
        <w:t>: We believe that our subscription offerings will help us attract new consumers, as well as increase engagement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retention with our existing consumer base. We believe we can continue to increase the value proposition of our subscription products for consumers by bundling various existing and new offerings into an affordable and consumer-friendly subscription package, with an aim to make their healthcare journey more convenient and affordable. We believe the growth of our subscriber base will help us continue to improve engagement and increase our recurring revenue base.</w:t>
      </w:r>
    </w:p>
    <w:p>
      <w:pPr>
        <w:spacing w:after="0" w:line="89" w:lineRule="exact"/>
        <w:rPr>
          <w:rFonts w:ascii="Times New Roman" w:cs="Times New Roman" w:eastAsia="Times New Roman" w:hAnsi="Times New Roman"/>
          <w:sz w:val="18"/>
          <w:szCs w:val="18"/>
          <w:color w:val="auto"/>
        </w:rPr>
      </w:pPr>
    </w:p>
    <w:p>
      <w:pPr>
        <w:ind w:left="1140" w:right="20" w:hanging="432"/>
        <w:spacing w:after="0" w:line="251"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Pharmaceutical Manufacturer Solutions</w:t>
      </w:r>
      <w:r>
        <w:rPr>
          <w:rFonts w:ascii="Times New Roman" w:cs="Times New Roman" w:eastAsia="Times New Roman" w:hAnsi="Times New Roman"/>
          <w:sz w:val="18"/>
          <w:szCs w:val="18"/>
          <w:color w:val="auto"/>
        </w:rPr>
        <w:t>: We believe that our pharmaceutical manufacturer solutions offering represents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with attractive incremental margins. This opportunity is driven by a number of factors, including the approximately $30 billion spent in 2016 in the United States on medical marketing and advertising by pharmaceutical manufacturers (not including market access spending by pharmaceutical manufacturers to ensure consumer access and affordability of their medications), our significant base of Monthly Visitors, the approximately 20% of searches on our platform that are for brand medications, the high level of conversion of our consumers to existing pharmaceutical manufacturer affordability offerings, and our efforts to continue to introduce new technology-based solutions for the pharmaceutical manufacturers with whom we work. We plan to continue to expand the number of</w:t>
      </w:r>
    </w:p>
    <w:p>
      <w:pPr>
        <w:spacing w:after="0" w:line="1" w:lineRule="exact"/>
        <w:rPr>
          <w:rFonts w:ascii="Times New Roman" w:cs="Times New Roman" w:eastAsia="Times New Roman" w:hAnsi="Times New Roman"/>
          <w:sz w:val="18"/>
          <w:szCs w:val="18"/>
          <w:color w:val="auto"/>
        </w:rPr>
      </w:pPr>
    </w:p>
    <w:p>
      <w:pPr>
        <w:ind w:left="1140" w:right="3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manufacturers with which we work, as well as enhance our existing offerings and introduce new, integrated technology solutions that will allow pharmaceutical manufacturers to interact with our consumer base more effectively.</w:t>
      </w:r>
    </w:p>
    <w:p>
      <w:pPr>
        <w:spacing w:after="0" w:line="86" w:lineRule="exact"/>
        <w:rPr>
          <w:rFonts w:ascii="Times New Roman" w:cs="Times New Roman" w:eastAsia="Times New Roman" w:hAnsi="Times New Roman"/>
          <w:sz w:val="18"/>
          <w:szCs w:val="18"/>
          <w:color w:val="auto"/>
        </w:rPr>
      </w:pPr>
    </w:p>
    <w:p>
      <w:pPr>
        <w:ind w:left="1140" w:right="20" w:hanging="432"/>
        <w:spacing w:after="0" w:line="250"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Telehealth Offerings</w:t>
      </w:r>
      <w:r>
        <w:rPr>
          <w:rFonts w:ascii="Times New Roman" w:cs="Times New Roman" w:eastAsia="Times New Roman" w:hAnsi="Times New Roman"/>
          <w:sz w:val="18"/>
          <w:szCs w:val="18"/>
          <w:color w:val="auto"/>
        </w:rPr>
        <w:t>: We believe that we have an opportunity to continue to increase the interaction between, and leverage the cross-sell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across, our telehealth offerings and our prescription and subscription offerings. For example, our data suggests that approximately 20% of consumers who search for medication on GoodRx do not have a prescription at the time of their search. Through HeyDoctor and the GoodRx Telehealth Marketplace, we can provide these and other consumers with a convenient and affordable way to receive a diagnosis and a prescription online, when medically appropriate. We plan to expand the medical conditions that we serve through HeyDoctor and continue to improve the functionality and integration of our telehealth offerings with our platform. We have been focused on accelerating the number of conditions and geographies we cover and consumers we reach, and not on optimizing our costs as they compare to the revenue we earn from HeyDoctor visits. Year to date, the payments we have made to telehealth physicians has been roughly offset by the revenue we have generated from our telehealth consumers. Additionally, our GoodRx Telehealth Marketplace was recently launched with the goal of expanding the suite of telehealth services that we provide to consumers. We plan to add new services to this marketplace and make it more integrated with our other offerings, as we see this as an opportunity to add another key consumer entry point into the GoodRx platform, as well as another monetization opportunity in the consumer journey.</w:t>
      </w:r>
    </w:p>
    <w:p>
      <w:pPr>
        <w:spacing w:after="0" w:line="126"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94 -</w:t>
      </w:r>
    </w:p>
    <w:p>
      <w:pPr>
        <w:sectPr>
          <w:pgSz w:w="11900" w:h="16838" w:orient="portrait"/>
          <w:cols w:equalWidth="0" w:num="1">
            <w:col w:w="11080"/>
          </w:cols>
          <w:pgMar w:left="320" w:top="454" w:right="49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320" w:firstLine="436"/>
        <w:spacing w:after="0" w:line="262" w:lineRule="auto"/>
        <w:rPr>
          <w:sz w:val="20"/>
          <w:szCs w:val="20"/>
          <w:color w:val="auto"/>
        </w:rPr>
      </w:pPr>
      <w:r>
        <w:rPr>
          <w:rFonts w:ascii="Times New Roman" w:cs="Times New Roman" w:eastAsia="Times New Roman" w:hAnsi="Times New Roman"/>
          <w:sz w:val="18"/>
          <w:szCs w:val="18"/>
          <w:color w:val="auto"/>
        </w:rPr>
        <w:t>The large number of highly engaged consumers who trust our brand and platform provide a strong foundation for the development of new offerings that extend across the healthcare market. We will continue to invest in expanding our platform and add new offerings so that we can attract new consumers and better engage with our consumer and visitor base.</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Pricing and Insurance</w:t>
      </w:r>
    </w:p>
    <w:p>
      <w:pPr>
        <w:spacing w:after="0" w:line="118" w:lineRule="exact"/>
        <w:rPr>
          <w:sz w:val="20"/>
          <w:szCs w:val="20"/>
          <w:color w:val="auto"/>
        </w:rPr>
      </w:pPr>
    </w:p>
    <w:p>
      <w:pPr>
        <w:ind w:left="180" w:right="200" w:firstLine="436"/>
        <w:spacing w:after="0" w:line="255" w:lineRule="auto"/>
        <w:rPr>
          <w:sz w:val="20"/>
          <w:szCs w:val="20"/>
          <w:color w:val="auto"/>
        </w:rPr>
      </w:pPr>
      <w:r>
        <w:rPr>
          <w:rFonts w:ascii="Times New Roman" w:cs="Times New Roman" w:eastAsia="Times New Roman" w:hAnsi="Times New Roman"/>
          <w:sz w:val="18"/>
          <w:szCs w:val="18"/>
          <w:color w:val="auto"/>
        </w:rPr>
        <w:t>As our prescription and subscription offerings depend on pricing aggregation and analysis, as well as providing insured and non-insured consumers with access to negotiated prices, our performance may also be impacted by changes in medication pricing structures, insurance premiums, and insurance coverage, which we do not control. See “Risk Factors—Risks Related to Our Business—We generally do not control the categories and types of prescriptions for which we can offer savings or discounted prices” and “—Our business is subject to changes in medication pricing and is significantly impacted by pricing structures negotiated by industry participants.”</w:t>
      </w:r>
    </w:p>
    <w:p>
      <w:pPr>
        <w:spacing w:after="0" w:line="2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Regulatory Conditions</w:t>
      </w:r>
    </w:p>
    <w:p>
      <w:pPr>
        <w:spacing w:after="0" w:line="118" w:lineRule="exact"/>
        <w:rPr>
          <w:sz w:val="20"/>
          <w:szCs w:val="20"/>
          <w:color w:val="auto"/>
        </w:rPr>
      </w:pPr>
    </w:p>
    <w:p>
      <w:pPr>
        <w:ind w:left="180" w:right="40" w:firstLine="436"/>
        <w:spacing w:after="0" w:line="252" w:lineRule="auto"/>
        <w:rPr>
          <w:sz w:val="20"/>
          <w:szCs w:val="20"/>
          <w:color w:val="auto"/>
        </w:rPr>
      </w:pPr>
      <w:r>
        <w:rPr>
          <w:rFonts w:ascii="Times New Roman" w:cs="Times New Roman" w:eastAsia="Times New Roman" w:hAnsi="Times New Roman"/>
          <w:sz w:val="18"/>
          <w:szCs w:val="18"/>
          <w:color w:val="auto"/>
        </w:rPr>
        <w:t>As we receive the majority of our revenue from our healthcare partners, primarily PBMs, changes in the regulatory landscape and potential new legislation that impact such healthcare partners may impact our financial and operational performance. See “Business—Government Regulation,” “Risk Factors—Risks Related to the Healthcare Industry—We may be subject to state and federal fraud and abuse and other healthcare regulatory laws and regulations. If we or our commercial partners act in a manner that violates such laws or otherwise engage in misconduct, we may be subject to civil or criminal penalties as well as exclusion from government healthcare programs,” “—The impact of recent healthcare reform legislation and other changes in the healthcare industry and in healthcare spending on us is currently unknown, but may adversely affect our business, financial condition and results of operations” and “Risks Related to Our Business—We rely on a limited number of industry participants.”</w:t>
      </w:r>
    </w:p>
    <w:p>
      <w:pPr>
        <w:spacing w:after="0" w:line="2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8" w:lineRule="exact"/>
        <w:rPr>
          <w:sz w:val="20"/>
          <w:szCs w:val="20"/>
          <w:color w:val="auto"/>
        </w:rPr>
      </w:pPr>
    </w:p>
    <w:p>
      <w:pPr>
        <w:ind w:left="180" w:right="60" w:firstLine="436"/>
        <w:spacing w:after="0" w:line="262" w:lineRule="auto"/>
        <w:rPr>
          <w:sz w:val="20"/>
          <w:szCs w:val="20"/>
          <w:color w:val="auto"/>
        </w:rPr>
      </w:pPr>
      <w:r>
        <w:rPr>
          <w:rFonts w:ascii="Times New Roman" w:cs="Times New Roman" w:eastAsia="Times New Roman" w:hAnsi="Times New Roman"/>
          <w:sz w:val="18"/>
          <w:szCs w:val="18"/>
          <w:color w:val="auto"/>
        </w:rPr>
        <w:t>Our revenue is primarily derived from prescription transactions revenue that is generated when pharmacies fill prescriptions for consumers, and from other revenue streams such as our subscription offerings, from pharmaceutical manufacturers and affiliates, and our telehealth offerings. All of our revenue has been generated in the United States.</w:t>
      </w:r>
    </w:p>
    <w:p>
      <w:pPr>
        <w:spacing w:after="0" w:line="82" w:lineRule="exact"/>
        <w:rPr>
          <w:sz w:val="20"/>
          <w:szCs w:val="20"/>
          <w:color w:val="auto"/>
        </w:rPr>
      </w:pPr>
    </w:p>
    <w:p>
      <w:pPr>
        <w:ind w:left="1140" w:hanging="432"/>
        <w:spacing w:after="0" w:line="268" w:lineRule="auto"/>
        <w:tabs>
          <w:tab w:leader="none" w:pos="11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Prescription transactions revenue</w:t>
      </w:r>
      <w:r>
        <w:rPr>
          <w:rFonts w:ascii="Times New Roman" w:cs="Times New Roman" w:eastAsia="Times New Roman" w:hAnsi="Times New Roman"/>
          <w:sz w:val="17"/>
          <w:szCs w:val="17"/>
          <w:color w:val="auto"/>
        </w:rPr>
        <w:t>: Consists primarily of revenue generated from PBMs when a prescription is filled with a GoodRx code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provided through our platform. For example, when a consumer uses a GoodRx code to fill a prescription and saves money compared to the list price at that pharmacy, we receive fees from our partners, primarily PBMs. The majority of our contracts with PBMs provide for fees that represent a percentage of the fees that the PBM charges to the pharmacy, and a minority of our contracts provide for a fixed fee per transaction. Our percentage of fee contracts often also include a minimum fixed fee per transaction. In 2018, 2019 and the first half of 2020, 15%, 7% and 7%, respectively, of our prescription transactions revenue was generated pursuant to contracts that were entirely fixed fee arrangements. We expect the revenue contribution from contracts with fixed fee arrangements to remain largely stable over the medium term, and do not expect that changes in revenue contribution from fixed fee versus percentage of fee arrangements will materially impact our revenue. Certain contracts also provide that the amount of fees we receive is based on the volume of prescriptions filled each month.</w:t>
      </w:r>
    </w:p>
    <w:p>
      <w:pPr>
        <w:spacing w:after="0" w:line="79" w:lineRule="exact"/>
        <w:rPr>
          <w:rFonts w:ascii="Times New Roman" w:cs="Times New Roman" w:eastAsia="Times New Roman" w:hAnsi="Times New Roman"/>
          <w:sz w:val="17"/>
          <w:szCs w:val="17"/>
          <w:color w:val="auto"/>
        </w:rPr>
      </w:pPr>
    </w:p>
    <w:p>
      <w:pPr>
        <w:ind w:left="1140" w:right="200" w:hanging="432"/>
        <w:spacing w:after="0" w:line="258"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Consists primarily of subscription revenue from our subscription offerings, including Gold and Kroger Savings,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from pharmaceutical manufacturers for advertising and integrating onto our platform their affordability solutions to our consumers and advertising in direct mailers, and revenue generated by our telehealth offerings that allow consumers to access healthcare professionals online.</w:t>
      </w:r>
    </w:p>
    <w:p>
      <w:pPr>
        <w:spacing w:after="0" w:line="113"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w:t>
      </w:r>
    </w:p>
    <w:p>
      <w:pPr>
        <w:sectPr>
          <w:pgSz w:w="11900" w:h="16838" w:orient="portrait"/>
          <w:cols w:equalWidth="0" w:num="1">
            <w:col w:w="11060"/>
          </w:cols>
          <w:pgMar w:left="320" w:top="454" w:right="51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incur the following expenses directly related to our cost of revenue and operating expenses:</w:t>
      </w:r>
    </w:p>
    <w:p>
      <w:pPr>
        <w:spacing w:after="0" w:line="125" w:lineRule="exact"/>
        <w:rPr>
          <w:sz w:val="20"/>
          <w:szCs w:val="20"/>
          <w:color w:val="auto"/>
        </w:rPr>
      </w:pPr>
    </w:p>
    <w:p>
      <w:pPr>
        <w:ind w:left="1140" w:right="60" w:hanging="432"/>
        <w:spacing w:after="0" w:line="255"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Consists primarily of costs related to outsourced consumer support, healthcare provider costs for HeyDoctor, personnel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including salaries, benefits, bonuses and stock-based compensation expense, for our consumer support employees, hosting and cloud costs, merchant account fees, processing fees and allocated overhead. Cost of revenue is largely driven by the growth of our visitor and active consumer base, as well as our telehealth offerings. Our cost of revenue as a percentage of revenue may vary based on the relative growth rates of our various offerings.</w:t>
      </w:r>
    </w:p>
    <w:p>
      <w:pPr>
        <w:spacing w:after="0" w:line="89" w:lineRule="exact"/>
        <w:rPr>
          <w:rFonts w:ascii="Times New Roman" w:cs="Times New Roman" w:eastAsia="Times New Roman" w:hAnsi="Times New Roman"/>
          <w:sz w:val="18"/>
          <w:szCs w:val="18"/>
          <w:color w:val="auto"/>
        </w:rPr>
      </w:pPr>
    </w:p>
    <w:p>
      <w:pPr>
        <w:ind w:left="1140" w:right="20" w:hanging="432"/>
        <w:spacing w:after="0" w:line="253"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development and technology: </w:t>
      </w:r>
      <w:r>
        <w:rPr>
          <w:rFonts w:ascii="Times New Roman" w:cs="Times New Roman" w:eastAsia="Times New Roman" w:hAnsi="Times New Roman"/>
          <w:sz w:val="18"/>
          <w:szCs w:val="18"/>
          <w:color w:val="auto"/>
        </w:rPr>
        <w:t>Consists primarily of personnel costs, including salaries, benefits, bonuses and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expense, for employees involved in product development activities, third-party services and contractors related to product development, information technology and software-related costs, and allocated overhead. Product development and technology expenses are primarily driven by increases in headcount required to support and further develop our various products. We capitalize certain qualified costs related to the development of internal-use software, which may also cause Product Development and Technology expenses to vary from period to period. We expect product development and technology expenses will increase on an absolute dollar basis as we continue to grow our platform and product offerings</w:t>
      </w:r>
    </w:p>
    <w:p>
      <w:pPr>
        <w:spacing w:after="0" w:line="88" w:lineRule="exact"/>
        <w:rPr>
          <w:rFonts w:ascii="Times New Roman" w:cs="Times New Roman" w:eastAsia="Times New Roman" w:hAnsi="Times New Roman"/>
          <w:sz w:val="18"/>
          <w:szCs w:val="18"/>
          <w:color w:val="auto"/>
        </w:rPr>
      </w:pPr>
    </w:p>
    <w:p>
      <w:pPr>
        <w:ind w:left="1140" w:right="20" w:hanging="432"/>
        <w:spacing w:after="0" w:line="255"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Consists primarily of advertising and marketing expenses for consumer acquisition and retention,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costs, including salaries, benefits, bonuses, stock-based compensation expense and sales commissions, for sales and marketing employees, third-party services and contractors, and allocated overhead. Sales and marketing expenses are primarily driven by investments to grow and retain our consumer base and may fluctuate based on the timing of our investments in consumer acquisition and retention. Over the near to medium term, we expect to increase our spending on sales and marketing.</w:t>
      </w:r>
    </w:p>
    <w:p>
      <w:pPr>
        <w:spacing w:after="0" w:line="89" w:lineRule="exact"/>
        <w:rPr>
          <w:rFonts w:ascii="Times New Roman" w:cs="Times New Roman" w:eastAsia="Times New Roman" w:hAnsi="Times New Roman"/>
          <w:sz w:val="18"/>
          <w:szCs w:val="18"/>
          <w:color w:val="auto"/>
        </w:rPr>
      </w:pPr>
    </w:p>
    <w:p>
      <w:pPr>
        <w:ind w:left="1140" w:hanging="432"/>
        <w:spacing w:after="0" w:line="251"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Consists primarily of personnel costs including salaries, benefits, bonuses and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for our executive, finance, accounting, legal, and human resources functions, as well as professional fees, occupancy costs, and other general overhead costs. We expect to incur additional general and administrative costs in compliance, legal, investor relations, insurance, and professional services following the completion of this offering related to our compliance and reporting obligations as a public company. We also expect to incur additional general and administrative costs in connection with the vesting and settlement of RSUs and our Founders Awards in particular. For more information regarding the potential expenses and liabilities related to our RSUs and Founders Awards, please see “Risk Factors—We anticipate incurring substantial stock-based compensation expense and incurring substantial obligations related to the vesting and settlement of RSUs granted in connection with the completion of this offering, which may have an adverse effect on our financial condition and results of operations and may result in substantial dilution.” We also anticipate that as we continue to grow as a company our general and administrative costs will increase on an absolute dollar basis.</w:t>
      </w:r>
    </w:p>
    <w:p>
      <w:pPr>
        <w:spacing w:after="0" w:line="92" w:lineRule="exact"/>
        <w:rPr>
          <w:rFonts w:ascii="Times New Roman" w:cs="Times New Roman" w:eastAsia="Times New Roman" w:hAnsi="Times New Roman"/>
          <w:sz w:val="18"/>
          <w:szCs w:val="18"/>
          <w:color w:val="auto"/>
        </w:rPr>
      </w:pPr>
    </w:p>
    <w:p>
      <w:pPr>
        <w:ind w:left="1140" w:right="160" w:hanging="432"/>
        <w:spacing w:after="0" w:line="263"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Consists of depreciation of property and equipment and amortization of capitalized internal-use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and intangible assets. Our depreciation and amortization changes primarily based on changes in our property and equipment, intangible assets, and capitalized software balances.</w:t>
      </w: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other expense (income) consists of the following:</w:t>
      </w:r>
    </w:p>
    <w:p>
      <w:pPr>
        <w:spacing w:after="0" w:line="125" w:lineRule="exact"/>
        <w:rPr>
          <w:sz w:val="20"/>
          <w:szCs w:val="20"/>
          <w:color w:val="auto"/>
        </w:rPr>
      </w:pPr>
    </w:p>
    <w:p>
      <w:pPr>
        <w:ind w:left="1140" w:hanging="432"/>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Consists primarily of third-party transaction expenses related to the modification of our debt facilities.</w:t>
      </w:r>
    </w:p>
    <w:p>
      <w:pPr>
        <w:spacing w:after="0" w:line="155"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w:t>
      </w:r>
    </w:p>
    <w:p>
      <w:pPr>
        <w:sectPr>
          <w:pgSz w:w="11900" w:h="16838" w:orient="portrait"/>
          <w:cols w:equalWidth="0" w:num="1">
            <w:col w:w="11060"/>
          </w:cols>
          <w:pgMar w:left="320" w:top="454" w:right="51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140" w:hanging="432"/>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Consists of losses recognized due to extinguishment of debt.</w:t>
      </w:r>
    </w:p>
    <w:p>
      <w:pPr>
        <w:spacing w:after="0" w:line="126" w:lineRule="exact"/>
        <w:rPr>
          <w:rFonts w:ascii="Times New Roman" w:cs="Times New Roman" w:eastAsia="Times New Roman" w:hAnsi="Times New Roman"/>
          <w:sz w:val="18"/>
          <w:szCs w:val="18"/>
          <w:color w:val="auto"/>
        </w:rPr>
      </w:pPr>
    </w:p>
    <w:p>
      <w:pPr>
        <w:ind w:left="1140" w:right="100" w:hanging="432"/>
        <w:spacing w:after="0" w:line="279"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Consists primarily of interest expense associated with the Credit Facilities (as defined below), including amortization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issuance costs and discounts.</w:t>
      </w:r>
    </w:p>
    <w:p>
      <w:pPr>
        <w:spacing w:after="0" w:line="6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Consists primarily of interest income earned on excess cash held in interest-bearing accounts.</w:t>
      </w:r>
    </w:p>
    <w:p>
      <w:pPr>
        <w:spacing w:after="0" w:line="3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8" w:lineRule="exact"/>
        <w:rPr>
          <w:sz w:val="20"/>
          <w:szCs w:val="20"/>
          <w:color w:val="auto"/>
        </w:rPr>
      </w:pPr>
    </w:p>
    <w:p>
      <w:pPr>
        <w:ind w:left="180" w:firstLine="436"/>
        <w:spacing w:after="0" w:line="262" w:lineRule="auto"/>
        <w:rPr>
          <w:sz w:val="20"/>
          <w:szCs w:val="20"/>
          <w:color w:val="auto"/>
        </w:rPr>
      </w:pPr>
      <w:r>
        <w:rPr>
          <w:rFonts w:ascii="Times New Roman" w:cs="Times New Roman" w:eastAsia="Times New Roman" w:hAnsi="Times New Roman"/>
          <w:sz w:val="18"/>
          <w:szCs w:val="18"/>
          <w:color w:val="auto"/>
        </w:rPr>
        <w:t>Our income tax expense consists of federal and state income taxes. Our effective income tax rate for the years 2018 and 2019 of 16% and 20%, respectively, and for the first half of 2019 and 2020 of 21% and 22%, respectively, differed from the U.S. statutory tax rate of 21% primarily due to U.S. federal and state tax credits, state income taxes and stock-based compensation tax deductions.</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8" w:lineRule="exact"/>
        <w:rPr>
          <w:sz w:val="20"/>
          <w:szCs w:val="20"/>
          <w:color w:val="auto"/>
        </w:rPr>
      </w:pPr>
    </w:p>
    <w:p>
      <w:pPr>
        <w:ind w:left="180" w:right="140" w:firstLine="436"/>
        <w:spacing w:after="0" w:line="277"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for the periods presented. The period-to-period comparisons of our historical results are not necessarily indicative of the results that may be expected in the future.</w:t>
      </w:r>
    </w:p>
    <w:p>
      <w:pPr>
        <w:spacing w:after="0" w:line="184"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6"/>
          </w:tcPr>
          <w:p>
            <w:pPr>
              <w:jc w:val="right"/>
              <w:ind w:right="66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Prescription transactions revenue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242,911</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364,582</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164,318</w:t>
            </w:r>
          </w:p>
        </w:tc>
        <w:tc>
          <w:tcPr>
            <w:tcW w:w="22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249,522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388,224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8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Cost of revenue, exclusive of depreciation and amortization presented</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separately below</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development and technology</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104,177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176,967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172,271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248,548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139,676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56,698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43,793</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jc w:val="right"/>
              <w:ind w:right="311"/>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56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4" w:right="5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2019 and 2020</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72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340" w:type="dxa"/>
            <w:vAlign w:val="bottom"/>
          </w:tcPr>
          <w:p>
            <w:pPr>
              <w:spacing w:after="0"/>
              <w:rPr>
                <w:sz w:val="12"/>
                <w:szCs w:val="12"/>
                <w:color w:val="auto"/>
              </w:rPr>
            </w:pPr>
          </w:p>
        </w:tc>
        <w:tc>
          <w:tcPr>
            <w:tcW w:w="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80" w:type="dxa"/>
            <w:vAlign w:val="bottom"/>
            <w:tcBorders>
              <w:bottom w:val="single" w:sz="8" w:color="auto"/>
            </w:tcBorders>
          </w:tcPr>
          <w:p>
            <w:pPr>
              <w:jc w:val="right"/>
              <w:ind w:right="123"/>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040" w:type="dxa"/>
            <w:vAlign w:val="bottom"/>
            <w:tcBorders>
              <w:bottom w:val="single" w:sz="8" w:color="auto"/>
            </w:tcBorders>
            <w:gridSpan w:val="2"/>
          </w:tcPr>
          <w:p>
            <w:pPr>
              <w:jc w:val="right"/>
              <w:ind w:right="111"/>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3"/>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15"/>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20" w:type="dxa"/>
            <w:vAlign w:val="bottom"/>
            <w:gridSpan w:val="5"/>
          </w:tcPr>
          <w:p>
            <w:pPr>
              <w:ind w:left="320"/>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Prescription transactions revenue</w:t>
            </w:r>
          </w:p>
        </w:tc>
        <w:tc>
          <w:tcPr>
            <w:tcW w:w="2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$164,318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$232,565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$68,247</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24,138</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15,233</w:t>
            </w:r>
          </w:p>
        </w:tc>
        <w:tc>
          <w:tcPr>
            <w:tcW w:w="3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173,223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256,703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83,480</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Revenue for the six months ended June 30, 2020 increased $83.5 million, or 48%, compared to the six months ended June 30, 2019.</w:t>
      </w:r>
    </w:p>
    <w:p>
      <w:pPr>
        <w:spacing w:after="0" w:line="220" w:lineRule="exact"/>
        <w:rPr>
          <w:sz w:val="20"/>
          <w:szCs w:val="20"/>
          <w:color w:val="auto"/>
        </w:rPr>
      </w:pPr>
    </w:p>
    <w:p>
      <w:pPr>
        <w:ind w:left="180" w:right="200" w:firstLine="436"/>
        <w:spacing w:after="0" w:line="257" w:lineRule="auto"/>
        <w:rPr>
          <w:sz w:val="20"/>
          <w:szCs w:val="20"/>
          <w:color w:val="auto"/>
        </w:rPr>
      </w:pPr>
      <w:r>
        <w:rPr>
          <w:rFonts w:ascii="Times New Roman" w:cs="Times New Roman" w:eastAsia="Times New Roman" w:hAnsi="Times New Roman"/>
          <w:sz w:val="18"/>
          <w:szCs w:val="18"/>
          <w:color w:val="auto"/>
        </w:rPr>
        <w:t>Prescription transactions revenue for the six months ended June 30, 2020 increased $68.2 million, or 42%, compared to the six months ended June 30, 2019, driven primarily by a 39% increase in the number of our Monthly Active Consumers. Prescription transactions revenue was negatively impacted in the second quarter of 2020 due to the impact of COVID-19, as many consumers avoided visiting healthcare professionals and pharmacies in-person, which led to a decrease in Monthly Active Consumers. See “—Quarterly Results of Operations.”</w:t>
      </w:r>
    </w:p>
    <w:p>
      <w:pPr>
        <w:spacing w:after="0" w:line="182" w:lineRule="exact"/>
        <w:rPr>
          <w:sz w:val="20"/>
          <w:szCs w:val="20"/>
          <w:color w:val="auto"/>
        </w:rPr>
      </w:pPr>
    </w:p>
    <w:p>
      <w:pPr>
        <w:ind w:left="180" w:firstLine="436"/>
        <w:spacing w:after="0" w:line="255" w:lineRule="auto"/>
        <w:rPr>
          <w:sz w:val="20"/>
          <w:szCs w:val="20"/>
          <w:color w:val="auto"/>
        </w:rPr>
      </w:pPr>
      <w:r>
        <w:rPr>
          <w:rFonts w:ascii="Times New Roman" w:cs="Times New Roman" w:eastAsia="Times New Roman" w:hAnsi="Times New Roman"/>
          <w:sz w:val="18"/>
          <w:szCs w:val="18"/>
          <w:color w:val="auto"/>
        </w:rPr>
        <w:t>Other revenue for the six months ended June 30, 2020 increased $15.2 million, or 171%, compared to the six months ended June 30, 2019. This increase was primarily due to an increase of $7.6 million in subscription revenue as a result of an increase in the number of subscribers in the six months ended June 30, 2020 compared to the six months ended June 30, 2019. The increase in other revenue was also due to a $5.3 million increase in advertising revenue, primarily from pharmaceutical manufacturers, and a $2.9 million increase in telehealth revenue following the acquisition of HeyDoctor in 2019 and the launch of the GoodRx Telehealth Marketplace in March 2020.</w:t>
      </w:r>
    </w:p>
    <w:p>
      <w:pPr>
        <w:spacing w:after="0" w:line="2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operating expenses</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jc w:val="center"/>
              <w:ind w:left="529"/>
              <w:spacing w:after="0" w:line="147"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569"/>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top w:val="single" w:sz="8" w:color="auto"/>
              <w:bottom w:val="single" w:sz="8" w:color="auto"/>
            </w:tcBorders>
          </w:tcPr>
          <w:p>
            <w:pPr>
              <w:jc w:val="right"/>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609"/>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bottom w:val="single" w:sz="8" w:color="auto"/>
            </w:tcBorders>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gridSpan w:val="4"/>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060" w:type="dxa"/>
            <w:vAlign w:val="bottom"/>
            <w:gridSpan w:val="2"/>
            <w:shd w:val="clear" w:color="auto" w:fill="CCEEFF"/>
          </w:tcPr>
          <w:p>
            <w:pPr>
              <w:jc w:val="right"/>
              <w:ind w:right="469"/>
              <w:spacing w:after="0"/>
              <w:rPr>
                <w:sz w:val="20"/>
                <w:szCs w:val="20"/>
                <w:color w:val="auto"/>
              </w:rPr>
            </w:pPr>
            <w:r>
              <w:rPr>
                <w:rFonts w:ascii="Times New Roman" w:cs="Times New Roman" w:eastAsia="Times New Roman" w:hAnsi="Times New Roman"/>
                <w:sz w:val="18"/>
                <w:szCs w:val="18"/>
                <w:color w:val="auto"/>
              </w:rPr>
              <w:t>$6,024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$12,843</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9"/>
              <w:spacing w:after="0"/>
              <w:rPr>
                <w:sz w:val="20"/>
                <w:szCs w:val="20"/>
                <w:color w:val="auto"/>
              </w:rPr>
            </w:pPr>
            <w:r>
              <w:rPr>
                <w:rFonts w:ascii="Times New Roman" w:cs="Times New Roman" w:eastAsia="Times New Roman" w:hAnsi="Times New Roman"/>
                <w:sz w:val="18"/>
                <w:szCs w:val="18"/>
                <w:color w:val="auto"/>
              </w:rPr>
              <w:t>$6,819</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5"/>
        </w:trPr>
        <w:tc>
          <w:tcPr>
            <w:tcW w:w="5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2060" w:type="dxa"/>
            <w:vAlign w:val="bottom"/>
            <w:gridSpan w:val="2"/>
          </w:tcPr>
          <w:p>
            <w:pPr>
              <w:jc w:val="right"/>
              <w:ind w:right="329"/>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80" w:right="60" w:firstLine="436"/>
        <w:spacing w:after="0" w:line="255" w:lineRule="auto"/>
        <w:rPr>
          <w:sz w:val="20"/>
          <w:szCs w:val="20"/>
          <w:color w:val="auto"/>
        </w:rPr>
      </w:pPr>
      <w:r>
        <w:rPr>
          <w:rFonts w:ascii="Times New Roman" w:cs="Times New Roman" w:eastAsia="Times New Roman" w:hAnsi="Times New Roman"/>
          <w:sz w:val="18"/>
          <w:szCs w:val="18"/>
          <w:color w:val="auto"/>
        </w:rPr>
        <w:t>Cost of revenue for the six months ended June 30, 2020 increased $6.8 million, or 113%, compared to the six months ended June 30, 2019. This increase was primarily due to a $2.8 million increase in provider cost related to our telehealth offerings following the acquisition of HeyDoctor in 2019, a $1.4 million increase in outsourced and in-house personnel related consumer support expense to support our growth, a $0.6 million increase in processing fees due to our Kroger Savings subscription program and our telehealth offerings, and other increases in hosting and cloud expenses, merchant fees, and allocated overhead.</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60"/>
          </w:cols>
          <w:pgMar w:left="320" w:top="454" w:right="51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Product development and technology</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4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20" w:type="dxa"/>
            <w:vAlign w:val="bottom"/>
          </w:tcPr>
          <w:p>
            <w:pPr>
              <w:jc w:val="center"/>
              <w:ind w:left="529"/>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20" w:type="dxa"/>
            <w:vAlign w:val="bottom"/>
            <w:tcBorders>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4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20" w:type="dxa"/>
            <w:vAlign w:val="bottom"/>
            <w:tcBorders>
              <w:bottom w:val="single" w:sz="8" w:color="auto"/>
            </w:tcBorders>
          </w:tcPr>
          <w:p>
            <w:pPr>
              <w:jc w:val="right"/>
              <w:ind w:right="629"/>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jc w:val="right"/>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09"/>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ind w:left="120"/>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4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80" w:type="dxa"/>
            <w:vAlign w:val="bottom"/>
            <w:gridSpan w:val="4"/>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 and technology</w:t>
            </w:r>
          </w:p>
        </w:tc>
        <w:tc>
          <w:tcPr>
            <w:tcW w:w="2900" w:type="dxa"/>
            <w:vAlign w:val="bottom"/>
            <w:gridSpan w:val="2"/>
            <w:shd w:val="clear" w:color="auto" w:fill="CCEEFF"/>
          </w:tcPr>
          <w:p>
            <w:pPr>
              <w:jc w:val="right"/>
              <w:ind w:right="469"/>
              <w:spacing w:after="0"/>
              <w:rPr>
                <w:sz w:val="20"/>
                <w:szCs w:val="20"/>
                <w:color w:val="auto"/>
              </w:rPr>
            </w:pPr>
            <w:r>
              <w:rPr>
                <w:rFonts w:ascii="Times New Roman" w:cs="Times New Roman" w:eastAsia="Times New Roman" w:hAnsi="Times New Roman"/>
                <w:sz w:val="18"/>
                <w:szCs w:val="18"/>
                <w:color w:val="auto"/>
              </w:rPr>
              <w:t>$11,636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$22,287</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8"/>
                <w:szCs w:val="18"/>
                <w:color w:val="auto"/>
              </w:rPr>
              <w:t>$10,651</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5"/>
        </w:trPr>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2900" w:type="dxa"/>
            <w:vAlign w:val="bottom"/>
            <w:gridSpan w:val="2"/>
          </w:tcPr>
          <w:p>
            <w:pPr>
              <w:jc w:val="right"/>
              <w:ind w:right="329"/>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80" w:right="120" w:firstLine="436"/>
        <w:spacing w:after="0" w:line="257" w:lineRule="auto"/>
        <w:rPr>
          <w:sz w:val="20"/>
          <w:szCs w:val="20"/>
          <w:color w:val="auto"/>
        </w:rPr>
      </w:pPr>
      <w:r>
        <w:rPr>
          <w:rFonts w:ascii="Times New Roman" w:cs="Times New Roman" w:eastAsia="Times New Roman" w:hAnsi="Times New Roman"/>
          <w:sz w:val="18"/>
          <w:szCs w:val="18"/>
          <w:color w:val="auto"/>
        </w:rPr>
        <w:t>Product development and technology expenses for the six months ended June 30, 2020 increased by $10.7 million, or 92%, compared to the six months ended June 30, 2019. This increase was primarily due to increases in product development related personnel expenses of $7.6 million due to higher headcount, increases in third-party services and contractor expenses related to product development of $1.4 million, and an increase in allocated overhead of $1.7 million to support our product development efforts.</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1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120" w:type="dxa"/>
            <w:vAlign w:val="bottom"/>
          </w:tcPr>
          <w:p>
            <w:pPr>
              <w:jc w:val="center"/>
              <w:ind w:left="609"/>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609"/>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tcBorders>
              <w:top w:val="single" w:sz="8" w:color="auto"/>
              <w:bottom w:val="single" w:sz="8" w:color="auto"/>
            </w:tcBorders>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629"/>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auto"/>
            </w:tcBorders>
          </w:tcPr>
          <w:p>
            <w:pPr>
              <w:ind w:left="120"/>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80" w:type="dxa"/>
            <w:vAlign w:val="bottom"/>
            <w:gridSpan w:val="4"/>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20" w:type="dxa"/>
            <w:vAlign w:val="bottom"/>
            <w:gridSpan w:val="2"/>
            <w:shd w:val="clear" w:color="auto" w:fill="CCEEFF"/>
          </w:tcPr>
          <w:p>
            <w:pPr>
              <w:jc w:val="right"/>
              <w:ind w:right="469"/>
              <w:spacing w:after="0"/>
              <w:rPr>
                <w:sz w:val="20"/>
                <w:szCs w:val="20"/>
                <w:color w:val="auto"/>
              </w:rPr>
            </w:pPr>
            <w:r>
              <w:rPr>
                <w:rFonts w:ascii="Times New Roman" w:cs="Times New Roman" w:eastAsia="Times New Roman" w:hAnsi="Times New Roman"/>
                <w:sz w:val="18"/>
                <w:szCs w:val="18"/>
                <w:color w:val="auto"/>
              </w:rPr>
              <w:t>$77,689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$115,082</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9"/>
              <w:spacing w:after="0"/>
              <w:rPr>
                <w:sz w:val="20"/>
                <w:szCs w:val="20"/>
                <w:color w:val="auto"/>
              </w:rPr>
            </w:pPr>
            <w:r>
              <w:rPr>
                <w:rFonts w:ascii="Times New Roman" w:cs="Times New Roman" w:eastAsia="Times New Roman" w:hAnsi="Times New Roman"/>
                <w:sz w:val="18"/>
                <w:szCs w:val="18"/>
                <w:color w:val="auto"/>
              </w:rPr>
              <w:t>$37,393</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5"/>
        </w:trPr>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3020" w:type="dxa"/>
            <w:vAlign w:val="bottom"/>
            <w:gridSpan w:val="2"/>
          </w:tcPr>
          <w:p>
            <w:pPr>
              <w:jc w:val="right"/>
              <w:ind w:right="309"/>
              <w:spacing w:after="0"/>
              <w:rPr>
                <w:sz w:val="20"/>
                <w:szCs w:val="20"/>
                <w:color w:val="auto"/>
              </w:rPr>
            </w:pPr>
            <w:r>
              <w:rPr>
                <w:rFonts w:ascii="Times New Roman" w:cs="Times New Roman" w:eastAsia="Times New Roman" w:hAnsi="Times New Roman"/>
                <w:sz w:val="18"/>
                <w:szCs w:val="18"/>
                <w:color w:val="auto"/>
              </w:rPr>
              <w:t>45%</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80" w:right="120" w:firstLine="436"/>
        <w:spacing w:after="0" w:line="257" w:lineRule="auto"/>
        <w:rPr>
          <w:sz w:val="20"/>
          <w:szCs w:val="20"/>
          <w:color w:val="auto"/>
        </w:rPr>
      </w:pPr>
      <w:r>
        <w:rPr>
          <w:rFonts w:ascii="Times New Roman" w:cs="Times New Roman" w:eastAsia="Times New Roman" w:hAnsi="Times New Roman"/>
          <w:sz w:val="18"/>
          <w:szCs w:val="18"/>
          <w:color w:val="auto"/>
        </w:rPr>
        <w:t>Sales and marketing expenses for the six months ended June 30, 2020 increased by $37.4 million, or 48%, compared to the six months ended June 30, 2019. This increase was primarily due to a $32.1 million increase in advertising expenses. The increase in sales and marketing expenses was also due to a $3.6 million increase in sales and marketing related personnel expenses, and a $0.8 million increase in costs related to third-party services and contractors.</w:t>
      </w:r>
    </w:p>
    <w:p>
      <w:pPr>
        <w:spacing w:after="0" w:line="182" w:lineRule="exact"/>
        <w:rPr>
          <w:sz w:val="20"/>
          <w:szCs w:val="20"/>
          <w:color w:val="auto"/>
        </w:rPr>
      </w:pPr>
    </w:p>
    <w:p>
      <w:pPr>
        <w:ind w:left="180" w:right="80" w:firstLine="436"/>
        <w:spacing w:after="0" w:line="255" w:lineRule="auto"/>
        <w:rPr>
          <w:sz w:val="20"/>
          <w:szCs w:val="20"/>
          <w:color w:val="auto"/>
        </w:rPr>
      </w:pPr>
      <w:r>
        <w:rPr>
          <w:rFonts w:ascii="Times New Roman" w:cs="Times New Roman" w:eastAsia="Times New Roman" w:hAnsi="Times New Roman"/>
          <w:sz w:val="18"/>
          <w:szCs w:val="18"/>
          <w:color w:val="auto"/>
        </w:rPr>
        <w:t>Advertising expense as a percent of revenue was 42% in the six months ended June 30, 2019 and 41% in the six months ended June 30, 2020. We increased our investment in consumer acquisition and retention through the first quarter of 2020, and subsequently we reduced our investment in consumer acquisition during the second quarter of 2020 due to the impact of COVID-19 as many consumers avoided visiting healthcare professionals and pharmacies in-person. We will continue to evaluate the impact of COVID-19 on our business and actively manage our consumer acquisition spending, according to market conditions.</w:t>
      </w:r>
    </w:p>
    <w:p>
      <w:pPr>
        <w:spacing w:after="0" w:line="2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9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2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20" w:type="dxa"/>
            <w:vAlign w:val="bottom"/>
          </w:tcPr>
          <w:p>
            <w:pPr>
              <w:jc w:val="center"/>
              <w:ind w:left="529"/>
              <w:spacing w:after="0" w:line="147"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2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569"/>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top w:val="single" w:sz="8" w:color="auto"/>
              <w:bottom w:val="single" w:sz="8" w:color="auto"/>
            </w:tcBorders>
          </w:tcPr>
          <w:p>
            <w:pPr>
              <w:jc w:val="right"/>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609"/>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bottom w:val="single" w:sz="8" w:color="auto"/>
            </w:tcBorders>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2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40" w:type="dxa"/>
            <w:vAlign w:val="bottom"/>
            <w:gridSpan w:val="4"/>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40" w:type="dxa"/>
            <w:vAlign w:val="bottom"/>
            <w:gridSpan w:val="2"/>
            <w:shd w:val="clear" w:color="auto" w:fill="CCEEFF"/>
          </w:tcPr>
          <w:p>
            <w:pPr>
              <w:jc w:val="right"/>
              <w:ind w:right="469"/>
              <w:spacing w:after="0"/>
              <w:rPr>
                <w:sz w:val="20"/>
                <w:szCs w:val="20"/>
                <w:color w:val="auto"/>
              </w:rPr>
            </w:pPr>
            <w:r>
              <w:rPr>
                <w:rFonts w:ascii="Times New Roman" w:cs="Times New Roman" w:eastAsia="Times New Roman" w:hAnsi="Times New Roman"/>
                <w:sz w:val="18"/>
                <w:szCs w:val="18"/>
                <w:color w:val="auto"/>
              </w:rPr>
              <w:t>$6,063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$12,219</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9"/>
              <w:spacing w:after="0"/>
              <w:rPr>
                <w:sz w:val="20"/>
                <w:szCs w:val="20"/>
                <w:color w:val="auto"/>
              </w:rPr>
            </w:pPr>
            <w:r>
              <w:rPr>
                <w:rFonts w:ascii="Times New Roman" w:cs="Times New Roman" w:eastAsia="Times New Roman" w:hAnsi="Times New Roman"/>
                <w:sz w:val="18"/>
                <w:szCs w:val="18"/>
                <w:color w:val="auto"/>
              </w:rPr>
              <w:t>$6,156</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5"/>
        </w:trPr>
        <w:tc>
          <w:tcPr>
            <w:tcW w:w="4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3040" w:type="dxa"/>
            <w:vAlign w:val="bottom"/>
            <w:gridSpan w:val="2"/>
          </w:tcPr>
          <w:p>
            <w:pPr>
              <w:jc w:val="right"/>
              <w:ind w:right="329"/>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80" w:firstLine="436"/>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expenses for the six months ended June 30, 2020 increased by $6.2 million, or 102%, compared to the six months ended June 30, 2019. This increase was primarily due to a $4.6 million increase in professional fees to support our growth and preparation for this offering and a $2.8 million increase in executive and administrative personnel expenses, partially offset by decreases in acquisition related expenses, and other general overhead.</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60"/>
          </w:cols>
          <w:pgMar w:left="320" w:top="454" w:right="51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9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3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40" w:type="dxa"/>
            <w:vAlign w:val="bottom"/>
          </w:tcPr>
          <w:p>
            <w:pPr>
              <w:jc w:val="center"/>
              <w:ind w:left="429"/>
              <w:spacing w:after="0" w:line="147"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4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3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40" w:type="dxa"/>
            <w:vAlign w:val="bottom"/>
            <w:tcBorders>
              <w:bottom w:val="single" w:sz="8" w:color="auto"/>
            </w:tcBorders>
          </w:tcPr>
          <w:p>
            <w:pPr>
              <w:jc w:val="right"/>
              <w:ind w:right="589"/>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jc w:val="right"/>
              <w:ind w:right="17"/>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89"/>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ind w:left="100"/>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3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040" w:type="dxa"/>
            <w:vAlign w:val="bottom"/>
            <w:gridSpan w:val="5"/>
          </w:tcPr>
          <w:p>
            <w:pPr>
              <w:ind w:left="1000"/>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40" w:type="dxa"/>
            <w:vAlign w:val="bottom"/>
            <w:gridSpan w:val="2"/>
            <w:shd w:val="clear" w:color="auto" w:fill="CCEEFF"/>
          </w:tcPr>
          <w:p>
            <w:pPr>
              <w:jc w:val="right"/>
              <w:ind w:right="489"/>
              <w:spacing w:after="0"/>
              <w:rPr>
                <w:sz w:val="20"/>
                <w:szCs w:val="20"/>
                <w:color w:val="auto"/>
              </w:rPr>
            </w:pPr>
            <w:r>
              <w:rPr>
                <w:rFonts w:ascii="Times New Roman" w:cs="Times New Roman" w:eastAsia="Times New Roman" w:hAnsi="Times New Roman"/>
                <w:sz w:val="18"/>
                <w:szCs w:val="18"/>
                <w:color w:val="auto"/>
              </w:rPr>
              <w:t>$5,746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$8,866</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9"/>
              <w:spacing w:after="0"/>
              <w:rPr>
                <w:sz w:val="20"/>
                <w:szCs w:val="20"/>
                <w:color w:val="auto"/>
              </w:rPr>
            </w:pPr>
            <w:r>
              <w:rPr>
                <w:rFonts w:ascii="Times New Roman" w:cs="Times New Roman" w:eastAsia="Times New Roman" w:hAnsi="Times New Roman"/>
                <w:sz w:val="18"/>
                <w:szCs w:val="18"/>
                <w:color w:val="auto"/>
              </w:rPr>
              <w:t>$3,120</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5"/>
        </w:trPr>
        <w:tc>
          <w:tcPr>
            <w:tcW w:w="4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3140" w:type="dxa"/>
            <w:vAlign w:val="bottom"/>
            <w:gridSpan w:val="2"/>
          </w:tcPr>
          <w:p>
            <w:pPr>
              <w:jc w:val="right"/>
              <w:ind w:right="329"/>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80" w:right="80" w:firstLine="436"/>
        <w:spacing w:after="0" w:line="257" w:lineRule="auto"/>
        <w:rPr>
          <w:sz w:val="20"/>
          <w:szCs w:val="20"/>
          <w:color w:val="auto"/>
        </w:rPr>
      </w:pPr>
      <w:r>
        <w:rPr>
          <w:rFonts w:ascii="Times New Roman" w:cs="Times New Roman" w:eastAsia="Times New Roman" w:hAnsi="Times New Roman"/>
          <w:sz w:val="18"/>
          <w:szCs w:val="18"/>
          <w:color w:val="auto"/>
        </w:rPr>
        <w:t>Depreciation and amortization expenses for the six months ended June 30, 2020 increased by $3.1 million, or 54%, compared to the six months ended June 30, 2019. This increase was due primarily to a $1.8 million increase in intangible assets amortization as a result of intangible asset additions from our 2019 acquisitions, and a $1.0 million increase in capitalized software amortization due to higher capitalized costs for platform improvements and the introduction of new products and features.</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4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60" w:type="dxa"/>
            <w:vAlign w:val="bottom"/>
          </w:tcPr>
          <w:p>
            <w:pPr>
              <w:jc w:val="center"/>
              <w:ind w:left="349"/>
              <w:spacing w:after="0" w:line="147"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60" w:type="dxa"/>
            <w:vAlign w:val="bottom"/>
            <w:tcBorders>
              <w:bottom w:val="single" w:sz="8" w:color="auto"/>
            </w:tcBorders>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4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60" w:type="dxa"/>
            <w:vAlign w:val="bottom"/>
            <w:tcBorders>
              <w:bottom w:val="single" w:sz="8" w:color="auto"/>
            </w:tcBorders>
          </w:tcPr>
          <w:p>
            <w:pPr>
              <w:jc w:val="right"/>
              <w:ind w:right="549"/>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89"/>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4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800" w:type="dxa"/>
            <w:vAlign w:val="bottom"/>
            <w:gridSpan w:val="5"/>
          </w:tcPr>
          <w:p>
            <w:pPr>
              <w:ind w:left="880"/>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160" w:type="dxa"/>
            <w:vAlign w:val="bottom"/>
            <w:gridSpan w:val="2"/>
            <w:shd w:val="clear" w:color="auto" w:fill="CCEEFF"/>
          </w:tcPr>
          <w:p>
            <w:pPr>
              <w:jc w:val="right"/>
              <w:ind w:right="409"/>
              <w:spacing w:after="0"/>
              <w:rPr>
                <w:sz w:val="20"/>
                <w:szCs w:val="20"/>
                <w:color w:val="auto"/>
              </w:rPr>
            </w:pPr>
            <w:r>
              <w:rPr>
                <w:rFonts w:ascii="Times New Roman" w:cs="Times New Roman" w:eastAsia="Times New Roman" w:hAnsi="Times New Roman"/>
                <w:sz w:val="18"/>
                <w:szCs w:val="18"/>
                <w:color w:val="auto"/>
              </w:rPr>
              <w:t>$(309)</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$(116)</w:t>
            </w:r>
          </w:p>
        </w:tc>
        <w:tc>
          <w:tcPr>
            <w:tcW w:w="1060" w:type="dxa"/>
            <w:vAlign w:val="bottom"/>
            <w:gridSpan w:val="2"/>
            <w:shd w:val="clear" w:color="auto" w:fill="CCEEFF"/>
          </w:tcPr>
          <w:p>
            <w:pPr>
              <w:jc w:val="right"/>
              <w:ind w:right="429"/>
              <w:spacing w:after="0"/>
              <w:rPr>
                <w:sz w:val="20"/>
                <w:szCs w:val="20"/>
                <w:color w:val="auto"/>
              </w:rPr>
            </w:pPr>
            <w:r>
              <w:rPr>
                <w:rFonts w:ascii="Times New Roman" w:cs="Times New Roman" w:eastAsia="Times New Roman" w:hAnsi="Times New Roman"/>
                <w:sz w:val="18"/>
                <w:szCs w:val="18"/>
                <w:color w:val="auto"/>
              </w:rPr>
              <w:t>$193</w:t>
            </w: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5"/>
        </w:trPr>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3160" w:type="dxa"/>
            <w:vAlign w:val="bottom"/>
            <w:gridSpan w:val="2"/>
          </w:tcPr>
          <w:p>
            <w:pPr>
              <w:jc w:val="right"/>
              <w:ind w:right="329"/>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180" w:right="460" w:firstLine="436"/>
        <w:spacing w:after="0" w:line="277" w:lineRule="auto"/>
        <w:rPr>
          <w:sz w:val="20"/>
          <w:szCs w:val="20"/>
          <w:color w:val="auto"/>
        </w:rPr>
      </w:pPr>
      <w:r>
        <w:rPr>
          <w:rFonts w:ascii="Times New Roman" w:cs="Times New Roman" w:eastAsia="Times New Roman" w:hAnsi="Times New Roman"/>
          <w:sz w:val="18"/>
          <w:szCs w:val="18"/>
          <w:color w:val="auto"/>
        </w:rPr>
        <w:t>The decrease in interest income was primarily a result of lower interest rates during the six months ended June 30, 2020 compared to the six months ended June 30, 2019.</w:t>
      </w: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20" w:type="dxa"/>
            <w:vAlign w:val="bottom"/>
          </w:tcPr>
          <w:p>
            <w:pPr>
              <w:jc w:val="center"/>
              <w:ind w:left="529"/>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20" w:type="dxa"/>
            <w:vAlign w:val="bottom"/>
            <w:tcBorders>
              <w:bottom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20" w:type="dxa"/>
            <w:vAlign w:val="bottom"/>
            <w:tcBorders>
              <w:bottom w:val="single" w:sz="8" w:color="auto"/>
            </w:tcBorders>
          </w:tcPr>
          <w:p>
            <w:pPr>
              <w:jc w:val="right"/>
              <w:ind w:right="629"/>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jc w:val="right"/>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69"/>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ind w:left="160"/>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60" w:type="dxa"/>
            <w:vAlign w:val="bottom"/>
            <w:gridSpan w:val="4"/>
          </w:tcPr>
          <w:p>
            <w:pPr>
              <w:jc w:val="right"/>
              <w:ind w:right="769"/>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980" w:type="dxa"/>
            <w:vAlign w:val="bottom"/>
            <w:gridSpan w:val="2"/>
            <w:shd w:val="clear" w:color="auto" w:fill="CCEEFF"/>
          </w:tcPr>
          <w:p>
            <w:pPr>
              <w:jc w:val="right"/>
              <w:ind w:right="469"/>
              <w:spacing w:after="0"/>
              <w:rPr>
                <w:sz w:val="20"/>
                <w:szCs w:val="20"/>
                <w:color w:val="auto"/>
              </w:rPr>
            </w:pPr>
            <w:r>
              <w:rPr>
                <w:rFonts w:ascii="Times New Roman" w:cs="Times New Roman" w:eastAsia="Times New Roman" w:hAnsi="Times New Roman"/>
                <w:sz w:val="18"/>
                <w:szCs w:val="18"/>
                <w:color w:val="auto"/>
              </w:rPr>
              <w:t>$26,679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$15,433</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8"/>
                <w:szCs w:val="18"/>
                <w:color w:val="auto"/>
              </w:rPr>
              <w:t>$(11,246)</w:t>
            </w:r>
          </w:p>
        </w:tc>
        <w:tc>
          <w:tcPr>
            <w:tcW w:w="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5"/>
        </w:trPr>
        <w:tc>
          <w:tcPr>
            <w:tcW w:w="4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2980" w:type="dxa"/>
            <w:vAlign w:val="bottom"/>
            <w:gridSpan w:val="2"/>
          </w:tcPr>
          <w:p>
            <w:pPr>
              <w:jc w:val="right"/>
              <w:ind w:right="329"/>
              <w:spacing w:after="0"/>
              <w:rPr>
                <w:sz w:val="20"/>
                <w:szCs w:val="20"/>
                <w:color w:val="auto"/>
              </w:rPr>
            </w:pPr>
            <w:r>
              <w:rPr>
                <w:rFonts w:ascii="Times New Roman" w:cs="Times New Roman" w:eastAsia="Times New Roman" w:hAnsi="Times New Roman"/>
                <w:sz w:val="18"/>
                <w:szCs w:val="18"/>
                <w:color w:val="auto"/>
              </w:rPr>
              <w:t>15%</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80" w:firstLine="436"/>
        <w:spacing w:after="0" w:line="257" w:lineRule="auto"/>
        <w:rPr>
          <w:sz w:val="20"/>
          <w:szCs w:val="20"/>
          <w:color w:val="auto"/>
        </w:rPr>
      </w:pPr>
      <w:r>
        <w:rPr>
          <w:rFonts w:ascii="Times New Roman" w:cs="Times New Roman" w:eastAsia="Times New Roman" w:hAnsi="Times New Roman"/>
          <w:sz w:val="18"/>
          <w:szCs w:val="18"/>
          <w:color w:val="auto"/>
        </w:rPr>
        <w:t>Interest expense for the six months ended June 30, 2020 decreased by $11.2 million compared to the six months ended June 30, 2019 primarily due to the November 2019 amendment to increase the amount of the First Lien Term Loan Facility in order to repay all amounts outstanding under the Second Lien Term Loan Facility, which bore interest at a higher rate than the First Lien Term Loan Facility, as further described below, and as a result of lower interest rates.</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1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00" w:type="dxa"/>
            <w:vAlign w:val="bottom"/>
          </w:tcPr>
          <w:p>
            <w:pPr>
              <w:jc w:val="center"/>
              <w:ind w:left="589"/>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1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609"/>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top w:val="single" w:sz="8" w:color="auto"/>
              <w:bottom w:val="single" w:sz="8" w:color="auto"/>
            </w:tcBorders>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669"/>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auto"/>
            </w:tcBorders>
          </w:tcPr>
          <w:p>
            <w:pPr>
              <w:ind w:left="120"/>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80" w:type="dxa"/>
            <w:vAlign w:val="bottom"/>
            <w:gridSpan w:val="4"/>
          </w:tcPr>
          <w:p>
            <w:pPr>
              <w:jc w:val="right"/>
              <w:ind w:right="809"/>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960" w:type="dxa"/>
            <w:vAlign w:val="bottom"/>
            <w:gridSpan w:val="2"/>
            <w:shd w:val="clear" w:color="auto" w:fill="CCEEFF"/>
          </w:tcPr>
          <w:p>
            <w:pPr>
              <w:jc w:val="right"/>
              <w:ind w:right="409"/>
              <w:spacing w:after="0"/>
              <w:rPr>
                <w:sz w:val="20"/>
                <w:szCs w:val="20"/>
                <w:color w:val="auto"/>
              </w:rPr>
            </w:pPr>
            <w:r>
              <w:rPr>
                <w:rFonts w:ascii="Times New Roman" w:cs="Times New Roman" w:eastAsia="Times New Roman" w:hAnsi="Times New Roman"/>
                <w:sz w:val="18"/>
                <w:szCs w:val="18"/>
                <w:color w:val="auto"/>
              </w:rPr>
              <w:t>$(8,492)</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$(15,427)</w:t>
            </w:r>
          </w:p>
        </w:tc>
        <w:tc>
          <w:tcPr>
            <w:tcW w:w="126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8"/>
                <w:szCs w:val="18"/>
                <w:color w:val="auto"/>
              </w:rPr>
              <w:t>$(6,935)</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5"/>
        </w:trPr>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Income tax effective rate</w:t>
            </w:r>
          </w:p>
        </w:tc>
        <w:tc>
          <w:tcPr>
            <w:tcW w:w="3960" w:type="dxa"/>
            <w:vAlign w:val="bottom"/>
            <w:gridSpan w:val="2"/>
          </w:tcPr>
          <w:p>
            <w:pPr>
              <w:jc w:val="right"/>
              <w:ind w:right="329"/>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3260" w:type="dxa"/>
            <w:vAlign w:val="bottom"/>
          </w:tcPr>
          <w:p>
            <w:pPr>
              <w:spacing w:after="0"/>
              <w:rPr>
                <w:sz w:val="24"/>
                <w:szCs w:val="24"/>
                <w:color w:val="auto"/>
              </w:rPr>
            </w:pPr>
          </w:p>
        </w:tc>
        <w:tc>
          <w:tcPr>
            <w:tcW w:w="286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180" w:firstLine="436"/>
        <w:spacing w:after="0" w:line="277" w:lineRule="auto"/>
        <w:rPr>
          <w:sz w:val="20"/>
          <w:szCs w:val="20"/>
          <w:color w:val="auto"/>
        </w:rPr>
      </w:pPr>
      <w:r>
        <w:rPr>
          <w:rFonts w:ascii="Times New Roman" w:cs="Times New Roman" w:eastAsia="Times New Roman" w:hAnsi="Times New Roman"/>
          <w:sz w:val="18"/>
          <w:szCs w:val="18"/>
          <w:color w:val="auto"/>
        </w:rPr>
        <w:t>Income tax expense for the six months ended June 30, 2020 increased by $6.9 million, or 82%, compared to the six months ended June 30, 2019 primarily due to increases in pre-tax income.</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2019</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43"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4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4"/>
                <w:szCs w:val="14"/>
                <w:color w:val="auto"/>
              </w:rPr>
            </w:pPr>
          </w:p>
        </w:tc>
        <w:tc>
          <w:tcPr>
            <w:tcW w:w="102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0"/>
        </w:trPr>
        <w:tc>
          <w:tcPr>
            <w:tcW w:w="42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8"/>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3"/>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15"/>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0"/>
        </w:trPr>
        <w:tc>
          <w:tcPr>
            <w:tcW w:w="42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40" w:type="dxa"/>
            <w:vAlign w:val="bottom"/>
            <w:gridSpan w:val="6"/>
          </w:tcPr>
          <w:p>
            <w:pPr>
              <w:ind w:left="440"/>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Prescription transactions revenue</w:t>
            </w:r>
          </w:p>
        </w:tc>
        <w:tc>
          <w:tcPr>
            <w:tcW w:w="2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242,911</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364,582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$121,671</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r>
      <w:tr>
        <w:trPr>
          <w:trHeight w:val="21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23,642</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17,031</w:t>
            </w:r>
          </w:p>
        </w:tc>
        <w:tc>
          <w:tcPr>
            <w:tcW w:w="3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w:t>
            </w:r>
          </w:p>
        </w:tc>
      </w:tr>
      <w:tr>
        <w:trPr>
          <w:trHeight w:val="27"/>
        </w:trPr>
        <w:tc>
          <w:tcPr>
            <w:tcW w:w="4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4"/>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249,522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388,224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138,702</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4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Revenue for 2019 increased $138.7 million, or 56%, compared to 2018.</w:t>
      </w:r>
    </w:p>
    <w:p>
      <w:pPr>
        <w:spacing w:after="0" w:line="220" w:lineRule="exact"/>
        <w:rPr>
          <w:sz w:val="20"/>
          <w:szCs w:val="20"/>
          <w:color w:val="auto"/>
        </w:rPr>
      </w:pPr>
    </w:p>
    <w:p>
      <w:pPr>
        <w:ind w:left="180" w:right="40" w:firstLine="436"/>
        <w:spacing w:after="0" w:line="277" w:lineRule="auto"/>
        <w:rPr>
          <w:sz w:val="20"/>
          <w:szCs w:val="20"/>
          <w:color w:val="auto"/>
        </w:rPr>
      </w:pPr>
      <w:r>
        <w:rPr>
          <w:rFonts w:ascii="Times New Roman" w:cs="Times New Roman" w:eastAsia="Times New Roman" w:hAnsi="Times New Roman"/>
          <w:sz w:val="18"/>
          <w:szCs w:val="18"/>
          <w:color w:val="auto"/>
        </w:rPr>
        <w:t>Prescription transactions revenue for 2019 increased $121.7 million, or 50%, compared to 2018, driven primarily by a 58% increase in the number of our Monthly Active Consumers.</w:t>
      </w:r>
    </w:p>
    <w:p>
      <w:pPr>
        <w:spacing w:after="0" w:line="163" w:lineRule="exact"/>
        <w:rPr>
          <w:sz w:val="20"/>
          <w:szCs w:val="20"/>
          <w:color w:val="auto"/>
        </w:rPr>
      </w:pPr>
    </w:p>
    <w:p>
      <w:pPr>
        <w:ind w:left="180" w:right="200" w:firstLine="436"/>
        <w:spacing w:after="0" w:line="257" w:lineRule="auto"/>
        <w:rPr>
          <w:sz w:val="20"/>
          <w:szCs w:val="20"/>
          <w:color w:val="auto"/>
        </w:rPr>
      </w:pPr>
      <w:r>
        <w:rPr>
          <w:rFonts w:ascii="Times New Roman" w:cs="Times New Roman" w:eastAsia="Times New Roman" w:hAnsi="Times New Roman"/>
          <w:sz w:val="18"/>
          <w:szCs w:val="18"/>
          <w:color w:val="auto"/>
        </w:rPr>
        <w:t>Other revenue for 2019 increased $17.0 million, or 258%, compared to 2018. This increase was primarily due to an increase of $10.6 million in subscription revenue as a result of an increase in the number of subscribers in 2019 compared to 2018. The increase in other revenue was also due to a $4.2 million increase in advertising revenue, primarily from pharmaceutical manufacturers, and the impact of the launch of our telehealth offerings following the acquisition of HeyDoctor in 2019, from which we had no revenue in 2018.</w:t>
      </w: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operating expenses</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243"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8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34"/>
        </w:trPr>
        <w:tc>
          <w:tcPr>
            <w:tcW w:w="5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409"/>
              <w:spacing w:after="0" w:line="134"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78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549"/>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bottom w:val="single" w:sz="8" w:color="auto"/>
            </w:tcBorders>
          </w:tcPr>
          <w:p>
            <w:pPr>
              <w:jc w:val="right"/>
              <w:ind w:right="20"/>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1"/>
                <w:szCs w:val="11"/>
                <w:color w:val="auto"/>
              </w:rPr>
            </w:pPr>
          </w:p>
        </w:tc>
      </w:tr>
      <w:tr>
        <w:trPr>
          <w:trHeight w:val="140"/>
        </w:trPr>
        <w:tc>
          <w:tcPr>
            <w:tcW w:w="5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80" w:type="dxa"/>
            <w:vAlign w:val="bottom"/>
            <w:gridSpan w:val="4"/>
          </w:tcPr>
          <w:p>
            <w:pPr>
              <w:ind w:left="180"/>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940" w:type="dxa"/>
            <w:vAlign w:val="bottom"/>
            <w:gridSpan w:val="3"/>
            <w:shd w:val="clear" w:color="auto" w:fill="CCEEFF"/>
          </w:tcPr>
          <w:p>
            <w:pPr>
              <w:jc w:val="right"/>
              <w:ind w:right="249"/>
              <w:spacing w:after="0"/>
              <w:rPr>
                <w:sz w:val="20"/>
                <w:szCs w:val="20"/>
                <w:color w:val="auto"/>
              </w:rPr>
            </w:pPr>
            <w:r>
              <w:rPr>
                <w:rFonts w:ascii="Times New Roman" w:cs="Times New Roman" w:eastAsia="Times New Roman" w:hAnsi="Times New Roman"/>
                <w:sz w:val="18"/>
                <w:szCs w:val="18"/>
                <w:color w:val="auto"/>
              </w:rPr>
              <w:t>$  6,035</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$ 14,016</w:t>
            </w:r>
          </w:p>
        </w:tc>
        <w:tc>
          <w:tcPr>
            <w:tcW w:w="1060" w:type="dxa"/>
            <w:vAlign w:val="bottom"/>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8"/>
                <w:szCs w:val="18"/>
                <w:color w:val="auto"/>
              </w:rPr>
              <w:t>$7,981</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r>
      <w:tr>
        <w:trPr>
          <w:trHeight w:val="235"/>
        </w:trPr>
        <w:tc>
          <w:tcPr>
            <w:tcW w:w="5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940" w:type="dxa"/>
            <w:vAlign w:val="bottom"/>
            <w:gridSpan w:val="3"/>
          </w:tcPr>
          <w:p>
            <w:pPr>
              <w:jc w:val="right"/>
              <w:ind w:right="89"/>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4" w:lineRule="exact"/>
        <w:rPr>
          <w:sz w:val="20"/>
          <w:szCs w:val="20"/>
          <w:color w:val="auto"/>
        </w:rPr>
      </w:pPr>
    </w:p>
    <w:p>
      <w:pPr>
        <w:ind w:left="180" w:right="40" w:firstLine="436"/>
        <w:spacing w:after="0" w:line="257" w:lineRule="auto"/>
        <w:rPr>
          <w:sz w:val="20"/>
          <w:szCs w:val="20"/>
          <w:color w:val="auto"/>
        </w:rPr>
      </w:pPr>
      <w:r>
        <w:rPr>
          <w:rFonts w:ascii="Times New Roman" w:cs="Times New Roman" w:eastAsia="Times New Roman" w:hAnsi="Times New Roman"/>
          <w:sz w:val="18"/>
          <w:szCs w:val="18"/>
          <w:color w:val="auto"/>
        </w:rPr>
        <w:t>Cost of revenue for 2019 increased $8.0 million, or 132%, compared to 2018. This increase was primarily due to a $2.7 million increase in outsourced consumer support expense to support an increase in the number of Monthly Active Consumers, a $1.8 million increase in provider cost related to our telehealth offerings following the acquisition of HeyDoctor in 2019, a $1.6 million increase in processing fees due primarily to our Kroger Savings subscription program, and other increases in hosting and cloud expenses and merchant fees.</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Product development and technology</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8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34"/>
        </w:trPr>
        <w:tc>
          <w:tcPr>
            <w:tcW w:w="46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489"/>
              <w:spacing w:after="0" w:line="134"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72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649"/>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bottom w:val="single" w:sz="8" w:color="auto"/>
            </w:tcBorders>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1"/>
                <w:szCs w:val="11"/>
                <w:color w:val="auto"/>
              </w:rPr>
            </w:pPr>
          </w:p>
        </w:tc>
      </w:tr>
      <w:tr>
        <w:trPr>
          <w:trHeight w:val="140"/>
        </w:trPr>
        <w:tc>
          <w:tcPr>
            <w:tcW w:w="46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560" w:type="dxa"/>
            <w:vAlign w:val="bottom"/>
            <w:gridSpan w:val="4"/>
          </w:tcPr>
          <w:p>
            <w:pPr>
              <w:jc w:val="right"/>
              <w:ind w:right="869"/>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 and technology</w:t>
            </w:r>
          </w:p>
        </w:tc>
        <w:tc>
          <w:tcPr>
            <w:tcW w:w="3040" w:type="dxa"/>
            <w:vAlign w:val="bottom"/>
            <w:gridSpan w:val="3"/>
            <w:shd w:val="clear" w:color="auto" w:fill="CCEEFF"/>
          </w:tcPr>
          <w:p>
            <w:pPr>
              <w:jc w:val="right"/>
              <w:ind w:right="309"/>
              <w:spacing w:after="0"/>
              <w:rPr>
                <w:sz w:val="20"/>
                <w:szCs w:val="20"/>
                <w:color w:val="auto"/>
              </w:rPr>
            </w:pPr>
            <w:r>
              <w:rPr>
                <w:rFonts w:ascii="Times New Roman" w:cs="Times New Roman" w:eastAsia="Times New Roman" w:hAnsi="Times New Roman"/>
                <w:sz w:val="18"/>
                <w:szCs w:val="18"/>
                <w:color w:val="auto"/>
              </w:rPr>
              <w:t>$ 43,894</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$ 29,300</w:t>
            </w:r>
          </w:p>
        </w:tc>
        <w:tc>
          <w:tcPr>
            <w:tcW w:w="130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8"/>
                <w:szCs w:val="18"/>
                <w:color w:val="auto"/>
              </w:rPr>
              <w:t>$(14,594)</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(33%)</w:t>
            </w:r>
          </w:p>
        </w:tc>
      </w:tr>
      <w:tr>
        <w:trPr>
          <w:trHeight w:val="235"/>
        </w:trPr>
        <w:tc>
          <w:tcPr>
            <w:tcW w:w="4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3040" w:type="dxa"/>
            <w:vAlign w:val="bottom"/>
            <w:gridSpan w:val="3"/>
          </w:tcPr>
          <w:p>
            <w:pPr>
              <w:jc w:val="right"/>
              <w:ind w:right="169"/>
              <w:spacing w:after="0"/>
              <w:rPr>
                <w:sz w:val="20"/>
                <w:szCs w:val="20"/>
                <w:color w:val="auto"/>
              </w:rPr>
            </w:pPr>
            <w:r>
              <w:rPr>
                <w:rFonts w:ascii="Times New Roman" w:cs="Times New Roman" w:eastAsia="Times New Roman" w:hAnsi="Times New Roman"/>
                <w:sz w:val="18"/>
                <w:szCs w:val="18"/>
                <w:color w:val="auto"/>
              </w:rPr>
              <w:t>18%</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174" w:lineRule="exact"/>
        <w:rPr>
          <w:sz w:val="20"/>
          <w:szCs w:val="20"/>
          <w:color w:val="auto"/>
        </w:rPr>
      </w:pPr>
    </w:p>
    <w:p>
      <w:pPr>
        <w:ind w:left="180" w:right="280" w:firstLine="436"/>
        <w:spacing w:after="0" w:line="277" w:lineRule="auto"/>
        <w:rPr>
          <w:sz w:val="20"/>
          <w:szCs w:val="20"/>
          <w:color w:val="auto"/>
        </w:rPr>
      </w:pPr>
      <w:r>
        <w:rPr>
          <w:rFonts w:ascii="Times New Roman" w:cs="Times New Roman" w:eastAsia="Times New Roman" w:hAnsi="Times New Roman"/>
          <w:sz w:val="18"/>
          <w:szCs w:val="18"/>
          <w:color w:val="auto"/>
        </w:rPr>
        <w:t>Product development and technology expenses for 2019 decreased by $14.6 million, or 33%, compared to 2018. In 2018, product development and technology expenses included expenses of $29.2 million related to cash</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80"/>
          </w:cols>
          <w:pgMar w:left="320" w:top="454" w:right="49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160"/>
        <w:spacing w:after="0" w:line="257" w:lineRule="auto"/>
        <w:rPr>
          <w:sz w:val="20"/>
          <w:szCs w:val="20"/>
          <w:color w:val="auto"/>
        </w:rPr>
      </w:pPr>
      <w:r>
        <w:rPr>
          <w:rFonts w:ascii="Times New Roman" w:cs="Times New Roman" w:eastAsia="Times New Roman" w:hAnsi="Times New Roman"/>
          <w:sz w:val="18"/>
          <w:szCs w:val="18"/>
          <w:color w:val="auto"/>
        </w:rPr>
        <w:t>bonuses paid to vested option holders in connection with dividends paid to equity holders, as further described in note 15 to our audited consolidated financial statements. From 2018 to 2019, product development related personnel expenses increased by $9.6 million due primarily to an increase in headcount; third-party services and contractor expenses related to product development increased by $2.5 million; and allocated overhead increased by $2.4 million to support our increasing product development efforts.</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80" w:type="dxa"/>
            <w:vAlign w:val="bottom"/>
          </w:tcPr>
          <w:p>
            <w:pPr>
              <w:spacing w:after="0"/>
              <w:rPr>
                <w:sz w:val="16"/>
                <w:szCs w:val="16"/>
                <w:color w:val="auto"/>
              </w:rPr>
            </w:pPr>
          </w:p>
        </w:tc>
        <w:tc>
          <w:tcPr>
            <w:tcW w:w="9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34"/>
        </w:trPr>
        <w:tc>
          <w:tcPr>
            <w:tcW w:w="47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409"/>
              <w:spacing w:after="0" w:line="134" w:lineRule="exact"/>
              <w:rPr>
                <w:sz w:val="20"/>
                <w:szCs w:val="20"/>
                <w:color w:val="auto"/>
              </w:rPr>
            </w:pPr>
            <w:r>
              <w:rPr>
                <w:rFonts w:ascii="Times New Roman" w:cs="Times New Roman" w:eastAsia="Times New Roman" w:hAnsi="Times New Roman"/>
                <w:sz w:val="14"/>
                <w:szCs w:val="14"/>
                <w:b w:val="1"/>
                <w:bCs w:val="1"/>
                <w:color w:val="auto"/>
              </w:rPr>
              <w:t>2018</w:t>
            </w:r>
          </w:p>
        </w:tc>
        <w:tc>
          <w:tcPr>
            <w:tcW w:w="76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509"/>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bottom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1"/>
                <w:szCs w:val="11"/>
                <w:color w:val="auto"/>
              </w:rPr>
            </w:pPr>
          </w:p>
        </w:tc>
      </w:tr>
      <w:tr>
        <w:trPr>
          <w:trHeight w:val="140"/>
        </w:trPr>
        <w:tc>
          <w:tcPr>
            <w:tcW w:w="47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00" w:type="dxa"/>
            <w:vAlign w:val="bottom"/>
            <w:gridSpan w:val="4"/>
          </w:tcPr>
          <w:p>
            <w:pPr>
              <w:ind w:left="140"/>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400" w:type="dxa"/>
            <w:vAlign w:val="bottom"/>
            <w:gridSpan w:val="3"/>
            <w:shd w:val="clear" w:color="auto" w:fill="CCEEFF"/>
          </w:tcPr>
          <w:p>
            <w:pPr>
              <w:jc w:val="right"/>
              <w:ind w:right="209"/>
              <w:spacing w:after="0"/>
              <w:rPr>
                <w:sz w:val="20"/>
                <w:szCs w:val="20"/>
                <w:color w:val="auto"/>
              </w:rPr>
            </w:pPr>
            <w:r>
              <w:rPr>
                <w:rFonts w:ascii="Times New Roman" w:cs="Times New Roman" w:eastAsia="Times New Roman" w:hAnsi="Times New Roman"/>
                <w:sz w:val="18"/>
                <w:szCs w:val="18"/>
                <w:color w:val="auto"/>
              </w:rPr>
              <w:t>$104,177</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$176,967</w:t>
            </w:r>
          </w:p>
        </w:tc>
        <w:tc>
          <w:tcPr>
            <w:tcW w:w="108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8"/>
                <w:szCs w:val="18"/>
                <w:color w:val="auto"/>
              </w:rPr>
              <w:t>$72,790</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70%</w:t>
            </w:r>
          </w:p>
        </w:tc>
      </w:tr>
      <w:tr>
        <w:trPr>
          <w:trHeight w:val="235"/>
        </w:trPr>
        <w:tc>
          <w:tcPr>
            <w:tcW w:w="4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3400" w:type="dxa"/>
            <w:vAlign w:val="bottom"/>
            <w:gridSpan w:val="3"/>
          </w:tcPr>
          <w:p>
            <w:pPr>
              <w:jc w:val="right"/>
              <w:ind w:right="69"/>
              <w:spacing w:after="0"/>
              <w:rPr>
                <w:sz w:val="20"/>
                <w:szCs w:val="20"/>
                <w:color w:val="auto"/>
              </w:rPr>
            </w:pPr>
            <w:r>
              <w:rPr>
                <w:rFonts w:ascii="Times New Roman" w:cs="Times New Roman" w:eastAsia="Times New Roman" w:hAnsi="Times New Roman"/>
                <w:sz w:val="18"/>
                <w:szCs w:val="18"/>
                <w:color w:val="auto"/>
              </w:rPr>
              <w:t>42%</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4" w:lineRule="exact"/>
        <w:rPr>
          <w:sz w:val="20"/>
          <w:szCs w:val="20"/>
          <w:color w:val="auto"/>
        </w:rPr>
      </w:pPr>
    </w:p>
    <w:p>
      <w:pPr>
        <w:ind w:left="180" w:right="80" w:firstLine="436"/>
        <w:spacing w:after="0" w:line="255" w:lineRule="auto"/>
        <w:rPr>
          <w:sz w:val="20"/>
          <w:szCs w:val="20"/>
          <w:color w:val="auto"/>
        </w:rPr>
      </w:pPr>
      <w:r>
        <w:rPr>
          <w:rFonts w:ascii="Times New Roman" w:cs="Times New Roman" w:eastAsia="Times New Roman" w:hAnsi="Times New Roman"/>
          <w:sz w:val="18"/>
          <w:szCs w:val="18"/>
          <w:color w:val="auto"/>
        </w:rPr>
        <w:t>Sales and marketing expenses for 2019 increased by $72.8 million, or 70%, compared to 2018. This increase was primarily due to a $74.4 million increase in advertising expenses. The increase in sales and marketing expenses was also due to a $3.6 million increase in sales and marketing related personnel expenses, and a $1.2 million increase in third-party services and contractors. In 2018, sales and marketing expenses included expenses of $6.9 million related to cash bonuses paid to vested option holders in connection with dividends paid to equity holders, as further described in note 15 to our audited consolidated financial statements.</w:t>
      </w:r>
    </w:p>
    <w:p>
      <w:pPr>
        <w:spacing w:after="0" w:line="183" w:lineRule="exact"/>
        <w:rPr>
          <w:sz w:val="20"/>
          <w:szCs w:val="20"/>
          <w:color w:val="auto"/>
        </w:rPr>
      </w:pPr>
    </w:p>
    <w:p>
      <w:pPr>
        <w:ind w:left="180" w:right="720" w:firstLine="436"/>
        <w:spacing w:after="0" w:line="277" w:lineRule="auto"/>
        <w:rPr>
          <w:sz w:val="20"/>
          <w:szCs w:val="20"/>
          <w:color w:val="auto"/>
        </w:rPr>
      </w:pPr>
      <w:r>
        <w:rPr>
          <w:rFonts w:ascii="Times New Roman" w:cs="Times New Roman" w:eastAsia="Times New Roman" w:hAnsi="Times New Roman"/>
          <w:sz w:val="18"/>
          <w:szCs w:val="18"/>
          <w:color w:val="auto"/>
        </w:rPr>
        <w:t>Advertising expenses as a percent of revenue increased from 36% in 2018 to 42% in 2019, as we continued to increase our investment in consumer acquisition and retention, which we believe will produce positive returns in the long-term.</w:t>
      </w: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3"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3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4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0"/>
        </w:trPr>
        <w:tc>
          <w:tcPr>
            <w:tcW w:w="3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529"/>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960" w:type="dxa"/>
            <w:vAlign w:val="bottom"/>
            <w:tcBorders>
              <w:top w:val="single" w:sz="8" w:color="auto"/>
              <w:bottom w:val="single" w:sz="8" w:color="auto"/>
            </w:tcBorders>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69"/>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tcPr>
          <w:p>
            <w:pPr>
              <w:jc w:val="right"/>
              <w:ind w:right="63"/>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0"/>
        </w:trPr>
        <w:tc>
          <w:tcPr>
            <w:tcW w:w="3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180" w:type="dxa"/>
            <w:vAlign w:val="bottom"/>
            <w:gridSpan w:val="4"/>
          </w:tcPr>
          <w:p>
            <w:pPr>
              <w:ind w:left="420"/>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80" w:type="dxa"/>
            <w:vAlign w:val="bottom"/>
            <w:gridSpan w:val="2"/>
            <w:shd w:val="clear" w:color="auto" w:fill="CCEEFF"/>
          </w:tcPr>
          <w:p>
            <w:pPr>
              <w:jc w:val="right"/>
              <w:ind w:right="369"/>
              <w:spacing w:after="0"/>
              <w:rPr>
                <w:sz w:val="20"/>
                <w:szCs w:val="20"/>
                <w:color w:val="auto"/>
              </w:rPr>
            </w:pPr>
            <w:r>
              <w:rPr>
                <w:rFonts w:ascii="Times New Roman" w:cs="Times New Roman" w:eastAsia="Times New Roman" w:hAnsi="Times New Roman"/>
                <w:sz w:val="18"/>
                <w:szCs w:val="18"/>
                <w:color w:val="auto"/>
              </w:rPr>
              <w:t>$  8,359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$ 14,692</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r>
      <w:tr>
        <w:trPr>
          <w:trHeight w:val="235"/>
        </w:trPr>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2680" w:type="dxa"/>
            <w:vAlign w:val="bottom"/>
            <w:gridSpan w:val="2"/>
          </w:tcPr>
          <w:p>
            <w:pPr>
              <w:jc w:val="right"/>
              <w:ind w:right="209"/>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4" w:lineRule="exact"/>
        <w:rPr>
          <w:sz w:val="20"/>
          <w:szCs w:val="20"/>
          <w:color w:val="auto"/>
        </w:rPr>
      </w:pPr>
    </w:p>
    <w:p>
      <w:pPr>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for 2019 increased by $6.3 million, or 76%, compared to 2018. This increase was primarily due to a $3.9 million increase in executive and administrative personnel expenses and a $2.1 million increase in professional fees to support our growth. In addition, the increase in general and administrative expenses was also due to an increase of $1.5 million in acquisition related expenses. In 2018, general and administrative expenses included expenses of $2.7 million related to cash bonuses paid to vested option holders in connection with dividends paid to equity holders, as further described in note 15 to our audited consolidated financial statements.</w:t>
      </w:r>
    </w:p>
    <w:p>
      <w:pPr>
        <w:spacing w:after="0" w:line="2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43"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3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4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0"/>
        </w:trPr>
        <w:tc>
          <w:tcPr>
            <w:tcW w:w="3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529"/>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960" w:type="dxa"/>
            <w:vAlign w:val="bottom"/>
            <w:tcBorders>
              <w:top w:val="single" w:sz="8" w:color="auto"/>
              <w:bottom w:val="single" w:sz="8" w:color="auto"/>
            </w:tcBorders>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69"/>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tcPr>
          <w:p>
            <w:pPr>
              <w:jc w:val="right"/>
              <w:ind w:right="63"/>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0"/>
        </w:trPr>
        <w:tc>
          <w:tcPr>
            <w:tcW w:w="3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180" w:type="dxa"/>
            <w:vAlign w:val="bottom"/>
            <w:gridSpan w:val="4"/>
          </w:tcPr>
          <w:p>
            <w:pPr>
              <w:ind w:left="420"/>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80" w:type="dxa"/>
            <w:vAlign w:val="bottom"/>
            <w:gridSpan w:val="2"/>
            <w:shd w:val="clear" w:color="auto" w:fill="CCEEFF"/>
          </w:tcPr>
          <w:p>
            <w:pPr>
              <w:jc w:val="right"/>
              <w:ind w:right="369"/>
              <w:spacing w:after="0"/>
              <w:rPr>
                <w:sz w:val="20"/>
                <w:szCs w:val="20"/>
                <w:color w:val="auto"/>
              </w:rPr>
            </w:pPr>
            <w:r>
              <w:rPr>
                <w:rFonts w:ascii="Times New Roman" w:cs="Times New Roman" w:eastAsia="Times New Roman" w:hAnsi="Times New Roman"/>
                <w:sz w:val="18"/>
                <w:szCs w:val="18"/>
                <w:color w:val="auto"/>
              </w:rPr>
              <w:t>$  9,806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$ 13,573</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r>
        <w:trPr>
          <w:trHeight w:val="235"/>
        </w:trPr>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2680" w:type="dxa"/>
            <w:vAlign w:val="bottom"/>
            <w:gridSpan w:val="2"/>
          </w:tcPr>
          <w:p>
            <w:pPr>
              <w:jc w:val="right"/>
              <w:ind w:right="209"/>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4" w:lineRule="exact"/>
        <w:rPr>
          <w:sz w:val="20"/>
          <w:szCs w:val="20"/>
          <w:color w:val="auto"/>
        </w:rPr>
      </w:pPr>
    </w:p>
    <w:p>
      <w:pPr>
        <w:jc w:val="both"/>
        <w:ind w:left="180" w:right="460" w:firstLine="436"/>
        <w:spacing w:after="0" w:line="277" w:lineRule="auto"/>
        <w:rPr>
          <w:sz w:val="20"/>
          <w:szCs w:val="20"/>
          <w:color w:val="auto"/>
        </w:rPr>
      </w:pPr>
      <w:r>
        <w:rPr>
          <w:rFonts w:ascii="Times New Roman" w:cs="Times New Roman" w:eastAsia="Times New Roman" w:hAnsi="Times New Roman"/>
          <w:sz w:val="18"/>
          <w:szCs w:val="18"/>
          <w:color w:val="auto"/>
        </w:rPr>
        <w:t>Depreciation and amortization expenses for 2019 increased by $3.8 million, or 38%, compared to 2018. This increase was due primarily to a $2.1 million increase in intangible assets amortization and a $1.3 million increase</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80"/>
          </w:cols>
          <w:pgMar w:left="320" w:top="454" w:right="49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in capitalized software amortization. The increase in intangible assets amortization was driven by $16.4 million of intangible asset additions recorded as a result of our 2019 acquisitions. The increase in capitalized software amortization was driven by $4.7 million in capitalized software additions in 2019 due to platform improvements and the introduction of new products and features.</w:t>
      </w:r>
    </w:p>
    <w:p>
      <w:pPr>
        <w:spacing w:after="0" w:line="2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43"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4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4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0"/>
        </w:trPr>
        <w:tc>
          <w:tcPr>
            <w:tcW w:w="4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9"/>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tcPr>
          <w:p>
            <w:pPr>
              <w:jc w:val="right"/>
              <w:ind w:right="63"/>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r>
      <w:tr>
        <w:trPr>
          <w:trHeight w:val="140"/>
        </w:trPr>
        <w:tc>
          <w:tcPr>
            <w:tcW w:w="4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60" w:type="dxa"/>
            <w:vAlign w:val="bottom"/>
            <w:gridSpan w:val="4"/>
          </w:tcPr>
          <w:p>
            <w:pPr>
              <w:ind w:left="400"/>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20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2,967</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35"/>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71755</wp:posOffset>
            </wp:positionV>
            <wp:extent cx="7550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32" w:lineRule="exact"/>
        <w:rPr>
          <w:sz w:val="20"/>
          <w:szCs w:val="20"/>
          <w:color w:val="auto"/>
        </w:rPr>
      </w:pPr>
    </w:p>
    <w:p>
      <w:pPr>
        <w:ind w:left="600" w:hanging="426"/>
        <w:spacing w:after="0"/>
        <w:tabs>
          <w:tab w:leader="none" w:pos="6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not meaningful.</w:t>
      </w:r>
    </w:p>
    <w:p>
      <w:pPr>
        <w:spacing w:after="0" w:line="226" w:lineRule="exact"/>
        <w:rPr>
          <w:sz w:val="20"/>
          <w:szCs w:val="20"/>
          <w:color w:val="auto"/>
        </w:rPr>
      </w:pPr>
    </w:p>
    <w:p>
      <w:pPr>
        <w:ind w:left="180" w:right="60" w:firstLine="436"/>
        <w:spacing w:after="0" w:line="277" w:lineRule="auto"/>
        <w:rPr>
          <w:sz w:val="20"/>
          <w:szCs w:val="20"/>
          <w:color w:val="auto"/>
        </w:rPr>
      </w:pPr>
      <w:r>
        <w:rPr>
          <w:rFonts w:ascii="Times New Roman" w:cs="Times New Roman" w:eastAsia="Times New Roman" w:hAnsi="Times New Roman"/>
          <w:sz w:val="18"/>
          <w:szCs w:val="18"/>
          <w:color w:val="auto"/>
        </w:rPr>
        <w:t>Other expenses for 2019 increased by $3.0 million compared to 2018 due to third-party transaction expenses related to an amendment to the First Lien Credit Agreement (as defined below) in November 2019.</w:t>
      </w: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43"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3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4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0"/>
        </w:trPr>
        <w:tc>
          <w:tcPr>
            <w:tcW w:w="39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549"/>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960" w:type="dxa"/>
            <w:vAlign w:val="bottom"/>
            <w:tcBorders>
              <w:top w:val="single" w:sz="8" w:color="auto"/>
              <w:bottom w:val="single" w:sz="8" w:color="auto"/>
            </w:tcBorders>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9"/>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tcPr>
          <w:p>
            <w:pPr>
              <w:jc w:val="right"/>
              <w:ind w:right="63"/>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0"/>
        </w:trPr>
        <w:tc>
          <w:tcPr>
            <w:tcW w:w="39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160" w:type="dxa"/>
            <w:vAlign w:val="bottom"/>
            <w:gridSpan w:val="4"/>
          </w:tcPr>
          <w:p>
            <w:pPr>
              <w:ind w:left="400"/>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700" w:type="dxa"/>
            <w:vAlign w:val="bottom"/>
            <w:gridSpan w:val="2"/>
            <w:shd w:val="clear" w:color="auto" w:fill="CCEEFF"/>
          </w:tcPr>
          <w:p>
            <w:pPr>
              <w:jc w:val="right"/>
              <w:ind w:right="369"/>
              <w:spacing w:after="0"/>
              <w:rPr>
                <w:sz w:val="20"/>
                <w:szCs w:val="20"/>
                <w:color w:val="auto"/>
              </w:rPr>
            </w:pPr>
            <w:r>
              <w:rPr>
                <w:rFonts w:ascii="Times New Roman" w:cs="Times New Roman" w:eastAsia="Times New Roman" w:hAnsi="Times New Roman"/>
                <w:sz w:val="18"/>
                <w:szCs w:val="18"/>
                <w:color w:val="auto"/>
              </w:rPr>
              <w:t>$  2,857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4,877</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r>
      <w:tr>
        <w:trPr>
          <w:trHeight w:val="235"/>
        </w:trPr>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2700" w:type="dxa"/>
            <w:vAlign w:val="bottom"/>
            <w:gridSpan w:val="2"/>
          </w:tcPr>
          <w:p>
            <w:pPr>
              <w:jc w:val="right"/>
              <w:ind w:right="229"/>
              <w:spacing w:after="0"/>
              <w:rPr>
                <w:sz w:val="20"/>
                <w:szCs w:val="20"/>
                <w:color w:val="auto"/>
              </w:rPr>
            </w:pPr>
            <w:r>
              <w:rPr>
                <w:rFonts w:ascii="Times New Roman" w:cs="Times New Roman" w:eastAsia="Times New Roman" w:hAnsi="Times New Roman"/>
                <w:sz w:val="18"/>
                <w:szCs w:val="18"/>
                <w:color w:val="auto"/>
              </w:rPr>
              <w:t>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4" w:lineRule="exact"/>
        <w:rPr>
          <w:sz w:val="20"/>
          <w:szCs w:val="20"/>
          <w:color w:val="auto"/>
        </w:rPr>
      </w:pPr>
    </w:p>
    <w:p>
      <w:pPr>
        <w:ind w:left="180" w:right="60" w:firstLine="436"/>
        <w:spacing w:after="0" w:line="262" w:lineRule="auto"/>
        <w:rPr>
          <w:sz w:val="20"/>
          <w:szCs w:val="20"/>
          <w:color w:val="auto"/>
        </w:rPr>
      </w:pPr>
      <w:r>
        <w:rPr>
          <w:rFonts w:ascii="Times New Roman" w:cs="Times New Roman" w:eastAsia="Times New Roman" w:hAnsi="Times New Roman"/>
          <w:sz w:val="18"/>
          <w:szCs w:val="18"/>
          <w:color w:val="auto"/>
        </w:rPr>
        <w:t>In 2019, we recognized a loss of $4.9 million related to prepayment penalties and the write-off of unamortized loan fees upon the extinguishment of our Second Lien Term Loan Facility in November 2019. In 2018, we recognized a loss of $2.9 million related to the write-off of unamortized loan fees upon the extinguishment of our prior credit agreement.</w:t>
      </w:r>
    </w:p>
    <w:p>
      <w:pPr>
        <w:spacing w:after="0" w:line="2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43"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4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4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0"/>
        </w:trPr>
        <w:tc>
          <w:tcPr>
            <w:tcW w:w="40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529"/>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960" w:type="dxa"/>
            <w:vAlign w:val="bottom"/>
            <w:tcBorders>
              <w:top w:val="single" w:sz="8" w:color="auto"/>
              <w:bottom w:val="single" w:sz="8" w:color="auto"/>
            </w:tcBorders>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89"/>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ind w:right="63"/>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r>
      <w:tr>
        <w:trPr>
          <w:trHeight w:val="140"/>
        </w:trPr>
        <w:tc>
          <w:tcPr>
            <w:tcW w:w="40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160" w:type="dxa"/>
            <w:vAlign w:val="bottom"/>
            <w:gridSpan w:val="4"/>
          </w:tcPr>
          <w:p>
            <w:pPr>
              <w:jc w:val="right"/>
              <w:ind w:right="369"/>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78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8"/>
                <w:szCs w:val="18"/>
                <w:color w:val="auto"/>
              </w:rPr>
              <w:t>$   (154)</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(715)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35"/>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2780" w:type="dxa"/>
            <w:vAlign w:val="bottom"/>
            <w:gridSpan w:val="2"/>
          </w:tcPr>
          <w:p>
            <w:pPr>
              <w:jc w:val="right"/>
              <w:ind w:right="209"/>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71755</wp:posOffset>
            </wp:positionV>
            <wp:extent cx="7550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32" w:lineRule="exact"/>
        <w:rPr>
          <w:sz w:val="20"/>
          <w:szCs w:val="20"/>
          <w:color w:val="auto"/>
        </w:rPr>
      </w:pPr>
    </w:p>
    <w:p>
      <w:pPr>
        <w:ind w:left="600" w:hanging="426"/>
        <w:spacing w:after="0"/>
        <w:tabs>
          <w:tab w:leader="none" w:pos="6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not meaningful.</w:t>
      </w:r>
    </w:p>
    <w:p>
      <w:pPr>
        <w:spacing w:after="0" w:line="225" w:lineRule="exact"/>
        <w:rPr>
          <w:rFonts w:ascii="Times New Roman" w:cs="Times New Roman" w:eastAsia="Times New Roman" w:hAnsi="Times New Roman"/>
          <w:sz w:val="16"/>
          <w:szCs w:val="16"/>
          <w:color w:val="auto"/>
        </w:rPr>
      </w:pPr>
    </w:p>
    <w:p>
      <w:pPr>
        <w:ind w:left="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increase in interest income was primarily due to higher average cash balance during 2019 compared to 2018.</w:t>
      </w:r>
    </w:p>
    <w:p>
      <w:pPr>
        <w:spacing w:after="0" w:line="3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43"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3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4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4"/>
                <w:szCs w:val="14"/>
                <w:color w:val="auto"/>
              </w:rPr>
            </w:pPr>
          </w:p>
        </w:tc>
        <w:tc>
          <w:tcPr>
            <w:tcW w:w="11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0"/>
        </w:trPr>
        <w:tc>
          <w:tcPr>
            <w:tcW w:w="3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489"/>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920" w:type="dxa"/>
            <w:vAlign w:val="bottom"/>
            <w:tcBorders>
              <w:top w:val="single" w:sz="8" w:color="auto"/>
              <w:bottom w:val="single" w:sz="8" w:color="auto"/>
            </w:tcBorders>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769"/>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tcPr>
          <w:p>
            <w:pPr>
              <w:ind w:left="140"/>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0"/>
        </w:trPr>
        <w:tc>
          <w:tcPr>
            <w:tcW w:w="3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gridSpan w:val="4"/>
          </w:tcPr>
          <w:p>
            <w:pPr>
              <w:ind w:left="400"/>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140" w:type="dxa"/>
            <w:vAlign w:val="bottom"/>
            <w:gridSpan w:val="2"/>
            <w:shd w:val="clear" w:color="auto" w:fill="CCEEFF"/>
          </w:tcPr>
          <w:p>
            <w:pPr>
              <w:jc w:val="right"/>
              <w:ind w:right="309"/>
              <w:spacing w:after="0"/>
              <w:rPr>
                <w:sz w:val="20"/>
                <w:szCs w:val="20"/>
                <w:color w:val="auto"/>
              </w:rPr>
            </w:pPr>
            <w:r>
              <w:rPr>
                <w:rFonts w:ascii="Times New Roman" w:cs="Times New Roman" w:eastAsia="Times New Roman" w:hAnsi="Times New Roman"/>
                <w:sz w:val="18"/>
                <w:szCs w:val="18"/>
                <w:color w:val="auto"/>
              </w:rPr>
              <w:t>$ 22,193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$ 49,569</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9"/>
              <w:spacing w:after="0"/>
              <w:rPr>
                <w:sz w:val="20"/>
                <w:szCs w:val="20"/>
                <w:color w:val="auto"/>
              </w:rPr>
            </w:pPr>
            <w:r>
              <w:rPr>
                <w:rFonts w:ascii="Times New Roman" w:cs="Times New Roman" w:eastAsia="Times New Roman" w:hAnsi="Times New Roman"/>
                <w:sz w:val="18"/>
                <w:szCs w:val="18"/>
                <w:color w:val="auto"/>
              </w:rPr>
              <w:t>$27,376</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123%</w:t>
            </w:r>
          </w:p>
        </w:tc>
      </w:tr>
      <w:tr>
        <w:trPr>
          <w:trHeight w:val="235"/>
        </w:trPr>
        <w:tc>
          <w:tcPr>
            <w:tcW w:w="3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3140" w:type="dxa"/>
            <w:vAlign w:val="bottom"/>
            <w:gridSpan w:val="2"/>
          </w:tcPr>
          <w:p>
            <w:pPr>
              <w:jc w:val="right"/>
              <w:ind w:right="169"/>
              <w:spacing w:after="0"/>
              <w:rPr>
                <w:sz w:val="20"/>
                <w:szCs w:val="20"/>
                <w:color w:val="auto"/>
              </w:rPr>
            </w:pPr>
            <w:r>
              <w:rPr>
                <w:rFonts w:ascii="Times New Roman" w:cs="Times New Roman" w:eastAsia="Times New Roman" w:hAnsi="Times New Roman"/>
                <w:sz w:val="18"/>
                <w:szCs w:val="18"/>
                <w:color w:val="auto"/>
              </w:rPr>
              <w:t>9%</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40"/>
        </w:trPr>
        <w:tc>
          <w:tcPr>
            <w:tcW w:w="3520" w:type="dxa"/>
            <w:vAlign w:val="bottom"/>
          </w:tcPr>
          <w:p>
            <w:pPr>
              <w:spacing w:after="0"/>
              <w:rPr>
                <w:sz w:val="24"/>
                <w:szCs w:val="24"/>
                <w:color w:val="auto"/>
              </w:rPr>
            </w:pPr>
          </w:p>
        </w:tc>
        <w:tc>
          <w:tcPr>
            <w:tcW w:w="21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20"/>
          </w:cols>
          <w:pgMar w:left="320" w:top="454" w:right="5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Interest expense for 2019 increased by $27.4 million compared to 2018 primarily due to increased borrowings incurred under our First Lien Credit Agreement and Second Lien Credit Agreement in October 2018 as further described below.</w:t>
      </w: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43"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3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34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0"/>
        </w:trPr>
        <w:tc>
          <w:tcPr>
            <w:tcW w:w="3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489"/>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960" w:type="dxa"/>
            <w:vAlign w:val="bottom"/>
            <w:tcBorders>
              <w:top w:val="single" w:sz="8" w:color="auto"/>
              <w:bottom w:val="single" w:sz="8" w:color="auto"/>
            </w:tcBorders>
          </w:tcPr>
          <w:p>
            <w:pPr>
              <w:jc w:val="right"/>
              <w:ind w:right="140"/>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9"/>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ind w:right="63"/>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0"/>
        </w:trPr>
        <w:tc>
          <w:tcPr>
            <w:tcW w:w="3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80" w:type="dxa"/>
            <w:vAlign w:val="bottom"/>
            <w:gridSpan w:val="4"/>
          </w:tcPr>
          <w:p>
            <w:pPr>
              <w:ind w:left="380"/>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0" w:type="dxa"/>
            <w:vAlign w:val="bottom"/>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8"/>
                <w:szCs w:val="18"/>
                <w:color w:val="auto"/>
              </w:rPr>
              <w:t>$ (8,555)</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(16,930)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r>
      <w:tr>
        <w:trPr>
          <w:trHeight w:val="235"/>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Income tax effective rate</w:t>
            </w:r>
          </w:p>
        </w:tc>
        <w:tc>
          <w:tcPr>
            <w:tcW w:w="3000" w:type="dxa"/>
            <w:vAlign w:val="bottom"/>
            <w:gridSpan w:val="2"/>
          </w:tcPr>
          <w:p>
            <w:pPr>
              <w:jc w:val="right"/>
              <w:ind w:right="189"/>
              <w:spacing w:after="0"/>
              <w:rPr>
                <w:sz w:val="20"/>
                <w:szCs w:val="20"/>
                <w:color w:val="auto"/>
              </w:rPr>
            </w:pPr>
            <w:r>
              <w:rPr>
                <w:rFonts w:ascii="Times New Roman" w:cs="Times New Roman" w:eastAsia="Times New Roman" w:hAnsi="Times New Roman"/>
                <w:sz w:val="18"/>
                <w:szCs w:val="18"/>
                <w:color w:val="auto"/>
              </w:rPr>
              <w:t>16%</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Income tax expense for 2019 increased by $8.4 million, or 98%, compared to 2018 primarily due to increases in pre-tax income.</w:t>
      </w:r>
    </w:p>
    <w:p>
      <w:pPr>
        <w:spacing w:after="0" w:line="3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118" w:lineRule="exact"/>
        <w:rPr>
          <w:sz w:val="20"/>
          <w:szCs w:val="20"/>
          <w:color w:val="auto"/>
        </w:rPr>
      </w:pPr>
    </w:p>
    <w:p>
      <w:pPr>
        <w:ind w:left="180" w:right="40" w:firstLine="436"/>
        <w:spacing w:after="0" w:line="252" w:lineRule="auto"/>
        <w:rPr>
          <w:sz w:val="20"/>
          <w:szCs w:val="20"/>
          <w:color w:val="auto"/>
        </w:rPr>
      </w:pPr>
      <w:r>
        <w:rPr>
          <w:rFonts w:ascii="Times New Roman" w:cs="Times New Roman" w:eastAsia="Times New Roman" w:hAnsi="Times New Roman"/>
          <w:sz w:val="18"/>
          <w:szCs w:val="18"/>
          <w:color w:val="auto"/>
        </w:rPr>
        <w:t>The following table sets forth our unaudited quarterly consolidated results of operations by quarter from the first quarter of 2019 to the second quarter of 2020. The unaudited quarterly consolidated results of operations set forth below have been prepared on the same basis as our audited consolidated financial statements and in our opinion contains all adjustments, consisting only of normal and recurring adjustments, necessary for the fair statement of this financial information. You should read the following information in conjunction with the section titled “Management’s Discussion and Analysis of Financial Condition and Results of Operations” and our consolidated financial statements and the accompanying notes thereto included elsewhere in this prospectus. The results of historical periods are not necessarily indicative of the results for any future period, and the results for any quarter are not necessarily indicative of results to be expected for a full year or any other period.</w:t>
      </w:r>
    </w:p>
    <w:p>
      <w:pPr>
        <w:spacing w:after="0" w:line="2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Quarterly Consolidated Statement of Operations Data</w:t>
      </w: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6"/>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80" w:type="dxa"/>
            <w:vAlign w:val="bottom"/>
          </w:tcPr>
          <w:p>
            <w:pPr>
              <w:spacing w:after="0"/>
              <w:rPr>
                <w:sz w:val="10"/>
                <w:szCs w:val="10"/>
                <w:color w:val="auto"/>
              </w:rPr>
            </w:pPr>
          </w:p>
        </w:tc>
        <w:tc>
          <w:tcPr>
            <w:tcW w:w="5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140" w:type="dxa"/>
            <w:vAlign w:val="bottom"/>
            <w:gridSpan w:val="3"/>
          </w:tcPr>
          <w:p>
            <w:pPr>
              <w:ind w:left="260"/>
              <w:spacing w:after="0" w:line="116"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1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0"/>
                <w:szCs w:val="10"/>
                <w:color w:val="auto"/>
              </w:rPr>
            </w:pPr>
          </w:p>
        </w:tc>
        <w:tc>
          <w:tcPr>
            <w:tcW w:w="6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60" w:type="dxa"/>
            <w:vAlign w:val="bottom"/>
          </w:tcPr>
          <w:p>
            <w:pPr>
              <w:spacing w:after="0"/>
              <w:rPr>
                <w:sz w:val="10"/>
                <w:szCs w:val="10"/>
                <w:color w:val="auto"/>
              </w:rPr>
            </w:pPr>
          </w:p>
        </w:tc>
        <w:tc>
          <w:tcPr>
            <w:tcW w:w="6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0" w:type="dxa"/>
            <w:vAlign w:val="bottom"/>
          </w:tcPr>
          <w:p>
            <w:pPr>
              <w:spacing w:after="0"/>
              <w:rPr>
                <w:sz w:val="10"/>
                <w:szCs w:val="10"/>
                <w:color w:val="auto"/>
              </w:rPr>
            </w:pPr>
          </w:p>
        </w:tc>
      </w:tr>
      <w:tr>
        <w:trPr>
          <w:trHeight w:val="172"/>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60" w:type="dxa"/>
            <w:vAlign w:val="bottom"/>
            <w:gridSpan w:val="2"/>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860" w:type="dxa"/>
            <w:vAlign w:val="bottom"/>
            <w:gridSpan w:val="2"/>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0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940" w:type="dxa"/>
            <w:vAlign w:val="bottom"/>
            <w:gridSpan w:val="2"/>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940" w:type="dxa"/>
            <w:vAlign w:val="bottom"/>
            <w:gridSpan w:val="2"/>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3"/>
          </w:tcPr>
          <w:p>
            <w:pPr>
              <w:jc w:val="right"/>
              <w:ind w:right="411"/>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4"/>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Prescription transactions revenue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$ 78,539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$85,779</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104,469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$123,017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$109,548</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revenue</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13,747</w:t>
            </w:r>
          </w:p>
        </w:tc>
        <w:tc>
          <w:tcPr>
            <w:tcW w:w="60" w:type="dxa"/>
            <w:vAlign w:val="bottom"/>
            <w:shd w:val="clear" w:color="auto" w:fill="CCEEFF"/>
          </w:tcPr>
          <w:p>
            <w:pPr>
              <w:spacing w:after="0"/>
              <w:rPr>
                <w:sz w:val="18"/>
                <w:szCs w:val="18"/>
                <w:color w:val="auto"/>
              </w:rPr>
            </w:pPr>
          </w:p>
        </w:tc>
      </w:tr>
      <w:tr>
        <w:trPr>
          <w:trHeight w:val="22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81,689</w:t>
            </w:r>
          </w:p>
        </w:tc>
        <w:tc>
          <w:tcPr>
            <w:tcW w:w="2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91,534</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101,745</w:t>
            </w: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113,256</w:t>
            </w: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133,408</w:t>
            </w: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123,295</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488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2"/>
        </w:trPr>
        <w:tc>
          <w:tcPr>
            <w:tcW w:w="20" w:type="dxa"/>
            <w:vAlign w:val="bottom"/>
          </w:tcPr>
          <w:p>
            <w:pPr>
              <w:spacing w:after="0"/>
              <w:rPr>
                <w:sz w:val="20"/>
                <w:szCs w:val="20"/>
                <w:color w:val="auto"/>
              </w:rPr>
            </w:pPr>
          </w:p>
        </w:tc>
        <w:tc>
          <w:tcPr>
            <w:tcW w:w="4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ml:space="preserve">presented separately below </w:t>
            </w:r>
            <w:r>
              <w:rPr>
                <w:rFonts w:ascii="Times New Roman" w:cs="Times New Roman" w:eastAsia="Times New Roman" w:hAnsi="Times New Roman"/>
                <w:sz w:val="15"/>
                <w:szCs w:val="15"/>
                <w:color w:val="auto"/>
              </w:rPr>
              <w:t>(1)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6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Product development and technology </w:t>
            </w:r>
            <w:r>
              <w:rPr>
                <w:rFonts w:ascii="Times New Roman" w:cs="Times New Roman" w:eastAsia="Times New Roman" w:hAnsi="Times New Roman"/>
                <w:sz w:val="15"/>
                <w:szCs w:val="15"/>
                <w:color w:val="auto"/>
              </w:rPr>
              <w:t>(1)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15"/>
                <w:szCs w:val="15"/>
                <w:color w:val="auto"/>
              </w:rPr>
              <w:t>(1)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39,923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37,766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54,328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63,162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51,920</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15"/>
                <w:szCs w:val="15"/>
                <w:color w:val="auto"/>
              </w:rPr>
              <w:t>(1)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6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81,559</w:t>
            </w:r>
          </w:p>
        </w:tc>
        <w:tc>
          <w:tcPr>
            <w:tcW w:w="60" w:type="dxa"/>
            <w:vAlign w:val="bottom"/>
            <w:shd w:val="clear" w:color="auto" w:fill="CCEEFF"/>
          </w:tcPr>
          <w:p>
            <w:pPr>
              <w:spacing w:after="0"/>
              <w:rPr>
                <w:sz w:val="18"/>
                <w:szCs w:val="18"/>
                <w:color w:val="auto"/>
              </w:rPr>
            </w:pPr>
          </w:p>
        </w:tc>
      </w:tr>
      <w:tr>
        <w:trPr>
          <w:trHeight w:val="22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27,995</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38,070</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37,844</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35,767</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43,670</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41,736</w:t>
            </w:r>
          </w:p>
        </w:tc>
        <w:tc>
          <w:tcPr>
            <w:tcW w:w="60" w:type="dxa"/>
            <w:vAlign w:val="bottom"/>
          </w:tcPr>
          <w:p>
            <w:pPr>
              <w:spacing w:after="0"/>
              <w:rPr>
                <w:sz w:val="19"/>
                <w:szCs w:val="19"/>
                <w:color w:val="auto"/>
              </w:rPr>
            </w:pPr>
          </w:p>
        </w:tc>
      </w:tr>
      <w:tr>
        <w:trPr>
          <w:trHeight w:val="368"/>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6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4" w:right="49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0" w:type="dxa"/>
            <w:vAlign w:val="bottom"/>
          </w:tcPr>
          <w:p>
            <w:pPr>
              <w:spacing w:after="0"/>
              <w:rPr>
                <w:sz w:val="10"/>
                <w:szCs w:val="10"/>
                <w:color w:val="auto"/>
              </w:rPr>
            </w:pPr>
          </w:p>
        </w:tc>
        <w:tc>
          <w:tcPr>
            <w:tcW w:w="720" w:type="dxa"/>
            <w:vAlign w:val="bottom"/>
            <w:gridSpan w:val="3"/>
          </w:tcPr>
          <w:p>
            <w:pPr>
              <w:jc w:val="right"/>
              <w:ind w:right="180"/>
              <w:spacing w:after="0" w:line="116"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80" w:type="dxa"/>
            <w:vAlign w:val="bottom"/>
            <w:gridSpan w:val="4"/>
          </w:tcPr>
          <w:p>
            <w:pPr>
              <w:ind w:left="80"/>
              <w:spacing w:after="0" w:line="116"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40" w:type="dxa"/>
            <w:vAlign w:val="bottom"/>
            <w:gridSpan w:val="4"/>
          </w:tcPr>
          <w:p>
            <w:pPr>
              <w:ind w:left="80"/>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gridSpan w:val="4"/>
          </w:tcPr>
          <w:p>
            <w:pPr>
              <w:ind w:left="80"/>
              <w:spacing w:after="0" w:line="116"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0" w:type="dxa"/>
            <w:vAlign w:val="bottom"/>
          </w:tcPr>
          <w:p>
            <w:pPr>
              <w:spacing w:after="0"/>
              <w:rPr>
                <w:sz w:val="10"/>
                <w:szCs w:val="10"/>
                <w:color w:val="auto"/>
              </w:rPr>
            </w:pPr>
          </w:p>
        </w:tc>
        <w:tc>
          <w:tcPr>
            <w:tcW w:w="6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6"/>
          </w:tcPr>
          <w:p>
            <w:pPr>
              <w:jc w:val="right"/>
              <w:ind w:right="66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2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13,280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13,103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24,967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35,112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34,998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(7,661)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19,650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19,619</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27,346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27,337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65" w:lineRule="exact"/>
        <w:rPr>
          <w:sz w:val="20"/>
          <w:szCs w:val="20"/>
          <w:color w:val="auto"/>
        </w:rPr>
      </w:pPr>
    </w:p>
    <w:p>
      <w:pPr>
        <w:ind w:left="600" w:hanging="426"/>
        <w:spacing w:after="0"/>
        <w:tabs>
          <w:tab w:leader="none" w:pos="600" w:val="left"/>
        </w:tabs>
        <w:numPr>
          <w:ilvl w:val="0"/>
          <w:numId w:val="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stock-based compensation expense as follows:</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6"/>
        </w:trPr>
        <w:tc>
          <w:tcPr>
            <w:tcW w:w="3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4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900" w:type="dxa"/>
            <w:vAlign w:val="bottom"/>
            <w:gridSpan w:val="3"/>
          </w:tcPr>
          <w:p>
            <w:pPr>
              <w:ind w:left="400"/>
              <w:spacing w:after="0" w:line="116"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80" w:type="dxa"/>
            <w:vAlign w:val="bottom"/>
            <w:gridSpan w:val="3"/>
          </w:tcPr>
          <w:p>
            <w:pPr>
              <w:ind w:left="400"/>
              <w:spacing w:after="0" w:line="116"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20" w:type="dxa"/>
            <w:vAlign w:val="bottom"/>
            <w:gridSpan w:val="3"/>
          </w:tcPr>
          <w:p>
            <w:pPr>
              <w:ind w:left="380"/>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40" w:type="dxa"/>
            <w:vAlign w:val="bottom"/>
            <w:gridSpan w:val="3"/>
          </w:tcPr>
          <w:p>
            <w:pPr>
              <w:ind w:left="400"/>
              <w:spacing w:after="0" w:line="116"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900" w:type="dxa"/>
            <w:vAlign w:val="bottom"/>
            <w:gridSpan w:val="3"/>
          </w:tcPr>
          <w:p>
            <w:pPr>
              <w:ind w:left="380"/>
              <w:spacing w:after="0" w:line="116" w:lineRule="exact"/>
              <w:rPr>
                <w:sz w:val="20"/>
                <w:szCs w:val="20"/>
                <w:color w:val="auto"/>
              </w:rPr>
            </w:pPr>
            <w:r>
              <w:rPr>
                <w:rFonts w:ascii="Times New Roman" w:cs="Times New Roman" w:eastAsia="Times New Roman" w:hAnsi="Times New Roman"/>
                <w:sz w:val="13"/>
                <w:szCs w:val="13"/>
                <w:b w:val="1"/>
                <w:bCs w:val="1"/>
                <w:color w:val="auto"/>
              </w:rPr>
              <w:t>June 30,</w:t>
            </w:r>
          </w:p>
        </w:tc>
        <w:tc>
          <w:tcPr>
            <w:tcW w:w="40" w:type="dxa"/>
            <w:vAlign w:val="bottom"/>
          </w:tcPr>
          <w:p>
            <w:pPr>
              <w:spacing w:after="0"/>
              <w:rPr>
                <w:sz w:val="10"/>
                <w:szCs w:val="10"/>
                <w:color w:val="auto"/>
              </w:rPr>
            </w:pPr>
          </w:p>
        </w:tc>
      </w:tr>
      <w:tr>
        <w:trPr>
          <w:trHeight w:val="172"/>
        </w:trPr>
        <w:tc>
          <w:tcPr>
            <w:tcW w:w="3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4"/>
                <w:szCs w:val="14"/>
                <w:color w:val="auto"/>
              </w:rPr>
            </w:pPr>
          </w:p>
        </w:tc>
      </w:tr>
      <w:tr>
        <w:trPr>
          <w:trHeight w:val="140"/>
        </w:trPr>
        <w:tc>
          <w:tcPr>
            <w:tcW w:w="3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3"/>
          </w:tcPr>
          <w:p>
            <w:pPr>
              <w:ind w:left="44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0"/>
        </w:trPr>
        <w:tc>
          <w:tcPr>
            <w:tcW w:w="3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w:t>
            </w:r>
          </w:p>
        </w:tc>
        <w:tc>
          <w:tcPr>
            <w:tcW w:w="11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40" w:type="dxa"/>
            <w:vAlign w:val="bottom"/>
            <w:shd w:val="clear" w:color="auto" w:fill="CCEEFF"/>
          </w:tcPr>
          <w:p>
            <w:pPr>
              <w:spacing w:after="0"/>
              <w:rPr>
                <w:sz w:val="17"/>
                <w:szCs w:val="17"/>
                <w:color w:val="auto"/>
              </w:rPr>
            </w:pPr>
          </w:p>
        </w:tc>
      </w:tr>
      <w:tr>
        <w:trPr>
          <w:trHeight w:val="200"/>
        </w:trPr>
        <w:tc>
          <w:tcPr>
            <w:tcW w:w="3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Product development and technology</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1"/>
              </w:rPr>
              <w:t>412</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1"/>
              </w:rPr>
              <w:t>404</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9"/>
              </w:rPr>
              <w:t>449</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40" w:type="dxa"/>
            <w:vAlign w:val="bottom"/>
          </w:tcPr>
          <w:p>
            <w:pPr>
              <w:spacing w:after="0"/>
              <w:rPr>
                <w:sz w:val="17"/>
                <w:szCs w:val="17"/>
                <w:color w:val="auto"/>
              </w:rPr>
            </w:pPr>
          </w:p>
        </w:tc>
      </w:tr>
      <w:tr>
        <w:trPr>
          <w:trHeight w:val="200"/>
        </w:trPr>
        <w:tc>
          <w:tcPr>
            <w:tcW w:w="3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11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w w:val="91"/>
              </w:rPr>
              <w:t>274</w:t>
            </w:r>
          </w:p>
        </w:tc>
        <w:tc>
          <w:tcPr>
            <w:tcW w:w="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1"/>
              </w:rPr>
              <w:t>326</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9"/>
              </w:rPr>
              <w:t>331</w:t>
            </w: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40" w:type="dxa"/>
            <w:vAlign w:val="bottom"/>
            <w:shd w:val="clear" w:color="auto" w:fill="CCEEFF"/>
          </w:tcPr>
          <w:p>
            <w:pPr>
              <w:spacing w:after="0"/>
              <w:rPr>
                <w:sz w:val="17"/>
                <w:szCs w:val="17"/>
                <w:color w:val="auto"/>
              </w:rPr>
            </w:pPr>
          </w:p>
        </w:tc>
      </w:tr>
      <w:tr>
        <w:trPr>
          <w:trHeight w:val="207"/>
        </w:trPr>
        <w:tc>
          <w:tcPr>
            <w:tcW w:w="3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w w:val="91"/>
              </w:rPr>
              <w:t>146</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w w:val="91"/>
              </w:rPr>
              <w:t>174</w:t>
            </w: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w w:val="99"/>
              </w:rPr>
              <w:t>176</w:t>
            </w: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40" w:type="dxa"/>
            <w:vAlign w:val="bottom"/>
          </w:tcPr>
          <w:p>
            <w:pPr>
              <w:spacing w:after="0"/>
              <w:rPr>
                <w:sz w:val="18"/>
                <w:szCs w:val="18"/>
                <w:color w:val="auto"/>
              </w:rPr>
            </w:pPr>
          </w:p>
        </w:tc>
      </w:tr>
      <w:tr>
        <w:trPr>
          <w:trHeight w:val="200"/>
        </w:trPr>
        <w:tc>
          <w:tcPr>
            <w:tcW w:w="3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1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w w:val="91"/>
              </w:rPr>
              <w:t>832</w:t>
            </w:r>
          </w:p>
        </w:tc>
        <w:tc>
          <w:tcPr>
            <w:tcW w:w="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1"/>
              </w:rPr>
              <w:t>904</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9"/>
              </w:rPr>
              <w:t>956</w:t>
            </w: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40" w:type="dxa"/>
            <w:vAlign w:val="bottom"/>
            <w:shd w:val="clear" w:color="auto" w:fill="CCEEFF"/>
          </w:tcPr>
          <w:p>
            <w:pPr>
              <w:spacing w:after="0"/>
              <w:rPr>
                <w:sz w:val="17"/>
                <w:szCs w:val="17"/>
                <w:color w:val="auto"/>
              </w:rPr>
            </w:pPr>
          </w:p>
        </w:tc>
      </w:tr>
      <w:tr>
        <w:trPr>
          <w:trHeight w:val="20"/>
        </w:trPr>
        <w:tc>
          <w:tcPr>
            <w:tcW w:w="3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18" w:lineRule="exact"/>
        <w:rPr>
          <w:sz w:val="20"/>
          <w:szCs w:val="20"/>
          <w:color w:val="auto"/>
        </w:rPr>
      </w:pPr>
    </w:p>
    <w:p>
      <w:pPr>
        <w:ind w:left="180" w:right="200" w:firstLine="436"/>
        <w:spacing w:after="0" w:line="255" w:lineRule="auto"/>
        <w:rPr>
          <w:sz w:val="20"/>
          <w:szCs w:val="20"/>
          <w:color w:val="auto"/>
        </w:rPr>
      </w:pPr>
      <w:r>
        <w:rPr>
          <w:rFonts w:ascii="Times New Roman" w:cs="Times New Roman" w:eastAsia="Times New Roman" w:hAnsi="Times New Roman"/>
          <w:sz w:val="18"/>
          <w:szCs w:val="18"/>
          <w:color w:val="auto"/>
        </w:rPr>
        <w:t>We typically experience stronger consumer demand during the first and fourth quarters of each year, which coincide with generally higher consumer healthcare spending, doctor office visits, annual benefit enrollment season, and seasonal cold and flu trends. This seasonality may impact revenue and sales and marketing expense. The rapid growth of our business may have masked these trends to date, and we expect the impact of seasonality to be more pronounced in the future. In addition, in 2020 we have seen the impact of the COVID-19 pandemic further disrupt these trends, which may continue in future periods.</w:t>
      </w:r>
    </w:p>
    <w:p>
      <w:pPr>
        <w:spacing w:after="0" w:line="2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Quarterly Revenue Trends</w:t>
      </w:r>
    </w:p>
    <w:p>
      <w:pPr>
        <w:spacing w:after="0" w:line="118" w:lineRule="exact"/>
        <w:rPr>
          <w:sz w:val="20"/>
          <w:szCs w:val="20"/>
          <w:color w:val="auto"/>
        </w:rPr>
      </w:pPr>
    </w:p>
    <w:p>
      <w:pPr>
        <w:ind w:left="180" w:right="80" w:firstLine="436"/>
        <w:spacing w:after="0" w:line="271" w:lineRule="auto"/>
        <w:rPr>
          <w:sz w:val="20"/>
          <w:szCs w:val="20"/>
          <w:color w:val="auto"/>
        </w:rPr>
      </w:pPr>
      <w:r>
        <w:rPr>
          <w:rFonts w:ascii="Times New Roman" w:cs="Times New Roman" w:eastAsia="Times New Roman" w:hAnsi="Times New Roman"/>
          <w:sz w:val="17"/>
          <w:szCs w:val="17"/>
          <w:color w:val="auto"/>
        </w:rPr>
        <w:t>Prescription transactions revenue increased sequentially each quarter in 2019 and the first quarter of 2020 primarily due to the increase in the number of our Monthly Active Consumers. Prescription transactions revenue decreased in the second quarter of 2020 due to the impact of COVID-19, as many consumers avoided visiting healthcare professionals and pharmacies in-person, which led to a decrease in Monthly Active Consumers. Other revenue increased sequentially each quarter in 2019 and the first and second quarters of 2020 as a result of an increase in subscription revenue due to an increase in the number of subscribers, an increase in revenue from pharmaceutical manufacturers, and the impact of the launch and expansion of our telehealth offerings following the acquisition of HeyDoctor in April 2019 and the launch of the GoodRx Telehealth Marketplace in March 2020.</w:t>
      </w:r>
    </w:p>
    <w:p>
      <w:pPr>
        <w:spacing w:after="0" w:line="2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Quarterly Costs and Operating Expense Trends</w:t>
      </w:r>
    </w:p>
    <w:p>
      <w:pPr>
        <w:spacing w:after="0" w:line="118" w:lineRule="exact"/>
        <w:rPr>
          <w:sz w:val="20"/>
          <w:szCs w:val="20"/>
          <w:color w:val="auto"/>
        </w:rPr>
      </w:pPr>
    </w:p>
    <w:p>
      <w:pPr>
        <w:ind w:left="180" w:right="100" w:firstLine="436"/>
        <w:spacing w:after="0" w:line="285" w:lineRule="auto"/>
        <w:rPr>
          <w:sz w:val="20"/>
          <w:szCs w:val="20"/>
          <w:color w:val="auto"/>
        </w:rPr>
      </w:pPr>
      <w:r>
        <w:rPr>
          <w:rFonts w:ascii="Times New Roman" w:cs="Times New Roman" w:eastAsia="Times New Roman" w:hAnsi="Times New Roman"/>
          <w:sz w:val="17"/>
          <w:szCs w:val="17"/>
          <w:color w:val="auto"/>
        </w:rPr>
        <w:t>Our quarterly total costs and operating expenses increased sequentially commencing in the third quarter of 2019 through the first quarter of 2020 due primarily to increases in sales and marketing and product development and technology expenses. Commencing in the third quarter of 2019 we significantly accelerated our sales and marketing spending to increase our consumer base and build the GoodRx brand as we believe such spending will</w:t>
      </w:r>
    </w:p>
    <w:p>
      <w:pPr>
        <w:spacing w:after="0" w:line="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80"/>
          </w:cols>
          <w:pgMar w:left="320" w:top="454" w:right="49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40"/>
        <w:spacing w:after="0" w:line="253" w:lineRule="auto"/>
        <w:rPr>
          <w:sz w:val="20"/>
          <w:szCs w:val="20"/>
          <w:color w:val="auto"/>
        </w:rPr>
      </w:pPr>
      <w:r>
        <w:rPr>
          <w:rFonts w:ascii="Times New Roman" w:cs="Times New Roman" w:eastAsia="Times New Roman" w:hAnsi="Times New Roman"/>
          <w:sz w:val="18"/>
          <w:szCs w:val="18"/>
          <w:color w:val="auto"/>
        </w:rPr>
        <w:t>produce long-term positive returns. During the second quarter of 2020, due to the impact of COVID-19, which resulted in many consumers avoiding visiting healthcare professionals and pharmacies in-person, we reduced our spending on advertising and marketing in certain channels, which resulted in a decrease in sales and marketing expense for that period. Our product development and technology expenses increased sequentially each quarter in 2019 and the first and second quarters of 2020 as we continued to invest in product development and technology to introduce new offerings and scale existing ones. Additionally, our general and administrative expenses have increased each quarter as we have expanded our infrastructure and headcount to support our growth and prepare to meet our obligations as a public company following the completion of this offering.</w:t>
      </w:r>
    </w:p>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Trends</w:t>
      </w:r>
    </w:p>
    <w:p>
      <w:pPr>
        <w:spacing w:after="0" w:line="118" w:lineRule="exact"/>
        <w:rPr>
          <w:sz w:val="20"/>
          <w:szCs w:val="20"/>
          <w:color w:val="auto"/>
        </w:rPr>
      </w:pPr>
    </w:p>
    <w:p>
      <w:pPr>
        <w:ind w:left="180" w:right="360" w:firstLine="436"/>
        <w:spacing w:after="0" w:line="257" w:lineRule="auto"/>
        <w:rPr>
          <w:sz w:val="20"/>
          <w:szCs w:val="20"/>
          <w:color w:val="auto"/>
        </w:rPr>
      </w:pPr>
      <w:r>
        <w:rPr>
          <w:rFonts w:ascii="Times New Roman" w:cs="Times New Roman" w:eastAsia="Times New Roman" w:hAnsi="Times New Roman"/>
          <w:sz w:val="18"/>
          <w:szCs w:val="18"/>
          <w:color w:val="auto"/>
        </w:rPr>
        <w:t>Our quarterly interest expense has decreased throughout 2019 and during the first two quarters of 2020 as a result of lower interest rates, the November 2019 amendment to increase the amount of the First Lien Term Loan Facility in order to repay all amounts outstanding under the Second Lien Term Loan Facility, which bore interest at a higher rate than the First Lien Term Loan Facility, and repayments of principal. As a result of the November 2019 transaction, we incurred a loss on the early extinguishment of debt during the fourth quarter of 2019.</w:t>
      </w: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18" w:lineRule="exact"/>
        <w:rPr>
          <w:sz w:val="20"/>
          <w:szCs w:val="20"/>
          <w:color w:val="auto"/>
        </w:rPr>
      </w:pPr>
    </w:p>
    <w:p>
      <w:pPr>
        <w:jc w:val="both"/>
        <w:ind w:left="180" w:right="280" w:firstLine="436"/>
        <w:spacing w:after="0" w:line="262" w:lineRule="auto"/>
        <w:rPr>
          <w:sz w:val="20"/>
          <w:szCs w:val="20"/>
          <w:color w:val="auto"/>
        </w:rPr>
      </w:pPr>
      <w:r>
        <w:rPr>
          <w:rFonts w:ascii="Times New Roman" w:cs="Times New Roman" w:eastAsia="Times New Roman" w:hAnsi="Times New Roman"/>
          <w:sz w:val="18"/>
          <w:szCs w:val="18"/>
          <w:color w:val="auto"/>
        </w:rPr>
        <w:t>The following table presents a reconciliation of net income to Adjusted EBITDA, the most directly comparable financial measure calculated in accordance with GAAP. For more information as to the limitations of using non-GAAP measurements, please see “Prospectus Summary—Summary Consolidated Financial and Operating Data—Key Financial and Operating Metrics—Non-GAAP Financial Measures”.</w:t>
      </w:r>
    </w:p>
    <w:p>
      <w:pPr>
        <w:spacing w:after="0" w:line="19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6"/>
        </w:trPr>
        <w:tc>
          <w:tcPr>
            <w:tcW w:w="3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gridSpan w:val="2"/>
          </w:tcPr>
          <w:p>
            <w:pPr>
              <w:jc w:val="right"/>
              <w:ind w:right="300"/>
              <w:spacing w:after="0" w:line="116"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60" w:type="dxa"/>
            <w:vAlign w:val="bottom"/>
          </w:tcPr>
          <w:p>
            <w:pPr>
              <w:spacing w:after="0"/>
              <w:rPr>
                <w:sz w:val="10"/>
                <w:szCs w:val="10"/>
                <w:color w:val="auto"/>
              </w:rPr>
            </w:pPr>
          </w:p>
        </w:tc>
        <w:tc>
          <w:tcPr>
            <w:tcW w:w="880" w:type="dxa"/>
            <w:vAlign w:val="bottom"/>
            <w:gridSpan w:val="2"/>
          </w:tcPr>
          <w:p>
            <w:pPr>
              <w:jc w:val="right"/>
              <w:ind w:right="340"/>
              <w:spacing w:after="0" w:line="116"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320" w:type="dxa"/>
            <w:vAlign w:val="bottom"/>
            <w:gridSpan w:val="4"/>
          </w:tcPr>
          <w:p>
            <w:pPr>
              <w:ind w:left="160"/>
              <w:spacing w:after="0" w:line="116"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300" w:type="dxa"/>
            <w:vAlign w:val="bottom"/>
            <w:gridSpan w:val="4"/>
          </w:tcPr>
          <w:p>
            <w:pPr>
              <w:ind w:left="160"/>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gridSpan w:val="3"/>
          </w:tcPr>
          <w:p>
            <w:pPr>
              <w:jc w:val="right"/>
              <w:ind w:right="320"/>
              <w:spacing w:after="0" w:line="116"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60" w:type="dxa"/>
            <w:vAlign w:val="bottom"/>
          </w:tcPr>
          <w:p>
            <w:pPr>
              <w:spacing w:after="0"/>
              <w:rPr>
                <w:sz w:val="10"/>
                <w:szCs w:val="10"/>
                <w:color w:val="auto"/>
              </w:rPr>
            </w:pPr>
          </w:p>
        </w:tc>
        <w:tc>
          <w:tcPr>
            <w:tcW w:w="5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00" w:type="dxa"/>
            <w:vAlign w:val="bottom"/>
          </w:tcPr>
          <w:p>
            <w:pPr>
              <w:spacing w:after="0"/>
              <w:rPr>
                <w:sz w:val="10"/>
                <w:szCs w:val="10"/>
                <w:color w:val="auto"/>
              </w:rPr>
            </w:pPr>
          </w:p>
        </w:tc>
      </w:tr>
      <w:tr>
        <w:trPr>
          <w:trHeight w:val="172"/>
        </w:trPr>
        <w:tc>
          <w:tcPr>
            <w:tcW w:w="3440" w:type="dxa"/>
            <w:vAlign w:val="bottom"/>
          </w:tcPr>
          <w:p>
            <w:pPr>
              <w:spacing w:after="0"/>
              <w:rPr>
                <w:sz w:val="14"/>
                <w:szCs w:val="14"/>
                <w:color w:val="auto"/>
              </w:rPr>
            </w:pPr>
          </w:p>
        </w:tc>
        <w:tc>
          <w:tcPr>
            <w:tcW w:w="1480" w:type="dxa"/>
            <w:vAlign w:val="bottom"/>
            <w:gridSpan w:val="2"/>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4"/>
                <w:szCs w:val="14"/>
                <w:color w:val="auto"/>
              </w:rPr>
            </w:pPr>
          </w:p>
        </w:tc>
        <w:tc>
          <w:tcPr>
            <w:tcW w:w="760" w:type="dxa"/>
            <w:vAlign w:val="bottom"/>
            <w:gridSpan w:val="2"/>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4"/>
                <w:szCs w:val="14"/>
                <w:color w:val="auto"/>
              </w:rPr>
            </w:pPr>
          </w:p>
        </w:tc>
        <w:tc>
          <w:tcPr>
            <w:tcW w:w="78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4"/>
                <w:szCs w:val="14"/>
                <w:color w:val="auto"/>
              </w:rPr>
            </w:pPr>
          </w:p>
        </w:tc>
        <w:tc>
          <w:tcPr>
            <w:tcW w:w="7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4"/>
                <w:szCs w:val="14"/>
                <w:color w:val="auto"/>
              </w:rPr>
            </w:pPr>
          </w:p>
        </w:tc>
      </w:tr>
      <w:tr>
        <w:trPr>
          <w:trHeight w:val="140"/>
        </w:trPr>
        <w:tc>
          <w:tcPr>
            <w:tcW w:w="3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6"/>
          </w:tcPr>
          <w:p>
            <w:pPr>
              <w:jc w:val="right"/>
              <w:ind w:right="720"/>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$ 11,552</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19,619</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15,227</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$ 27,346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$27,337</w:t>
            </w:r>
          </w:p>
        </w:tc>
        <w:tc>
          <w:tcPr>
            <w:tcW w:w="200" w:type="dxa"/>
            <w:vAlign w:val="bottom"/>
            <w:shd w:val="clear" w:color="auto" w:fill="CCEEFF"/>
          </w:tcPr>
          <w:p>
            <w:pPr>
              <w:spacing w:after="0"/>
              <w:rPr>
                <w:sz w:val="18"/>
                <w:szCs w:val="18"/>
                <w:color w:val="auto"/>
              </w:rPr>
            </w:pP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4"/>
        </w:trPr>
        <w:tc>
          <w:tcPr>
            <w:tcW w:w="3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w:t>
            </w: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w:t>
            </w: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r>
      <w:tr>
        <w:trPr>
          <w:trHeight w:val="214"/>
        </w:trPr>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13,399</w:t>
            </w: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13,280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200" w:type="dxa"/>
            <w:vAlign w:val="bottom"/>
          </w:tcPr>
          <w:p>
            <w:pPr>
              <w:spacing w:after="0"/>
              <w:rPr>
                <w:sz w:val="18"/>
                <w:szCs w:val="18"/>
                <w:color w:val="auto"/>
              </w:rPr>
            </w:pPr>
          </w:p>
        </w:tc>
      </w:tr>
      <w:tr>
        <w:trPr>
          <w:trHeight w:val="214"/>
        </w:trPr>
        <w:tc>
          <w:tcPr>
            <w:tcW w:w="3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w:t>
            </w:r>
          </w:p>
        </w:tc>
        <w:tc>
          <w:tcPr>
            <w:tcW w:w="200" w:type="dxa"/>
            <w:vAlign w:val="bottom"/>
            <w:shd w:val="clear" w:color="auto" w:fill="CCEEFF"/>
          </w:tcPr>
          <w:p>
            <w:pPr>
              <w:spacing w:after="0"/>
              <w:rPr>
                <w:sz w:val="18"/>
                <w:szCs w:val="18"/>
                <w:color w:val="auto"/>
              </w:rPr>
            </w:pPr>
          </w:p>
        </w:tc>
      </w:tr>
      <w:tr>
        <w:trPr>
          <w:trHeight w:val="214"/>
        </w:trPr>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200" w:type="dxa"/>
            <w:vAlign w:val="bottom"/>
          </w:tcPr>
          <w:p>
            <w:pPr>
              <w:spacing w:after="0"/>
              <w:rPr>
                <w:sz w:val="18"/>
                <w:szCs w:val="18"/>
                <w:color w:val="auto"/>
              </w:rPr>
            </w:pPr>
          </w:p>
        </w:tc>
      </w:tr>
      <w:tr>
        <w:trPr>
          <w:trHeight w:val="214"/>
        </w:trPr>
        <w:tc>
          <w:tcPr>
            <w:tcW w:w="3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r>
      <w:tr>
        <w:trPr>
          <w:trHeight w:val="214"/>
        </w:trPr>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3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related expenses</w:t>
            </w:r>
            <w:r>
              <w:rPr>
                <w:rFonts w:ascii="Times New Roman" w:cs="Times New Roman" w:eastAsia="Times New Roman" w:hAnsi="Times New Roman"/>
                <w:sz w:val="15"/>
                <w:szCs w:val="15"/>
                <w:color w:val="auto"/>
              </w:rPr>
              <w:t>(1)</w:t>
            </w:r>
          </w:p>
        </w:tc>
        <w:tc>
          <w:tcPr>
            <w:tcW w:w="8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shd w:val="clear" w:color="auto" w:fill="CCEEFF"/>
          </w:tcPr>
          <w:p>
            <w:pPr>
              <w:spacing w:after="0"/>
              <w:rPr>
                <w:sz w:val="18"/>
                <w:szCs w:val="18"/>
                <w:color w:val="auto"/>
              </w:rPr>
            </w:pPr>
          </w:p>
        </w:tc>
      </w:tr>
      <w:tr>
        <w:trPr>
          <w:trHeight w:val="214"/>
        </w:trPr>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related expenses</w:t>
            </w:r>
            <w:r>
              <w:rPr>
                <w:rFonts w:ascii="Times New Roman" w:cs="Times New Roman" w:eastAsia="Times New Roman" w:hAnsi="Times New Roman"/>
                <w:sz w:val="15"/>
                <w:szCs w:val="15"/>
                <w:color w:val="auto"/>
              </w:rPr>
              <w:t>(2)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0" w:type="dxa"/>
            <w:vAlign w:val="bottom"/>
          </w:tcPr>
          <w:p>
            <w:pPr>
              <w:spacing w:after="0"/>
              <w:rPr>
                <w:sz w:val="18"/>
                <w:szCs w:val="18"/>
                <w:color w:val="auto"/>
              </w:rPr>
            </w:pPr>
          </w:p>
        </w:tc>
      </w:tr>
      <w:tr>
        <w:trPr>
          <w:trHeight w:val="214"/>
        </w:trPr>
        <w:tc>
          <w:tcPr>
            <w:tcW w:w="3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r>
              <w:rPr>
                <w:rFonts w:ascii="Times New Roman" w:cs="Times New Roman" w:eastAsia="Times New Roman" w:hAnsi="Times New Roman"/>
                <w:sz w:val="15"/>
                <w:szCs w:val="15"/>
                <w:color w:val="auto"/>
              </w:rPr>
              <w:t>(3)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200" w:type="dxa"/>
            <w:vAlign w:val="bottom"/>
            <w:shd w:val="clear" w:color="auto" w:fill="CCEEFF"/>
          </w:tcPr>
          <w:p>
            <w:pPr>
              <w:spacing w:after="0"/>
              <w:rPr>
                <w:sz w:val="18"/>
                <w:szCs w:val="18"/>
                <w:color w:val="auto"/>
              </w:rPr>
            </w:pPr>
          </w:p>
        </w:tc>
      </w:tr>
      <w:tr>
        <w:trPr>
          <w:trHeight w:val="22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$ 32,010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42,511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41,929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$ 51,806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49,346</w:t>
            </w:r>
          </w:p>
        </w:tc>
        <w:tc>
          <w:tcPr>
            <w:tcW w:w="20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1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39.2%</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37.0%</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r>
      <w:tr>
        <w:trPr>
          <w:trHeight w:val="20"/>
        </w:trPr>
        <w:tc>
          <w:tcPr>
            <w:tcW w:w="3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65" w:lineRule="exact"/>
        <w:rPr>
          <w:sz w:val="20"/>
          <w:szCs w:val="20"/>
          <w:color w:val="auto"/>
        </w:rPr>
      </w:pPr>
    </w:p>
    <w:p>
      <w:pPr>
        <w:ind w:left="600" w:hanging="426"/>
        <w:spacing w:after="0"/>
        <w:tabs>
          <w:tab w:leader="none" w:pos="60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Financing related expenses include third party fees related to proposed financings.</w:t>
      </w:r>
    </w:p>
    <w:p>
      <w:pPr>
        <w:spacing w:after="0" w:line="9" w:lineRule="exact"/>
        <w:rPr>
          <w:rFonts w:ascii="Times New Roman" w:cs="Times New Roman" w:eastAsia="Times New Roman" w:hAnsi="Times New Roman"/>
          <w:sz w:val="27"/>
          <w:szCs w:val="27"/>
          <w:color w:val="auto"/>
          <w:vertAlign w:val="superscript"/>
        </w:rPr>
      </w:pPr>
    </w:p>
    <w:p>
      <w:pPr>
        <w:ind w:left="600" w:right="260" w:hanging="426"/>
        <w:spacing w:after="0" w:line="189" w:lineRule="auto"/>
        <w:tabs>
          <w:tab w:leader="none" w:pos="60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Acquisition related expenses include third party fees for actual or planned acquisitions, including related legal, consulting and other expenditures, and retention bonuses to employees related to acquisitions.</w:t>
      </w:r>
    </w:p>
    <w:p>
      <w:pPr>
        <w:spacing w:after="0" w:line="1" w:lineRule="exact"/>
        <w:rPr>
          <w:rFonts w:ascii="Times New Roman" w:cs="Times New Roman" w:eastAsia="Times New Roman" w:hAnsi="Times New Roman"/>
          <w:sz w:val="27"/>
          <w:szCs w:val="27"/>
          <w:color w:val="auto"/>
          <w:vertAlign w:val="superscript"/>
        </w:rPr>
      </w:pPr>
    </w:p>
    <w:p>
      <w:pPr>
        <w:ind w:left="600" w:right="140" w:hanging="426"/>
        <w:spacing w:after="0" w:line="194" w:lineRule="auto"/>
        <w:tabs>
          <w:tab w:leader="none" w:pos="60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Non-cash expenses related to equity-based compensation programs, which vary from period to period depending on various factors including the timing, number and the valuation of awards.</w:t>
      </w:r>
    </w:p>
    <w:p>
      <w:pPr>
        <w:spacing w:after="0" w:line="135" w:lineRule="exact"/>
        <w:rPr>
          <w:rFonts w:ascii="Times New Roman" w:cs="Times New Roman" w:eastAsia="Times New Roman" w:hAnsi="Times New Roman"/>
          <w:sz w:val="27"/>
          <w:szCs w:val="27"/>
          <w:color w:val="auto"/>
          <w:vertAlign w:val="superscript"/>
        </w:rPr>
      </w:pPr>
    </w:p>
    <w:p>
      <w:pPr>
        <w:ind w:left="5500" w:hanging="113"/>
        <w:spacing w:after="0"/>
        <w:tabs>
          <w:tab w:leader="none" w:pos="55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106 -</w:t>
      </w:r>
    </w:p>
    <w:p>
      <w:pPr>
        <w:sectPr>
          <w:pgSz w:w="11900" w:h="16838" w:orient="portrait"/>
          <w:cols w:equalWidth="0" w:num="1">
            <w:col w:w="11080"/>
          </w:cols>
          <w:pgMar w:left="320" w:top="454" w:right="49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18" w:lineRule="exact"/>
        <w:rPr>
          <w:sz w:val="20"/>
          <w:szCs w:val="20"/>
          <w:color w:val="auto"/>
        </w:rPr>
      </w:pPr>
    </w:p>
    <w:p>
      <w:pPr>
        <w:ind w:left="180" w:right="120" w:firstLine="436"/>
        <w:spacing w:after="0" w:line="270" w:lineRule="auto"/>
        <w:rPr>
          <w:sz w:val="20"/>
          <w:szCs w:val="20"/>
          <w:color w:val="auto"/>
        </w:rPr>
      </w:pPr>
      <w:r>
        <w:rPr>
          <w:rFonts w:ascii="Times New Roman" w:cs="Times New Roman" w:eastAsia="Times New Roman" w:hAnsi="Times New Roman"/>
          <w:sz w:val="17"/>
          <w:szCs w:val="17"/>
          <w:color w:val="auto"/>
        </w:rPr>
        <w:t>Since our inception, we have financed our operations primarily through net cash provided by operating activities, equity issuances, and borrowings under our long-term debt arrangements. Our primary requirements for liquidity and capital are to finance working capital, capital expenditures and general corporate purposes. Additionally, we expect to use approximately $15.0 million of our cash for leasehold improvements and furniture and fixtures related to our new office facility in Santa Monica during the second half of 2020. Our principal sources of liquidity following this offering and the private placement are expected to be our cash and borrowings available under our Revolving Credit Facility. In March 2020, we drew down $28.0 million under the Revolving Credit Facility. Additionally, in May 2020, the Revolving Credit Facility was amended to increase the amount of the facility to $100.0 million. As of June 30, 2020 we had cash of $126.6 million and $62.9 million available under the Revolving Credit Facility.</w:t>
      </w:r>
    </w:p>
    <w:p>
      <w:pPr>
        <w:spacing w:after="0" w:line="170" w:lineRule="exact"/>
        <w:rPr>
          <w:sz w:val="20"/>
          <w:szCs w:val="20"/>
          <w:color w:val="auto"/>
        </w:rPr>
      </w:pPr>
    </w:p>
    <w:p>
      <w:pPr>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We believe that our net cash provided by operating activities, cash on hand and availability under the Revolving Credit Facility will be adequate to meet our operating, investing and financing needs for at least the next 12 months. Our future capital requirements will depend on many factors, including our revenue growth, the timing and extent of investments to support such growth, the expansion of sales and marketing activities, and many other factors as described under “Risk Factors” and “—Key Factors Affecting Our Performance.”</w:t>
      </w:r>
    </w:p>
    <w:p>
      <w:pPr>
        <w:spacing w:after="0" w:line="182" w:lineRule="exact"/>
        <w:rPr>
          <w:sz w:val="20"/>
          <w:szCs w:val="20"/>
          <w:color w:val="auto"/>
        </w:rPr>
      </w:pPr>
    </w:p>
    <w:p>
      <w:pPr>
        <w:ind w:left="180" w:right="200" w:firstLine="436"/>
        <w:spacing w:after="0" w:line="253" w:lineRule="auto"/>
        <w:rPr>
          <w:sz w:val="20"/>
          <w:szCs w:val="20"/>
          <w:color w:val="auto"/>
        </w:rPr>
      </w:pPr>
      <w:r>
        <w:rPr>
          <w:rFonts w:ascii="Times New Roman" w:cs="Times New Roman" w:eastAsia="Times New Roman" w:hAnsi="Times New Roman"/>
          <w:sz w:val="18"/>
          <w:szCs w:val="18"/>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widespread COVID-19 pandemic has resulted in, and may continue to result in, significant disruption of global financial markets, reducing our ability to access capital. If we are unable to raise additional funds when desired, our business, financial condition and results of operations could be adversely affected.</w:t>
      </w:r>
    </w:p>
    <w:p>
      <w:pPr>
        <w:spacing w:after="0" w:line="187" w:lineRule="exact"/>
        <w:rPr>
          <w:sz w:val="20"/>
          <w:szCs w:val="20"/>
          <w:color w:val="auto"/>
        </w:rPr>
      </w:pPr>
    </w:p>
    <w:p>
      <w:pPr>
        <w:ind w:left="180" w:firstLine="436"/>
        <w:spacing w:after="0" w:line="249" w:lineRule="auto"/>
        <w:rPr>
          <w:sz w:val="20"/>
          <w:szCs w:val="20"/>
          <w:color w:val="auto"/>
        </w:rPr>
      </w:pPr>
      <w:r>
        <w:rPr>
          <w:rFonts w:ascii="Times New Roman" w:cs="Times New Roman" w:eastAsia="Times New Roman" w:hAnsi="Times New Roman"/>
          <w:sz w:val="18"/>
          <w:szCs w:val="18"/>
          <w:color w:val="auto"/>
        </w:rPr>
        <w:t>In light of the large number of RSUs subject to the Founders Awards that have been granted in connection with this offering, we anticipate that we will incur substantial stock-based compensation expenses and expend substantial funds to satisfy tax withholding and remittance obligations as these RSUs vest over time. We will record substantial stock-compensation expense for the Performance-Vesting Founders Awards and the Time-Vesting Founders Awards. The grant date fair value of the Founders Awards is estimated to be $533.3 million, which we estimate will be recognized as compensation expense over a weighted average period of 1.2 years, though could be earlier if the stock price goals are achieved earlier than we estimated. In addition, as a result of the Founders Awards, and the Performance-Vesting Founders Awards in particular, a potentially large number of shares of Class B common stock will be issued if the applicable vesting conditions are satisfied. On the settlement dates for these Founders Awards, we plan to withhold shares and remit taxes on behalf of the holders of such Founders Awards at applicable statutory rates, which we refer to as net settlement, which may result in substantial tax withholding obligations. The amount of tax withholding obligations will depend on the price of our Class A common stock, the actual number of RSUs for which the vesting conditions are satisfied over time and the applicable tax withholding rates then in effect. For example, of the 16.4 million Performance-Vesting Founders Awards, 7.1 million would vest 20 trading days after the completion of this offering, assuming the average closing price per share of our Class A common stock for the 20 consecutive trading day period following the completion of offering is equal to the initial public offering price of $26.00, which is the midpoint of the estimated offering price range set forth on the cover page of this prospectus. Further, assuming an approximate 50% tax withholding rate and price of $26.00 per share at vesting and settlement, for the 7.1 million shares that would vest as described in the preceding sentence we estimate that our cash obligation on behalf of our Co-Founders to the relevant tax authorities to satisfy tax withholding obligations would be approximately $91.0 million, and we would deliver an aggregate of approximately 3.6 million shares of our Class B common stock to net settle these awards, after withholding an aggregate of approximately 3.5 million shares of our Class B common stock. Cash payments for income tax withholdings are due upon the settlement date of the RSUs</w:t>
      </w:r>
    </w:p>
    <w:p>
      <w:pPr>
        <w:spacing w:after="0" w:line="1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80"/>
          </w:cols>
          <w:pgMar w:left="320" w:top="454" w:right="49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140"/>
        <w:spacing w:after="0" w:line="252" w:lineRule="auto"/>
        <w:rPr>
          <w:sz w:val="20"/>
          <w:szCs w:val="20"/>
          <w:color w:val="auto"/>
        </w:rPr>
      </w:pPr>
      <w:r>
        <w:rPr>
          <w:rFonts w:ascii="Times New Roman" w:cs="Times New Roman" w:eastAsia="Times New Roman" w:hAnsi="Times New Roman"/>
          <w:sz w:val="18"/>
          <w:szCs w:val="18"/>
          <w:color w:val="auto"/>
        </w:rPr>
        <w:t>which is the third anniversary of the applicable vesting date or, if earlier, upon a qualifying change in control event. To the extent that average stock price exceeds the initial public offering price of $26.00, which is the midpoint of the estimated offering price range set forth on the cover page of this prospectus, additional RSUs may vest and the amount of shares issuable and the related tax obligations for the net settlement of the awards would increase. For additional information regarding the Founders Awards, please see the sections titled “Executive and Director Compensation” and “Risk Factors - We anticipate incurring substantial stock-based compensation expense and incurring substantial obligations related to the vesting and settlement of RSUs granted in connection with the completion of this offering, which may have an adverse effect on our financial condition and results of operations and may result in substantial dilution.”</w:t>
      </w:r>
    </w:p>
    <w:p>
      <w:pPr>
        <w:spacing w:after="0" w:line="2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18" w:lineRule="exact"/>
        <w:rPr>
          <w:sz w:val="20"/>
          <w:szCs w:val="20"/>
          <w:color w:val="auto"/>
        </w:rPr>
      </w:pPr>
    </w:p>
    <w:p>
      <w:pPr>
        <w:ind w:left="180" w:right="120" w:firstLine="436"/>
        <w:spacing w:after="0" w:line="253" w:lineRule="auto"/>
        <w:rPr>
          <w:sz w:val="20"/>
          <w:szCs w:val="20"/>
          <w:color w:val="auto"/>
        </w:rPr>
      </w:pPr>
      <w:r>
        <w:rPr>
          <w:rFonts w:ascii="Times New Roman" w:cs="Times New Roman" w:eastAsia="Times New Roman" w:hAnsi="Times New Roman"/>
          <w:sz w:val="18"/>
          <w:szCs w:val="18"/>
          <w:color w:val="auto"/>
        </w:rPr>
        <w:t>In October 2018, GoodRx, Inc., our wholly owned subsidiary, as borrower, and GoodRx Intermediate Holdings, LLC, entered into a first lien credit agreement with various lenders, or the First Lien Credit Agreement. The First Lien Credit Agreement provided for a $40.0 million secured asset-based revolving credit facility, or the Revolving Credit Facility, and a $545.0 million senior secured term loan facility, or the First Lien Term Loan Facility (together with the Revolving Credit Facility, the Credit Facilities). In November 2019, the First Lien Term Loan Facility was amended to increase the amount of the facility to $700.0 million. Additionally, in May 2020, the Revolving Credit Facility was amended to increase the amount of the facility to $100.0 million.</w:t>
      </w:r>
    </w:p>
    <w:p>
      <w:pPr>
        <w:spacing w:after="0" w:line="187" w:lineRule="exact"/>
        <w:rPr>
          <w:sz w:val="20"/>
          <w:szCs w:val="20"/>
          <w:color w:val="auto"/>
        </w:rPr>
      </w:pPr>
    </w:p>
    <w:p>
      <w:pPr>
        <w:ind w:left="180" w:right="160" w:firstLine="436"/>
        <w:spacing w:after="0" w:line="277" w:lineRule="auto"/>
        <w:rPr>
          <w:sz w:val="20"/>
          <w:szCs w:val="20"/>
          <w:color w:val="auto"/>
        </w:rPr>
      </w:pPr>
      <w:r>
        <w:rPr>
          <w:rFonts w:ascii="Times New Roman" w:cs="Times New Roman" w:eastAsia="Times New Roman" w:hAnsi="Times New Roman"/>
          <w:sz w:val="18"/>
          <w:szCs w:val="18"/>
          <w:color w:val="auto"/>
        </w:rPr>
        <w:t>The Revolving Credit Facility and the First Lien Term Loan Facility under the First Lien Credit Agreement are collateralized by substantially all of our assets, including our intellectual property, and 100% of the equity interest of GoodRx, Inc.</w:t>
      </w:r>
    </w:p>
    <w:p>
      <w:pPr>
        <w:spacing w:after="0" w:line="163"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color w:val="auto"/>
        </w:rPr>
        <w:t>The First Lien Credit Agreement that governs the Revolving Credit Facility and the First Lien Term Loan Facility contains certain affirmative and negative covenants, including, among other things, restrictions on indebtedness, liens, fundamental changes, repurchases of stock, dividends and other distributions. GoodRx, Inc. is restricted from making dividend payments, loans or advances to GoodRx Intermediate Holdings, LLC and GoodRx Holdings, Inc. In addition, GoodRx, Inc. is subject to a financial covenant whereby GoodRx, Inc. is required to maintain a First Lien Net Leverage Ratio (as defined in the First Lien Credit Agreement) not to exceed 8.2 to 1.0. At June 30, 2020, we were in compliance with the covenants under the First Lien Credit Agreement.</w:t>
      </w:r>
    </w:p>
    <w:p>
      <w:pPr>
        <w:spacing w:after="0" w:line="2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6" w:lineRule="exact"/>
        <w:rPr>
          <w:sz w:val="20"/>
          <w:szCs w:val="20"/>
          <w:color w:val="auto"/>
        </w:rPr>
      </w:pPr>
    </w:p>
    <w:p>
      <w:pPr>
        <w:ind w:left="180" w:right="20" w:firstLine="436"/>
        <w:spacing w:after="0" w:line="252" w:lineRule="auto"/>
        <w:rPr>
          <w:sz w:val="20"/>
          <w:szCs w:val="20"/>
          <w:color w:val="auto"/>
        </w:rPr>
      </w:pPr>
      <w:r>
        <w:rPr>
          <w:rFonts w:ascii="Times New Roman" w:cs="Times New Roman" w:eastAsia="Times New Roman" w:hAnsi="Times New Roman"/>
          <w:sz w:val="18"/>
          <w:szCs w:val="18"/>
          <w:color w:val="auto"/>
        </w:rPr>
        <w:t>Loans under the Revolving Credit Facility bear interest at a rate per annum equal to the LIBO Screen Rate (as defined in the First Lien Credit Agreement) plus a variable margin rate, which is based on our most recently determined First Lien Net Leverage Ratio (as defined in the First Lien Credit Agreement), that ranges from 2.50% to 3.00%. The Revolving Credit Facility has a variable commitment fee, which is based on the Company’s most recently determined First Lien Net Leverage Ratio (as defined in the First Lien Credit Agreement), and ranges from 0.25% to 0.50% per annum. In addition, the Revolving Credit Facility has a fixed fronting fee of 0.125% per annum of our aggregate undrawn and disbursed but unreimbursed letters of credit. The Revolving Credit Facility expires on October 11, 2024. As of June 30, 2020, the outstanding principal balance under the Revolving Credit Facility was $28.0 million.</w:t>
      </w:r>
    </w:p>
    <w:p>
      <w:pPr>
        <w:spacing w:after="0" w:line="189" w:lineRule="exact"/>
        <w:rPr>
          <w:sz w:val="20"/>
          <w:szCs w:val="20"/>
          <w:color w:val="auto"/>
        </w:rPr>
      </w:pPr>
    </w:p>
    <w:p>
      <w:pPr>
        <w:ind w:left="180" w:right="160" w:firstLine="436"/>
        <w:spacing w:after="0" w:line="253" w:lineRule="auto"/>
        <w:rPr>
          <w:sz w:val="20"/>
          <w:szCs w:val="20"/>
          <w:color w:val="auto"/>
        </w:rPr>
      </w:pPr>
      <w:r>
        <w:rPr>
          <w:rFonts w:ascii="Times New Roman" w:cs="Times New Roman" w:eastAsia="Times New Roman" w:hAnsi="Times New Roman"/>
          <w:sz w:val="18"/>
          <w:szCs w:val="18"/>
          <w:color w:val="auto"/>
        </w:rPr>
        <w:t>Under the terms of a lease agreement entered into during September 2019, GoodRx, Inc. assigned to the landlord drawdown rights against the Revolving Credit Facility for up to $9.0 million to meet the contractual line of credit requirement in the lease agreement. The landlord can draw on the Revolving Credit Facility in the event of the Company’s default on rent or damages to the building. The assigned rights to the landlord will be held for the initial three years of the lease term, and subject to certain conditions, the letter of credit will decrease thereafter by up to 10% per year based upon the original amount to no less than $2 million. This outstanding letter of credit to the landlord reduces our available borrowings under the Revolving Credit Facility by an amount equal to the value of assigned rights.</w:t>
      </w:r>
    </w:p>
    <w:p>
      <w:pPr>
        <w:spacing w:after="0" w:line="200" w:lineRule="exact"/>
        <w:rPr>
          <w:sz w:val="20"/>
          <w:szCs w:val="20"/>
          <w:color w:val="auto"/>
        </w:rPr>
      </w:pPr>
    </w:p>
    <w:p>
      <w:pPr>
        <w:spacing w:after="0" w:line="28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60"/>
          </w:cols>
          <w:pgMar w:left="320" w:top="454" w:right="51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First Lien Term Loan Facility</w:t>
      </w:r>
    </w:p>
    <w:p>
      <w:pPr>
        <w:spacing w:after="0" w:line="116" w:lineRule="exact"/>
        <w:rPr>
          <w:sz w:val="20"/>
          <w:szCs w:val="20"/>
          <w:color w:val="auto"/>
        </w:rPr>
      </w:pPr>
    </w:p>
    <w:p>
      <w:pPr>
        <w:ind w:left="180" w:right="140" w:firstLine="436"/>
        <w:spacing w:after="0" w:line="277" w:lineRule="auto"/>
        <w:rPr>
          <w:sz w:val="20"/>
          <w:szCs w:val="20"/>
          <w:color w:val="auto"/>
        </w:rPr>
      </w:pPr>
      <w:r>
        <w:rPr>
          <w:rFonts w:ascii="Times New Roman" w:cs="Times New Roman" w:eastAsia="Times New Roman" w:hAnsi="Times New Roman"/>
          <w:sz w:val="17"/>
          <w:szCs w:val="17"/>
          <w:color w:val="auto"/>
        </w:rPr>
        <w:t>The First Lien Term Loan Facility accrues interest at a rate per annum equal to the LIBO Screen Rate (as defined in the First Lien Credit Agreement) plus a variable margin rate, which is based on the Company’s most recently determined Net Leverage Ratio (as defined in the First Lien Credit Agreement), that ranges from 2.75% to 3.00% per annum. The First Lien Credit Agreement requires quarterly principal payments from March 2019 through September 2025, with any remaining unpaid principal and any accrued and unpaid interest due on the maturity date of October 10, 2025.</w:t>
      </w:r>
    </w:p>
    <w:p>
      <w:pPr>
        <w:spacing w:after="0" w:line="166" w:lineRule="exact"/>
        <w:rPr>
          <w:sz w:val="20"/>
          <w:szCs w:val="20"/>
          <w:color w:val="auto"/>
        </w:rPr>
      </w:pPr>
    </w:p>
    <w:p>
      <w:pPr>
        <w:ind w:left="180" w:right="140" w:firstLine="436"/>
        <w:spacing w:after="0" w:line="277" w:lineRule="auto"/>
        <w:rPr>
          <w:sz w:val="20"/>
          <w:szCs w:val="20"/>
          <w:color w:val="auto"/>
        </w:rPr>
      </w:pPr>
      <w:r>
        <w:rPr>
          <w:rFonts w:ascii="Times New Roman" w:cs="Times New Roman" w:eastAsia="Times New Roman" w:hAnsi="Times New Roman"/>
          <w:sz w:val="18"/>
          <w:szCs w:val="18"/>
          <w:color w:val="auto"/>
        </w:rPr>
        <w:t>The effective interest rate on the First Lien Term Loan Facility was 5.90% for each 2018 and 2019 and was 5.90% and 4.33% for the first half of 2019 and 2020, respectively.</w:t>
      </w:r>
    </w:p>
    <w:p>
      <w:pPr>
        <w:spacing w:after="0" w:line="163" w:lineRule="exact"/>
        <w:rPr>
          <w:sz w:val="20"/>
          <w:szCs w:val="20"/>
          <w:color w:val="auto"/>
        </w:rPr>
      </w:pPr>
    </w:p>
    <w:p>
      <w:pPr>
        <w:ind w:left="180" w:right="60" w:firstLine="436"/>
        <w:spacing w:after="0" w:line="277" w:lineRule="auto"/>
        <w:rPr>
          <w:sz w:val="20"/>
          <w:szCs w:val="20"/>
          <w:color w:val="auto"/>
        </w:rPr>
      </w:pPr>
      <w:r>
        <w:rPr>
          <w:rFonts w:ascii="Times New Roman" w:cs="Times New Roman" w:eastAsia="Times New Roman" w:hAnsi="Times New Roman"/>
          <w:sz w:val="18"/>
          <w:szCs w:val="18"/>
          <w:color w:val="auto"/>
        </w:rPr>
        <w:t>The carrying value of the First Lien Term Loan Facility was $668.9 million, net of unamortized debt issuance costs and discount of $15.7 million, as of June 30, 2020.</w:t>
      </w: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Second Lien Term Loan Facility</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Concurrent with the above First Lien Credit Agreement, GoodRx, Inc., as borrower, and GoodRx Intermediate Holdings, LLC entered into a</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second lien credit agreement with various lenders, or the Second Lien Credit Agreement. The Second Lien Credit Agreement provided for a</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$200.0 million secured term loan facility, or the Second Lien Term Loan Facility, which accrued interest at a rate per annum equal to the LIBO Screen</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Rate (as defined in the Second Lien Credit Agreement) plus a margin of 7.50% per annum. In connection with the amendment to increase the amount of</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First Lien Term Loan Facility in November 2019, we repaid all amounts outstanding and owed under the Second Lien Term Loan Facility, using the</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the amendment to the First Lien Term Loan Facility and existing cash resources, including $200.0 million in principal amount</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outstanding, approximately $0.1 million of accrued interest and a $2.0 million prepayment penalty.</w:t>
      </w:r>
    </w:p>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Holding Company Status</w:t>
      </w:r>
    </w:p>
    <w:p>
      <w:pPr>
        <w:spacing w:after="0" w:line="116" w:lineRule="exact"/>
        <w:rPr>
          <w:sz w:val="20"/>
          <w:szCs w:val="20"/>
          <w:color w:val="auto"/>
        </w:rPr>
      </w:pPr>
    </w:p>
    <w:p>
      <w:pPr>
        <w:ind w:left="180" w:firstLine="436"/>
        <w:spacing w:after="0" w:line="257" w:lineRule="auto"/>
        <w:rPr>
          <w:sz w:val="20"/>
          <w:szCs w:val="20"/>
          <w:color w:val="auto"/>
        </w:rPr>
      </w:pPr>
      <w:r>
        <w:rPr>
          <w:rFonts w:ascii="Times New Roman" w:cs="Times New Roman" w:eastAsia="Times New Roman" w:hAnsi="Times New Roman"/>
          <w:sz w:val="18"/>
          <w:szCs w:val="18"/>
          <w:color w:val="auto"/>
        </w:rPr>
        <w:t>We are a holding company that does not conduct any business operations of our own. As a result, we are largely dependent upon cash distributions and other transfers from our subsidiaries to meet our obligations and to make future dividend payments, if any. The First Lien Credit Agreement contains covenants restricting payments of dividends by our subsidiaries, including GoodRx, Inc., unless certain conditions are met. These covenants provide for certain exceptions for specific types of payments.</w:t>
      </w:r>
    </w:p>
    <w:p>
      <w:pPr>
        <w:spacing w:after="0" w:line="182" w:lineRule="exact"/>
        <w:rPr>
          <w:sz w:val="20"/>
          <w:szCs w:val="20"/>
          <w:color w:val="auto"/>
        </w:rPr>
      </w:pPr>
    </w:p>
    <w:p>
      <w:pPr>
        <w:ind w:left="180" w:right="200" w:firstLine="436"/>
        <w:spacing w:after="0" w:line="257" w:lineRule="auto"/>
        <w:rPr>
          <w:sz w:val="20"/>
          <w:szCs w:val="20"/>
          <w:color w:val="auto"/>
        </w:rPr>
      </w:pPr>
      <w:r>
        <w:rPr>
          <w:rFonts w:ascii="Times New Roman" w:cs="Times New Roman" w:eastAsia="Times New Roman" w:hAnsi="Times New Roman"/>
          <w:sz w:val="18"/>
          <w:szCs w:val="18"/>
          <w:color w:val="auto"/>
        </w:rPr>
        <w:t>Based on these restrictions, all of the net assets of GoodRx, Inc. were restricted pursuant to the terms of the Credit Facilities as of December 31, 2019 and June 30, 2020. Since the restricted net assets of GoodRx, Inc. and its subsidiaries exceed 25% of our consolidated net assets, in accordance with Regulation S-X, refer to our audited consolidated financial statements included elsewhere in this prospectus for condensed parent company financial information of GoodRx Holdings, Inc.</w:t>
      </w: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31"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5"/>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3"/>
                <w:szCs w:val="13"/>
                <w:color w:val="auto"/>
              </w:rPr>
            </w:pPr>
          </w:p>
        </w:tc>
        <w:tc>
          <w:tcPr>
            <w:tcW w:w="188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3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4"/>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5"/>
          </w:tcPr>
          <w:p>
            <w:pPr>
              <w:jc w:val="right"/>
              <w:ind w:right="500"/>
              <w:spacing w:after="0" w:line="141"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45,253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83,286</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$ 50,274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83,825</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(3,458)</w:t>
            </w:r>
          </w:p>
        </w:tc>
        <w:tc>
          <w:tcPr>
            <w:tcW w:w="120" w:type="dxa"/>
            <w:vAlign w:val="bottom"/>
          </w:tcPr>
          <w:p>
            <w:pPr>
              <w:spacing w:after="0"/>
              <w:rPr>
                <w:sz w:val="18"/>
                <w:szCs w:val="18"/>
                <w:color w:val="auto"/>
              </w:rPr>
            </w:pPr>
          </w:p>
        </w:tc>
        <w:tc>
          <w:tcPr>
            <w:tcW w:w="84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(37,055)</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(15,305)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(8,319)</w:t>
            </w:r>
          </w:p>
        </w:tc>
        <w:tc>
          <w:tcPr>
            <w:tcW w:w="0" w:type="dxa"/>
            <w:vAlign w:val="bottom"/>
          </w:tcPr>
          <w:p>
            <w:pPr>
              <w:spacing w:after="0"/>
              <w:rPr>
                <w:sz w:val="1"/>
                <w:szCs w:val="1"/>
                <w:color w:val="auto"/>
              </w:rPr>
            </w:pPr>
          </w:p>
        </w:tc>
      </w:tr>
      <w:tr>
        <w:trPr>
          <w:trHeight w:val="214"/>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(24,734)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(54,781)</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25,069</w:t>
            </w:r>
          </w:p>
        </w:tc>
        <w:tc>
          <w:tcPr>
            <w:tcW w:w="0" w:type="dxa"/>
            <w:vAlign w:val="bottom"/>
          </w:tcPr>
          <w:p>
            <w:pPr>
              <w:spacing w:after="0"/>
              <w:rPr>
                <w:sz w:val="1"/>
                <w:szCs w:val="1"/>
                <w:color w:val="auto"/>
              </w:rPr>
            </w:pPr>
          </w:p>
        </w:tc>
      </w:tr>
      <w:tr>
        <w:trPr>
          <w:trHeight w:val="22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1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17,061</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2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$ 28,131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34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64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6" w:lineRule="exact"/>
        <w:rPr>
          <w:sz w:val="20"/>
          <w:szCs w:val="20"/>
          <w:color w:val="auto"/>
        </w:rPr>
      </w:pPr>
    </w:p>
    <w:p>
      <w:pPr>
        <w:ind w:left="180" w:firstLine="436"/>
        <w:spacing w:after="0" w:line="257" w:lineRule="auto"/>
        <w:rPr>
          <w:sz w:val="20"/>
          <w:szCs w:val="20"/>
          <w:color w:val="auto"/>
        </w:rPr>
      </w:pPr>
      <w:r>
        <w:rPr>
          <w:rFonts w:ascii="Times New Roman" w:cs="Times New Roman" w:eastAsia="Times New Roman" w:hAnsi="Times New Roman"/>
          <w:sz w:val="18"/>
          <w:szCs w:val="18"/>
          <w:color w:val="auto"/>
        </w:rPr>
        <w:t>Net cash provided by operating activities was $83.8 million for the first half of 2020 consisting of $54.7 million of net income, adjusted for $19.3 million of non-cash expenses and $9.8 million of net cash provided as a result of changes in operating assets and liabilities. The changes in operating assets and liabilities were primarily driven by increases in accounts receivable, prepaid expenses and other current assets and accrued expenses and other current liabilities due to our growing operations.</w:t>
      </w:r>
    </w:p>
    <w:p>
      <w:pPr>
        <w:spacing w:after="0" w:line="182" w:lineRule="exact"/>
        <w:rPr>
          <w:sz w:val="20"/>
          <w:szCs w:val="20"/>
          <w:color w:val="auto"/>
        </w:rPr>
      </w:pPr>
    </w:p>
    <w:p>
      <w:pPr>
        <w:ind w:left="180" w:right="80" w:firstLine="436"/>
        <w:spacing w:after="0" w:line="257" w:lineRule="auto"/>
        <w:rPr>
          <w:sz w:val="20"/>
          <w:szCs w:val="20"/>
          <w:color w:val="auto"/>
        </w:rPr>
      </w:pPr>
      <w:r>
        <w:rPr>
          <w:rFonts w:ascii="Times New Roman" w:cs="Times New Roman" w:eastAsia="Times New Roman" w:hAnsi="Times New Roman"/>
          <w:sz w:val="18"/>
          <w:szCs w:val="18"/>
          <w:color w:val="auto"/>
        </w:rPr>
        <w:t>Net cash provided by operating activities was $50.3 million for the first half of 2019 consisting of $31.2 million of net income, adjusted for $10.1 million of non-cash expenses and $9.0 million of net cash provided as a result of changes in operating assets and liabilities. The changes in operating assets and liabilities were primarily driven by increases in accounts receivable, accounts payable and accrued expenses and other current liabilities due to our growing operations.</w:t>
      </w:r>
    </w:p>
    <w:p>
      <w:pPr>
        <w:spacing w:after="0" w:line="182" w:lineRule="exact"/>
        <w:rPr>
          <w:sz w:val="20"/>
          <w:szCs w:val="20"/>
          <w:color w:val="auto"/>
        </w:rPr>
      </w:pPr>
    </w:p>
    <w:p>
      <w:pPr>
        <w:ind w:left="180" w:right="240" w:firstLine="436"/>
        <w:spacing w:after="0" w:line="257" w:lineRule="auto"/>
        <w:rPr>
          <w:sz w:val="20"/>
          <w:szCs w:val="20"/>
          <w:color w:val="auto"/>
        </w:rPr>
      </w:pPr>
      <w:r>
        <w:rPr>
          <w:rFonts w:ascii="Times New Roman" w:cs="Times New Roman" w:eastAsia="Times New Roman" w:hAnsi="Times New Roman"/>
          <w:sz w:val="18"/>
          <w:szCs w:val="18"/>
          <w:color w:val="auto"/>
        </w:rPr>
        <w:t>Net cash provided by operating activities was $83.3 million for 2019 consisting of $66.0 million of net income, adjusted for $22.1 million of non-cash expenses, partially offset by $4.8 million of net cash used as a result of changes in operating assets and liabilities. The changes in operating assets and liabilities were primarily driven by an increase in our accounts receivable, partially offset by an increase in our accrued expenses and other current liabilities due to our growing operations.</w:t>
      </w:r>
    </w:p>
    <w:p>
      <w:pPr>
        <w:spacing w:after="0" w:line="182" w:lineRule="exact"/>
        <w:rPr>
          <w:sz w:val="20"/>
          <w:szCs w:val="20"/>
          <w:color w:val="auto"/>
        </w:rPr>
      </w:pPr>
    </w:p>
    <w:p>
      <w:pPr>
        <w:ind w:left="180" w:right="80" w:firstLine="436"/>
        <w:spacing w:after="0" w:line="257" w:lineRule="auto"/>
        <w:rPr>
          <w:sz w:val="20"/>
          <w:szCs w:val="20"/>
          <w:color w:val="auto"/>
        </w:rPr>
      </w:pPr>
      <w:r>
        <w:rPr>
          <w:rFonts w:ascii="Times New Roman" w:cs="Times New Roman" w:eastAsia="Times New Roman" w:hAnsi="Times New Roman"/>
          <w:sz w:val="18"/>
          <w:szCs w:val="18"/>
          <w:color w:val="auto"/>
        </w:rPr>
        <w:t>Net cash provided by operating activities was $45.3 million for 2018 consisting of $43.8 million of net income, adjusted for $13.2 million of non-cash expenses, partially offset by $11.8 million of net cash used as a result of changes in operating assets and liabilities, primarily driven by an increase in our accounts receivable due to our growth. Net cash provided by operating activities included an outflow of $38.8 million related to bonuses paid to vested option holders in 2018.</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6" w:lineRule="exact"/>
        <w:rPr>
          <w:sz w:val="20"/>
          <w:szCs w:val="20"/>
          <w:color w:val="auto"/>
        </w:rPr>
      </w:pPr>
    </w:p>
    <w:p>
      <w:pPr>
        <w:ind w:left="180" w:right="140" w:firstLine="436"/>
        <w:spacing w:after="0" w:line="277" w:lineRule="auto"/>
        <w:rPr>
          <w:sz w:val="20"/>
          <w:szCs w:val="20"/>
          <w:color w:val="auto"/>
        </w:rPr>
      </w:pPr>
      <w:r>
        <w:rPr>
          <w:rFonts w:ascii="Times New Roman" w:cs="Times New Roman" w:eastAsia="Times New Roman" w:hAnsi="Times New Roman"/>
          <w:sz w:val="18"/>
          <w:szCs w:val="18"/>
          <w:color w:val="auto"/>
        </w:rPr>
        <w:t>Net cash used in investing activities of $8.3 million for the first half of 2020 was related to $6.5 million for capitalized software and $1.8 million for capital expenditures.</w:t>
      </w:r>
    </w:p>
    <w:p>
      <w:pPr>
        <w:spacing w:after="0" w:line="163" w:lineRule="exact"/>
        <w:rPr>
          <w:sz w:val="20"/>
          <w:szCs w:val="20"/>
          <w:color w:val="auto"/>
        </w:rPr>
      </w:pPr>
    </w:p>
    <w:p>
      <w:pPr>
        <w:ind w:left="180" w:right="500" w:firstLine="436"/>
        <w:spacing w:after="0" w:line="277" w:lineRule="auto"/>
        <w:rPr>
          <w:sz w:val="20"/>
          <w:szCs w:val="20"/>
          <w:color w:val="auto"/>
        </w:rPr>
      </w:pPr>
      <w:r>
        <w:rPr>
          <w:rFonts w:ascii="Times New Roman" w:cs="Times New Roman" w:eastAsia="Times New Roman" w:hAnsi="Times New Roman"/>
          <w:sz w:val="18"/>
          <w:szCs w:val="18"/>
          <w:color w:val="auto"/>
        </w:rPr>
        <w:t>Net cash used in investing activities of $15.3 million for the first half of 2019 was related to $12.6 million in cash consideration, net of cash acquired, related to an acquisition in 2019, $2.0 million for capitalized software, and $0.7 million for capital expenditures.</w:t>
      </w:r>
    </w:p>
    <w:p>
      <w:pPr>
        <w:spacing w:after="0" w:line="163" w:lineRule="exact"/>
        <w:rPr>
          <w:sz w:val="20"/>
          <w:szCs w:val="20"/>
          <w:color w:val="auto"/>
        </w:rPr>
      </w:pPr>
    </w:p>
    <w:p>
      <w:pPr>
        <w:ind w:left="180" w:right="180" w:firstLine="436"/>
        <w:spacing w:after="0" w:line="277" w:lineRule="auto"/>
        <w:rPr>
          <w:sz w:val="20"/>
          <w:szCs w:val="20"/>
          <w:color w:val="auto"/>
        </w:rPr>
      </w:pPr>
      <w:r>
        <w:rPr>
          <w:rFonts w:ascii="Times New Roman" w:cs="Times New Roman" w:eastAsia="Times New Roman" w:hAnsi="Times New Roman"/>
          <w:sz w:val="18"/>
          <w:szCs w:val="18"/>
          <w:color w:val="auto"/>
        </w:rPr>
        <w:t>Net cash used in investing activities of $37.1 million for 2019 was related to $31.3 million in cash consideration, net of cash acquired, related to our acquisitions in 2019, $4.3 million for capitalized software, and $1.4 million for capital expenditures.</w:t>
      </w:r>
    </w:p>
    <w:p>
      <w:pPr>
        <w:spacing w:after="0" w:line="163" w:lineRule="exact"/>
        <w:rPr>
          <w:sz w:val="20"/>
          <w:szCs w:val="20"/>
          <w:color w:val="auto"/>
        </w:rPr>
      </w:pPr>
    </w:p>
    <w:p>
      <w:pPr>
        <w:ind w:left="180" w:right="540" w:firstLine="436"/>
        <w:spacing w:after="0" w:line="277" w:lineRule="auto"/>
        <w:rPr>
          <w:sz w:val="20"/>
          <w:szCs w:val="20"/>
          <w:color w:val="auto"/>
        </w:rPr>
      </w:pPr>
      <w:r>
        <w:rPr>
          <w:rFonts w:ascii="Times New Roman" w:cs="Times New Roman" w:eastAsia="Times New Roman" w:hAnsi="Times New Roman"/>
          <w:sz w:val="18"/>
          <w:szCs w:val="18"/>
          <w:color w:val="auto"/>
        </w:rPr>
        <w:t>Net cash used in investing activities of $3.5 million for 2018 was related to $2.7 million of capitalized software and $0.8 million for capital expenditures.</w:t>
      </w: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16" w:lineRule="exact"/>
        <w:rPr>
          <w:sz w:val="20"/>
          <w:szCs w:val="20"/>
          <w:color w:val="auto"/>
        </w:rPr>
      </w:pPr>
    </w:p>
    <w:p>
      <w:pPr>
        <w:ind w:left="180" w:right="40" w:firstLine="436"/>
        <w:spacing w:after="0" w:line="262" w:lineRule="auto"/>
        <w:rPr>
          <w:sz w:val="20"/>
          <w:szCs w:val="20"/>
          <w:color w:val="auto"/>
        </w:rPr>
      </w:pPr>
      <w:r>
        <w:rPr>
          <w:rFonts w:ascii="Times New Roman" w:cs="Times New Roman" w:eastAsia="Times New Roman" w:hAnsi="Times New Roman"/>
          <w:sz w:val="18"/>
          <w:szCs w:val="18"/>
          <w:color w:val="auto"/>
        </w:rPr>
        <w:t>Net cash provided by financing activities of $25.1 million for the first half of 2020 was related to $28.0 million in proceeds drawn down under the Revolving Credit Facility and $1.9 million from exercise of options, offset by $3.5 million in long-term debt principal payments and payments of $1.3 million for debt issuance costs related to increasing the amount of our line of credit in May 2020.</w:t>
      </w:r>
    </w:p>
    <w:p>
      <w:pPr>
        <w:spacing w:after="0" w:line="177" w:lineRule="exact"/>
        <w:rPr>
          <w:sz w:val="20"/>
          <w:szCs w:val="20"/>
          <w:color w:val="auto"/>
        </w:rPr>
      </w:pPr>
    </w:p>
    <w:p>
      <w:pPr>
        <w:ind w:left="180" w:right="400" w:firstLine="436"/>
        <w:spacing w:after="0" w:line="277" w:lineRule="auto"/>
        <w:rPr>
          <w:sz w:val="20"/>
          <w:szCs w:val="20"/>
          <w:color w:val="auto"/>
        </w:rPr>
      </w:pPr>
      <w:r>
        <w:rPr>
          <w:rFonts w:ascii="Times New Roman" w:cs="Times New Roman" w:eastAsia="Times New Roman" w:hAnsi="Times New Roman"/>
          <w:sz w:val="18"/>
          <w:szCs w:val="18"/>
          <w:color w:val="auto"/>
        </w:rPr>
        <w:t>Net cash used in financing activities of $6.8 million for the first half of 2019 was primarily related to $8.7 million in long-term debt principal payments offset by $1.9 million from exercise of options.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60"/>
          </w:cols>
          <w:pgMar w:left="320" w:top="454" w:right="51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both"/>
        <w:ind w:left="180" w:right="140" w:firstLine="436"/>
        <w:spacing w:after="0" w:line="262" w:lineRule="auto"/>
        <w:rPr>
          <w:sz w:val="20"/>
          <w:szCs w:val="20"/>
          <w:color w:val="auto"/>
        </w:rPr>
      </w:pPr>
      <w:r>
        <w:rPr>
          <w:rFonts w:ascii="Times New Roman" w:cs="Times New Roman" w:eastAsia="Times New Roman" w:hAnsi="Times New Roman"/>
          <w:sz w:val="18"/>
          <w:szCs w:val="18"/>
          <w:color w:val="auto"/>
        </w:rPr>
        <w:t>Net cash used in financing activities of $54.8 million for 2019 was primarily related to $211.8 million in long-term debt payments and payments of $2.2 million for debt issuance costs and prepayment penalties, partially offset by $154.6 million in proceeds from long-term debt and $4.7 million in proceeds from issuance of common stock and exercise of options.</w:t>
      </w:r>
    </w:p>
    <w:p>
      <w:pPr>
        <w:spacing w:after="0" w:line="177" w:lineRule="exact"/>
        <w:rPr>
          <w:sz w:val="20"/>
          <w:szCs w:val="20"/>
          <w:color w:val="auto"/>
        </w:rPr>
      </w:pPr>
    </w:p>
    <w:p>
      <w:pPr>
        <w:ind w:left="180" w:right="80" w:firstLine="436"/>
        <w:spacing w:after="0" w:line="262" w:lineRule="auto"/>
        <w:rPr>
          <w:sz w:val="20"/>
          <w:szCs w:val="20"/>
          <w:color w:val="auto"/>
        </w:rPr>
      </w:pPr>
      <w:r>
        <w:rPr>
          <w:rFonts w:ascii="Times New Roman" w:cs="Times New Roman" w:eastAsia="Times New Roman" w:hAnsi="Times New Roman"/>
          <w:sz w:val="18"/>
          <w:szCs w:val="18"/>
          <w:color w:val="auto"/>
        </w:rPr>
        <w:t>Net cash used in financing activities of $24.7 million for 2018 was primarily related to dividends of $1,346.4 million, $294.9 million in long-term debt principal payments, and $25.6 million in debt issuance costs, partially offset by $901.8 million in proceeds from long-term debt, $737.0 million from issuance of preferred stock, and $3.3 million from exercise of options.</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and commitments as of December 31, 2019:</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8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8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0"/>
                <w:szCs w:val="10"/>
                <w:color w:val="auto"/>
              </w:rPr>
            </w:pPr>
          </w:p>
        </w:tc>
        <w:tc>
          <w:tcPr>
            <w:tcW w:w="60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6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3-5 years</w:t>
            </w:r>
          </w:p>
        </w:tc>
        <w:tc>
          <w:tcPr>
            <w:tcW w:w="280" w:type="dxa"/>
            <w:vAlign w:val="bottom"/>
          </w:tcPr>
          <w:p>
            <w:pPr>
              <w:spacing w:after="0"/>
              <w:rPr>
                <w:sz w:val="10"/>
                <w:szCs w:val="10"/>
                <w:color w:val="auto"/>
              </w:rPr>
            </w:pPr>
          </w:p>
        </w:tc>
        <w:tc>
          <w:tcPr>
            <w:tcW w:w="72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16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0" w:type="dxa"/>
            <w:vAlign w:val="bottom"/>
          </w:tcPr>
          <w:p>
            <w:pPr>
              <w:spacing w:after="0"/>
              <w:rPr>
                <w:sz w:val="1"/>
                <w:szCs w:val="1"/>
                <w:color w:val="auto"/>
              </w:rPr>
            </w:pPr>
          </w:p>
        </w:tc>
      </w:tr>
      <w:tr>
        <w:trPr>
          <w:trHeight w:val="194"/>
        </w:trPr>
        <w:tc>
          <w:tcPr>
            <w:tcW w:w="4860" w:type="dxa"/>
            <w:vAlign w:val="bottom"/>
            <w:vMerge w:val="continue"/>
          </w:tcPr>
          <w:p>
            <w:pPr>
              <w:spacing w:after="0"/>
              <w:rPr>
                <w:sz w:val="16"/>
                <w:szCs w:val="16"/>
                <w:color w:val="auto"/>
              </w:rPr>
            </w:pPr>
          </w:p>
        </w:tc>
        <w:tc>
          <w:tcPr>
            <w:tcW w:w="16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debt—principal payments</w:t>
            </w:r>
            <w:r>
              <w:rPr>
                <w:rFonts w:ascii="Times New Roman" w:cs="Times New Roman" w:eastAsia="Times New Roman" w:hAnsi="Times New Roman"/>
                <w:sz w:val="15"/>
                <w:szCs w:val="15"/>
                <w:color w:val="auto"/>
              </w:rPr>
              <w:t>(1)</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$ 688,155</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$14,058</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$ 14,058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$ 653,010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on long-term debt</w:t>
            </w:r>
            <w:r>
              <w:rPr>
                <w:rFonts w:ascii="Times New Roman" w:cs="Times New Roman" w:eastAsia="Times New Roman" w:hAnsi="Times New Roman"/>
                <w:sz w:val="15"/>
                <w:szCs w:val="15"/>
                <w:color w:val="auto"/>
              </w:rPr>
              <w:t>(2)</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175,494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30,848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60,748</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15"/>
                <w:szCs w:val="15"/>
                <w:color w:val="auto"/>
              </w:rPr>
              <w:t>(3)</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Unused credit fee payments</w:t>
            </w:r>
            <w:r>
              <w:rPr>
                <w:rFonts w:ascii="Times New Roman" w:cs="Times New Roman" w:eastAsia="Times New Roman" w:hAnsi="Times New Roman"/>
                <w:sz w:val="15"/>
                <w:szCs w:val="15"/>
                <w:color w:val="auto"/>
              </w:rPr>
              <w:t>(4)</w:t>
            </w:r>
          </w:p>
        </w:tc>
        <w:tc>
          <w:tcPr>
            <w:tcW w:w="16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8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$ 920,632</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40,891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85,570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$ 82,672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$ 711,499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93345</wp:posOffset>
            </wp:positionV>
            <wp:extent cx="7550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66" w:lineRule="exact"/>
        <w:rPr>
          <w:sz w:val="20"/>
          <w:szCs w:val="20"/>
          <w:color w:val="auto"/>
        </w:rPr>
      </w:pPr>
    </w:p>
    <w:p>
      <w:pPr>
        <w:ind w:left="600" w:right="120" w:hanging="426"/>
        <w:spacing w:after="0" w:line="225" w:lineRule="auto"/>
        <w:tabs>
          <w:tab w:leader="none" w:pos="600" w:val="left"/>
        </w:tabs>
        <w:numPr>
          <w:ilvl w:val="0"/>
          <w:numId w:val="6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Long-term debt represents borrowings under the Credit Facilities. Under the Credit Facilities we are required to pay quarterly principal payments of 0.25% of the outstanding principal balance of the First Lien Term Loan Facility through September 2025, with any remaining unpaid principal and any accrued and unpaid interest due on October 10, 2025. In March 2020, we drew down $28.0 million under the Revolving Credit Facility. We are required to pay any outstanding principal balance of the Revolving Credit Facility on October 11, 2024.</w:t>
      </w:r>
    </w:p>
    <w:p>
      <w:pPr>
        <w:spacing w:after="0" w:line="1" w:lineRule="exact"/>
        <w:rPr>
          <w:rFonts w:ascii="Times New Roman" w:cs="Times New Roman" w:eastAsia="Times New Roman" w:hAnsi="Times New Roman"/>
          <w:sz w:val="27"/>
          <w:szCs w:val="27"/>
          <w:color w:val="auto"/>
          <w:vertAlign w:val="superscript"/>
        </w:rPr>
      </w:pPr>
    </w:p>
    <w:p>
      <w:pPr>
        <w:ind w:left="600" w:right="140" w:hanging="426"/>
        <w:spacing w:after="0" w:line="194" w:lineRule="auto"/>
        <w:tabs>
          <w:tab w:leader="none" w:pos="600" w:val="left"/>
        </w:tabs>
        <w:numPr>
          <w:ilvl w:val="0"/>
          <w:numId w:val="6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Our long-term debt bears a floating interest rate based on LIBO. The interest obligation on long-term debt included in the table above is based on the interest rate in effect at December 31, 2019 of 4.50%. The floating interest rate as of June 30, 2020 was 2.92%.</w:t>
      </w:r>
    </w:p>
    <w:p>
      <w:pPr>
        <w:spacing w:after="0" w:line="1" w:lineRule="exact"/>
        <w:rPr>
          <w:rFonts w:ascii="Times New Roman" w:cs="Times New Roman" w:eastAsia="Times New Roman" w:hAnsi="Times New Roman"/>
          <w:sz w:val="27"/>
          <w:szCs w:val="27"/>
          <w:color w:val="auto"/>
          <w:vertAlign w:val="superscript"/>
        </w:rPr>
      </w:pPr>
    </w:p>
    <w:p>
      <w:pPr>
        <w:ind w:left="600" w:right="180" w:hanging="426"/>
        <w:spacing w:after="0" w:line="194" w:lineRule="auto"/>
        <w:tabs>
          <w:tab w:leader="none" w:pos="600" w:val="left"/>
        </w:tabs>
        <w:numPr>
          <w:ilvl w:val="0"/>
          <w:numId w:val="6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Operating lease obligations relate to our office space facilities. These lease terms expire through 2031. The majority of the lease agreements are renewable at the end of the lease period.</w:t>
      </w:r>
    </w:p>
    <w:p>
      <w:pPr>
        <w:spacing w:after="0" w:line="1" w:lineRule="exact"/>
        <w:rPr>
          <w:rFonts w:ascii="Times New Roman" w:cs="Times New Roman" w:eastAsia="Times New Roman" w:hAnsi="Times New Roman"/>
          <w:sz w:val="27"/>
          <w:szCs w:val="27"/>
          <w:color w:val="auto"/>
          <w:vertAlign w:val="superscript"/>
        </w:rPr>
      </w:pPr>
    </w:p>
    <w:p>
      <w:pPr>
        <w:ind w:left="600" w:right="80" w:hanging="426"/>
        <w:spacing w:after="0" w:line="194" w:lineRule="auto"/>
        <w:tabs>
          <w:tab w:leader="none" w:pos="600" w:val="left"/>
        </w:tabs>
        <w:numPr>
          <w:ilvl w:val="0"/>
          <w:numId w:val="6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We are required to pay a commitment fee of 0.25% based on the unused portion of the Revolving Credit Facility. As of December 31, 2019 and June 30, 2020, we were contingently liable for approximately $9.1 million in standby letters of credit as security for our operating lease obligations.</w:t>
      </w:r>
    </w:p>
    <w:p>
      <w:pPr>
        <w:spacing w:after="0" w:line="3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did not have any off-balance sheet arrangements as of December 31, 2019 or June 30, 2020.</w:t>
      </w:r>
    </w:p>
    <w:p>
      <w:pPr>
        <w:spacing w:after="0" w:line="3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8" w:lineRule="exact"/>
        <w:rPr>
          <w:sz w:val="20"/>
          <w:szCs w:val="20"/>
          <w:color w:val="auto"/>
        </w:rPr>
      </w:pPr>
    </w:p>
    <w:p>
      <w:pPr>
        <w:ind w:left="180" w:right="80" w:firstLine="436"/>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and the related notes thereto included elsewhere in this prospectus are prepared in accordance with GAAP.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80"/>
          </w:cols>
          <w:pgMar w:left="320" w:top="454" w:right="49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both"/>
        <w:ind w:left="180" w:right="160" w:firstLine="436"/>
        <w:spacing w:after="0" w:line="262"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significant degree of judgment and complexity. Accordingly, we believe these are the most critical to aid in fully understanding and evaluating our consolidated financial condition and results of operations. For further information, see note 2 to our audited consolidated financial statements included elsewhere in this prospectus.</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8" w:lineRule="exact"/>
        <w:rPr>
          <w:sz w:val="20"/>
          <w:szCs w:val="20"/>
          <w:color w:val="auto"/>
        </w:rPr>
      </w:pPr>
    </w:p>
    <w:p>
      <w:pPr>
        <w:ind w:left="180" w:right="100" w:firstLine="436"/>
        <w:spacing w:after="0" w:line="277" w:lineRule="auto"/>
        <w:rPr>
          <w:sz w:val="20"/>
          <w:szCs w:val="20"/>
          <w:color w:val="auto"/>
        </w:rPr>
      </w:pPr>
      <w:r>
        <w:rPr>
          <w:rFonts w:ascii="Times New Roman" w:cs="Times New Roman" w:eastAsia="Times New Roman" w:hAnsi="Times New Roman"/>
          <w:sz w:val="18"/>
          <w:szCs w:val="18"/>
          <w:color w:val="auto"/>
        </w:rPr>
        <w:t>Our revenue is primarily derived from prescription transaction fees generated when pharmacies fill prescriptions for consumers. We also generate other revenue from subscription, advertising and telehealth services.</w:t>
      </w:r>
    </w:p>
    <w:p>
      <w:pPr>
        <w:spacing w:after="0" w:line="161" w:lineRule="exact"/>
        <w:rPr>
          <w:sz w:val="20"/>
          <w:szCs w:val="20"/>
          <w:color w:val="auto"/>
        </w:rPr>
      </w:pPr>
    </w:p>
    <w:p>
      <w:pPr>
        <w:jc w:val="both"/>
        <w:ind w:left="180" w:right="120" w:firstLine="436"/>
        <w:spacing w:after="0" w:line="278" w:lineRule="auto"/>
        <w:rPr>
          <w:sz w:val="20"/>
          <w:szCs w:val="20"/>
          <w:color w:val="auto"/>
        </w:rPr>
      </w:pPr>
      <w:r>
        <w:rPr>
          <w:rFonts w:ascii="Times New Roman" w:cs="Times New Roman" w:eastAsia="Times New Roman" w:hAnsi="Times New Roman"/>
          <w:sz w:val="17"/>
          <w:szCs w:val="17"/>
          <w:color w:val="auto"/>
        </w:rPr>
        <w:t xml:space="preserve">On January 1, 2019, we adopted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on a modified retrospective basis. The adoption of ASC 606 was applied to all contracts at the date of initial application and did not have a material impact on our revenue recognition. Prior to January 1, 2019, we applied ASC 605, </w:t>
      </w: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and recognized revenue when the following criteria have been met: (1) persuasive evidence of an arrangement exists; (2) delivery has occurred or services have been rendered; (3) the price is fixed and determinable; and (4) collectability is reasonable assured.</w:t>
      </w:r>
    </w:p>
    <w:p>
      <w:pPr>
        <w:spacing w:after="0" w:line="165" w:lineRule="exact"/>
        <w:rPr>
          <w:sz w:val="20"/>
          <w:szCs w:val="20"/>
          <w:color w:val="auto"/>
        </w:rPr>
      </w:pPr>
    </w:p>
    <w:p>
      <w:pPr>
        <w:ind w:left="180" w:right="160" w:firstLine="436"/>
        <w:spacing w:after="0" w:line="277" w:lineRule="auto"/>
        <w:rPr>
          <w:sz w:val="20"/>
          <w:szCs w:val="20"/>
          <w:color w:val="auto"/>
        </w:rPr>
      </w:pPr>
      <w:r>
        <w:rPr>
          <w:rFonts w:ascii="Times New Roman" w:cs="Times New Roman" w:eastAsia="Times New Roman" w:hAnsi="Times New Roman"/>
          <w:sz w:val="18"/>
          <w:szCs w:val="18"/>
          <w:color w:val="auto"/>
        </w:rPr>
        <w:t>Under ASC 606, we recognize revenue when control of the promised good or service is transferred to the customer in an amount that reflects the consideration for which we are expected to be entitled to in exchange for those services.</w:t>
      </w: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Prescription Transactions Revenue</w:t>
      </w:r>
    </w:p>
    <w:p>
      <w:pPr>
        <w:spacing w:after="0" w:line="116" w:lineRule="exact"/>
        <w:rPr>
          <w:sz w:val="20"/>
          <w:szCs w:val="20"/>
          <w:color w:val="auto"/>
        </w:rPr>
      </w:pPr>
    </w:p>
    <w:p>
      <w:pPr>
        <w:ind w:left="180" w:firstLine="436"/>
        <w:spacing w:after="0" w:line="255" w:lineRule="auto"/>
        <w:rPr>
          <w:sz w:val="20"/>
          <w:szCs w:val="20"/>
          <w:color w:val="auto"/>
        </w:rPr>
      </w:pPr>
      <w:r>
        <w:rPr>
          <w:rFonts w:ascii="Times New Roman" w:cs="Times New Roman" w:eastAsia="Times New Roman" w:hAnsi="Times New Roman"/>
          <w:sz w:val="18"/>
          <w:szCs w:val="18"/>
          <w:color w:val="auto"/>
        </w:rPr>
        <w:t>Prescription transactions revenue is primarily generated from PBMs, or customers, when a prescription is filled with a GoodRx code provided through our platform, and saves money compared to the list price in that pharmacy. In our contracts with customers, the nature of our promise is to direct prescription volume through our platform, which may include marketing through our apps, websites and GoodRx cards. These activities are not distinct from each other and are not separate performance obligations. Our performance obligation is to connect consumers with pharmacies that are contracted with our customers. We have no performance obligation to fill prescriptions.</w:t>
      </w:r>
    </w:p>
    <w:p>
      <w:pPr>
        <w:spacing w:after="0" w:line="183" w:lineRule="exact"/>
        <w:rPr>
          <w:sz w:val="20"/>
          <w:szCs w:val="20"/>
          <w:color w:val="auto"/>
        </w:rPr>
      </w:pPr>
    </w:p>
    <w:p>
      <w:pPr>
        <w:ind w:left="180" w:right="200" w:firstLine="436"/>
        <w:spacing w:after="0" w:line="257" w:lineRule="auto"/>
        <w:rPr>
          <w:sz w:val="20"/>
          <w:szCs w:val="20"/>
          <w:color w:val="auto"/>
        </w:rPr>
      </w:pPr>
      <w:r>
        <w:rPr>
          <w:rFonts w:ascii="Times New Roman" w:cs="Times New Roman" w:eastAsia="Times New Roman" w:hAnsi="Times New Roman"/>
          <w:sz w:val="18"/>
          <w:szCs w:val="18"/>
          <w:color w:val="auto"/>
        </w:rPr>
        <w:t>Contracts with PBMs provide that we are entitled to either a percentage of fees the PBM charges the pharmacy or fixed amount per type of medication prescription, when a consumer uses a GoodRx code provided through our platform. Our performance obligation is satisfied upon the completion of pharmacies filling prescriptions. We recognize revenue for the estimated fee due from the PBM at a point in time when a prescription is filled.</w:t>
      </w:r>
    </w:p>
    <w:p>
      <w:pPr>
        <w:spacing w:after="0" w:line="182" w:lineRule="exact"/>
        <w:rPr>
          <w:sz w:val="20"/>
          <w:szCs w:val="20"/>
          <w:color w:val="auto"/>
        </w:rPr>
      </w:pPr>
    </w:p>
    <w:p>
      <w:pPr>
        <w:ind w:left="180" w:right="120" w:firstLine="436"/>
        <w:spacing w:after="0" w:line="255" w:lineRule="auto"/>
        <w:rPr>
          <w:sz w:val="20"/>
          <w:szCs w:val="20"/>
          <w:color w:val="auto"/>
        </w:rPr>
      </w:pPr>
      <w:r>
        <w:rPr>
          <w:rFonts w:ascii="Times New Roman" w:cs="Times New Roman" w:eastAsia="Times New Roman" w:hAnsi="Times New Roman"/>
          <w:sz w:val="18"/>
          <w:szCs w:val="18"/>
          <w:color w:val="auto"/>
        </w:rPr>
        <w:t>We receive reporting from PBMs of the number of prescriptions and amount of consideration to which we are entitled at a prescription level. Certain arrangements with PBMs provide that the amount of consideration we are entitled to is based on the volume of prescription fills each month. In addition, the amount of consideration to which we are entitled may be adjusted in the event that a fill is determined ineligible, or based upon other adjustments allowed under our contracts with PBMs. We estimate the amount we expect to be entitled to using the expected value method based on the historical experience of the number of prescriptions filled, ineligible fills and applicable rates.</w:t>
      </w:r>
    </w:p>
    <w:p>
      <w:pPr>
        <w:spacing w:after="0" w:line="2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6" w:lineRule="exact"/>
        <w:rPr>
          <w:sz w:val="20"/>
          <w:szCs w:val="20"/>
          <w:color w:val="auto"/>
        </w:rPr>
      </w:pPr>
    </w:p>
    <w:p>
      <w:pPr>
        <w:ind w:left="180" w:right="180" w:firstLine="436"/>
        <w:spacing w:after="0" w:line="262" w:lineRule="auto"/>
        <w:rPr>
          <w:sz w:val="20"/>
          <w:szCs w:val="20"/>
          <w:color w:val="auto"/>
        </w:rPr>
      </w:pPr>
      <w:r>
        <w:rPr>
          <w:rFonts w:ascii="Times New Roman" w:cs="Times New Roman" w:eastAsia="Times New Roman" w:hAnsi="Times New Roman"/>
          <w:sz w:val="18"/>
          <w:szCs w:val="18"/>
          <w:color w:val="auto"/>
        </w:rPr>
        <w:t>Other revenue consists of subscription revenue from our subscription offerings, revenue generated from pharmaceutical manufacturers for advertising and integrating onto our platform their affordability solutions to our consumers and advertising in direct mailers, and revenue generated by HeyDoctor and the GoodRx Telehealth Marketplace.</w:t>
      </w:r>
    </w:p>
    <w:p>
      <w:pPr>
        <w:spacing w:after="0" w:line="3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80"/>
          </w:cols>
          <w:pgMar w:left="320" w:top="454" w:right="49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40" w:firstLine="436"/>
        <w:spacing w:after="0" w:line="253" w:lineRule="auto"/>
        <w:rPr>
          <w:sz w:val="20"/>
          <w:szCs w:val="20"/>
          <w:color w:val="auto"/>
        </w:rPr>
      </w:pPr>
      <w:r>
        <w:rPr>
          <w:rFonts w:ascii="Times New Roman" w:cs="Times New Roman" w:eastAsia="Times New Roman" w:hAnsi="Times New Roman"/>
          <w:sz w:val="18"/>
          <w:szCs w:val="18"/>
          <w:color w:val="auto"/>
        </w:rPr>
        <w:t>Subscription revenue consists of subscriptions to Gold and Kroger Savings. For Gold, subscribers purchase a monthly subscription that provides access to lower prices for prescriptions. Subscribers can cancel their GoodRx Gold subscription at any time. We recognize revenue for Gold over the subscription period. For Kroger Savings, subscribers pay an annual upfront fee for a subscription that provides access to lower prices on prescriptions at Kroger pharmacies. At the commencement of the subscription term, subscribers pay the annual fee to us which we share with Kroger. Kroger Savings subscription fees are generally nonrefundable to the subscriber after the first 30 days, unless we cancel the subscription, in which case the subscriber is entitled to a pro rata refund. We recognize revenue for Kroger Savings over the subscription period, net of the fee shared with Kroger.</w:t>
      </w:r>
    </w:p>
    <w:p>
      <w:pPr>
        <w:spacing w:after="0" w:line="187" w:lineRule="exact"/>
        <w:rPr>
          <w:sz w:val="20"/>
          <w:szCs w:val="20"/>
          <w:color w:val="auto"/>
        </w:rPr>
      </w:pPr>
    </w:p>
    <w:p>
      <w:pPr>
        <w:ind w:left="180" w:right="60" w:firstLine="436"/>
        <w:spacing w:after="0" w:line="255" w:lineRule="auto"/>
        <w:rPr>
          <w:sz w:val="20"/>
          <w:szCs w:val="20"/>
          <w:color w:val="auto"/>
        </w:rPr>
      </w:pPr>
      <w:r>
        <w:rPr>
          <w:rFonts w:ascii="Times New Roman" w:cs="Times New Roman" w:eastAsia="Times New Roman" w:hAnsi="Times New Roman"/>
          <w:sz w:val="18"/>
          <w:szCs w:val="18"/>
          <w:color w:val="auto"/>
        </w:rPr>
        <w:t>Advertising revenue consists primarily of revenue generated through advertisements placed in apps, websites and direct mailers for pharmaceutical manufacturers. Advertising customers may purchase advertisements for a fixed fee that appear on our apps and websites for a specified period of time, and revenue is recognized over the term of the arrangement. Customers may also purchase advertisements for which we charge fees on a cost-per-click basis, or they may purchase advertisements placed in our direct mailers. Revenue for these arrangements is recognized at a point-in-time when the advertisement is clicked or when the direct mailer is shipped.</w:t>
      </w:r>
    </w:p>
    <w:p>
      <w:pPr>
        <w:spacing w:after="0" w:line="183" w:lineRule="exact"/>
        <w:rPr>
          <w:sz w:val="20"/>
          <w:szCs w:val="20"/>
          <w:color w:val="auto"/>
        </w:rPr>
      </w:pPr>
    </w:p>
    <w:p>
      <w:pPr>
        <w:jc w:val="both"/>
        <w:ind w:left="180" w:right="380" w:firstLine="436"/>
        <w:spacing w:after="0" w:line="262" w:lineRule="auto"/>
        <w:rPr>
          <w:sz w:val="20"/>
          <w:szCs w:val="20"/>
          <w:color w:val="auto"/>
        </w:rPr>
      </w:pPr>
      <w:r>
        <w:rPr>
          <w:rFonts w:ascii="Times New Roman" w:cs="Times New Roman" w:eastAsia="Times New Roman" w:hAnsi="Times New Roman"/>
          <w:sz w:val="18"/>
          <w:szCs w:val="18"/>
          <w:color w:val="auto"/>
        </w:rPr>
        <w:t>Telehealth revenue consists primarily of revenue generated from consumers who complete a telehealth visit with a member of our network of qualified healthcare professionals. Consumers pay a fee per telehealth visit and we recognize the fee as revenue at a point-in-time when the visit is complete.</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8" w:lineRule="exact"/>
        <w:rPr>
          <w:sz w:val="20"/>
          <w:szCs w:val="20"/>
          <w:color w:val="auto"/>
        </w:rPr>
      </w:pPr>
    </w:p>
    <w:p>
      <w:pPr>
        <w:ind w:left="180" w:firstLine="436"/>
        <w:spacing w:after="0" w:line="250" w:lineRule="auto"/>
        <w:rPr>
          <w:sz w:val="20"/>
          <w:szCs w:val="20"/>
          <w:color w:val="auto"/>
        </w:rPr>
      </w:pPr>
      <w:r>
        <w:rPr>
          <w:rFonts w:ascii="Times New Roman" w:cs="Times New Roman" w:eastAsia="Times New Roman" w:hAnsi="Times New Roman"/>
          <w:sz w:val="18"/>
          <w:szCs w:val="18"/>
          <w:color w:val="auto"/>
        </w:rPr>
        <w:t>Stock-based compensation cost is allocated to cost of revenue, product development and technology, sales and marketing, and general and administrative expense in the consolidated statements of operations. Compensation cost for stock options, restricted stock units and restricted stock awards granted to employees is based on the fair value of these awards at the date of grant. We recognize compensation cost over the requisite service period, which is generally the vesting period of the award. For awards that vest based on continued service, compensation cost is recognized on a straight-line basis over the requisite service period. For awards with performance vesting conditions, compensation cost is recognized on a graded vesting basis when it is probable the performance condition will be achieved. Stock-based compensation cost for awards that contain market vesting conditions is recognized on a graded vesting basis over the requisite service period, even if the market condition is not satisfied. For awards that contain service, performance and market vesting conditions, the Company commences recognition of stock-based compensation cost once it is probable that the performance condition will be achieved. If the performance condition is an initial public offering or a change in control event, the performance condition is not probable of being achieved for accounting purposes until the event occurs. Once it is probable that the performance condition will be achieved, the Company recognizes stock-based compensation cost over the remaining requisite service period under a graded vesting model, with a cumulative adjustment for the portion of the service period that occurred for the period prior to the performance condition becoming probable of being achieved. Thereafter, expense is recognized even if the market condition was not or is not achieved, provided the employee continues to satisfy the service condition. Forfeitures are recognized when they occur.</w:t>
      </w:r>
    </w:p>
    <w:p>
      <w:pPr>
        <w:spacing w:after="0" w:line="187" w:lineRule="exact"/>
        <w:rPr>
          <w:sz w:val="20"/>
          <w:szCs w:val="20"/>
          <w:color w:val="auto"/>
        </w:rPr>
      </w:pPr>
    </w:p>
    <w:p>
      <w:pPr>
        <w:jc w:val="both"/>
        <w:ind w:left="180" w:right="80" w:firstLine="436"/>
        <w:spacing w:after="0" w:line="257" w:lineRule="auto"/>
        <w:rPr>
          <w:sz w:val="20"/>
          <w:szCs w:val="20"/>
          <w:color w:val="auto"/>
        </w:rPr>
      </w:pPr>
      <w:r>
        <w:rPr>
          <w:rFonts w:ascii="Times New Roman" w:cs="Times New Roman" w:eastAsia="Times New Roman" w:hAnsi="Times New Roman"/>
          <w:sz w:val="18"/>
          <w:szCs w:val="18"/>
          <w:color w:val="auto"/>
        </w:rPr>
        <w:t>Determining the fair value of stock-based awards requires judgment. The Black-Scholes option-pricing model is used to estimate the fair value of stock options with service and performance vesting conditions, while the fair value of our common stock at the date of grant is used to measure the fair value of restricted stock units and restricted stock awards with service and performance conditions. For awards with market vesting conditions, the fair value is estimated using a Monte Carlo simulation model that incorporates the likelihood of achieving the market condition.</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60"/>
          </w:cols>
          <w:pgMar w:left="320" w:top="454" w:right="51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The valuation of stock-based compensation awards using the Black-Scholes option-pricing model or the Monte Carlo simulation model require the input of subjective assumptions, which include:</w:t>
      </w:r>
    </w:p>
    <w:p>
      <w:pPr>
        <w:spacing w:after="0" w:line="70" w:lineRule="exact"/>
        <w:rPr>
          <w:sz w:val="20"/>
          <w:szCs w:val="20"/>
          <w:color w:val="auto"/>
        </w:rPr>
      </w:pPr>
    </w:p>
    <w:p>
      <w:pPr>
        <w:ind w:left="1140" w:hanging="432"/>
        <w:spacing w:after="0" w:line="253"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common stock underlying our stock-based awards is determined by our Board of Directors. Because there is no public market for our common stock, our Board of Directors determined the common stock fair value at the stock option grant date by considering several objective and subjective factors, as discussed below. The fair value is determined in accordance with applicable elements of the practice aid issued by the American Institute of Certified Public Accountants, Valuation of Privately-Held-Company Equity Securities Issued as Compensation. The fair value of the underlying common stock will be determined by the Board of Directors until such time as our common stock is listed on an established stock exchange or national market system.</w:t>
      </w:r>
    </w:p>
    <w:p>
      <w:pPr>
        <w:spacing w:after="0" w:line="93" w:lineRule="exact"/>
        <w:rPr>
          <w:rFonts w:ascii="Times New Roman" w:cs="Times New Roman" w:eastAsia="Times New Roman" w:hAnsi="Times New Roman"/>
          <w:sz w:val="18"/>
          <w:szCs w:val="18"/>
          <w:color w:val="auto"/>
        </w:rPr>
      </w:pPr>
    </w:p>
    <w:p>
      <w:pPr>
        <w:ind w:left="1140" w:right="600" w:hanging="432"/>
        <w:spacing w:after="0" w:line="277"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based on historical volatilities of a publicly traded peer group based on daily price observations over a period equivalent to the expected term of the stock option grants.</w:t>
      </w:r>
    </w:p>
    <w:p>
      <w:pPr>
        <w:spacing w:after="0" w:line="69" w:lineRule="exact"/>
        <w:rPr>
          <w:rFonts w:ascii="Times New Roman" w:cs="Times New Roman" w:eastAsia="Times New Roman" w:hAnsi="Times New Roman"/>
          <w:sz w:val="18"/>
          <w:szCs w:val="18"/>
          <w:color w:val="auto"/>
        </w:rPr>
      </w:pPr>
    </w:p>
    <w:p>
      <w:pPr>
        <w:ind w:left="1140" w:right="400" w:hanging="432"/>
        <w:spacing w:after="0" w:line="277"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for service and performance vesting conditions is based on historical and estimates of future exercise behavior. For awards with market conditions, the term is derived from the Monte Carlo simulation model.</w:t>
      </w:r>
    </w:p>
    <w:p>
      <w:pPr>
        <w:spacing w:after="0" w:line="69" w:lineRule="exact"/>
        <w:rPr>
          <w:rFonts w:ascii="Times New Roman" w:cs="Times New Roman" w:eastAsia="Times New Roman" w:hAnsi="Times New Roman"/>
          <w:sz w:val="18"/>
          <w:szCs w:val="18"/>
          <w:color w:val="auto"/>
        </w:rPr>
      </w:pPr>
    </w:p>
    <w:p>
      <w:pPr>
        <w:ind w:left="1140" w:right="120" w:hanging="432"/>
        <w:spacing w:after="0" w:line="277"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U.S. Treasury yield of treasury bonds with a maturity that approximates the expected term of the options.</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yield is based on our current expectations of dividend payouts.</w:t>
      </w:r>
    </w:p>
    <w:p>
      <w:pPr>
        <w:spacing w:after="0" w:line="114" w:lineRule="exact"/>
        <w:rPr>
          <w:sz w:val="20"/>
          <w:szCs w:val="20"/>
          <w:color w:val="auto"/>
        </w:rPr>
      </w:pPr>
    </w:p>
    <w:p>
      <w:pPr>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In addition, the valuation of the Performance-Vesting Founders Awards, includes a discount for lack of marketability, or DLOM, as the issuance of the shares for these awards is deferred by three-years from the applicable vesting date, or earlier, upon a qualifying change in control. The DLOM was estimated using a Finnerty model.</w:t>
      </w:r>
    </w:p>
    <w:p>
      <w:pPr>
        <w:spacing w:after="0" w:line="177" w:lineRule="exact"/>
        <w:rPr>
          <w:sz w:val="20"/>
          <w:szCs w:val="20"/>
          <w:color w:val="auto"/>
        </w:rPr>
      </w:pPr>
    </w:p>
    <w:p>
      <w:pPr>
        <w:ind w:left="180" w:right="180" w:firstLine="436"/>
        <w:spacing w:after="0" w:line="262" w:lineRule="auto"/>
        <w:rPr>
          <w:sz w:val="20"/>
          <w:szCs w:val="20"/>
          <w:color w:val="auto"/>
        </w:rPr>
      </w:pPr>
      <w:r>
        <w:rPr>
          <w:rFonts w:ascii="Times New Roman" w:cs="Times New Roman" w:eastAsia="Times New Roman" w:hAnsi="Times New Roman"/>
          <w:sz w:val="18"/>
          <w:szCs w:val="18"/>
          <w:color w:val="auto"/>
        </w:rPr>
        <w:t>The assumptions used in the Black-Scholes option-pricing model and the Monte Carlo simulation model represent management’s best estimates. These estimates involve inherent uncertainties and the application of management’s judgment. If factors change and different assumptions are used, stock-based compensation expense could be materially different in the future.</w:t>
      </w:r>
    </w:p>
    <w:p>
      <w:pPr>
        <w:spacing w:after="0" w:line="2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Common Stock Valuation</w:t>
      </w:r>
    </w:p>
    <w:p>
      <w:pPr>
        <w:spacing w:after="0" w:line="222" w:lineRule="exact"/>
        <w:rPr>
          <w:sz w:val="20"/>
          <w:szCs w:val="20"/>
          <w:color w:val="auto"/>
        </w:rPr>
      </w:pPr>
    </w:p>
    <w:p>
      <w:pPr>
        <w:ind w:left="180" w:right="60" w:firstLine="436"/>
        <w:spacing w:after="0" w:line="262" w:lineRule="auto"/>
        <w:rPr>
          <w:sz w:val="20"/>
          <w:szCs w:val="20"/>
          <w:color w:val="auto"/>
        </w:rPr>
      </w:pPr>
      <w:r>
        <w:rPr>
          <w:rFonts w:ascii="Times New Roman" w:cs="Times New Roman" w:eastAsia="Times New Roman" w:hAnsi="Times New Roman"/>
          <w:sz w:val="18"/>
          <w:szCs w:val="18"/>
          <w:color w:val="auto"/>
        </w:rPr>
        <w:t>Because our common stock is not publicly traded, our Board of Directors exercises significant judgment in determining the fair value of our common stock on the date of each stock-based grant, with input from management and based on several objective and subjective factors. In determining the fair market value of our common stock, our Board of Directors considered the following:</w:t>
      </w:r>
    </w:p>
    <w:p>
      <w:pPr>
        <w:spacing w:after="0" w:line="84" w:lineRule="exact"/>
        <w:rPr>
          <w:sz w:val="20"/>
          <w:szCs w:val="20"/>
          <w:color w:val="auto"/>
        </w:rPr>
      </w:pPr>
    </w:p>
    <w:p>
      <w:pPr>
        <w:ind w:left="1140" w:hanging="432"/>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redeemable convertible preferred stock sold to outside investors in arms-length transactions;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preferences and privileges of our redeemable convertible preferred stock relative to our common stock;</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w:t>
      </w:r>
    </w:p>
    <w:p>
      <w:pPr>
        <w:spacing w:after="0" w:line="126" w:lineRule="exact"/>
        <w:rPr>
          <w:rFonts w:ascii="Times New Roman" w:cs="Times New Roman" w:eastAsia="Times New Roman" w:hAnsi="Times New Roman"/>
          <w:sz w:val="18"/>
          <w:szCs w:val="18"/>
          <w:color w:val="auto"/>
        </w:rPr>
      </w:pPr>
    </w:p>
    <w:p>
      <w:pPr>
        <w:ind w:left="1140" w:right="640" w:hanging="432"/>
        <w:spacing w:after="0" w:line="277"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current business conditions and projections affecting our business, including the introduction of new products and services;</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of key personnel;</w:t>
      </w:r>
    </w:p>
    <w:p>
      <w:pPr>
        <w:spacing w:after="0" w:line="126" w:lineRule="exact"/>
        <w:rPr>
          <w:rFonts w:ascii="Times New Roman" w:cs="Times New Roman" w:eastAsia="Times New Roman" w:hAnsi="Times New Roman"/>
          <w:sz w:val="18"/>
          <w:szCs w:val="18"/>
          <w:color w:val="auto"/>
        </w:rPr>
      </w:pPr>
    </w:p>
    <w:p>
      <w:pPr>
        <w:ind w:left="1140" w:right="560" w:hanging="432"/>
        <w:spacing w:after="0" w:line="277"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for the shares of common stock underlying these stock options, such as an initial public offering or sale of our company, in light of prevailing market conditions;</w:t>
      </w:r>
    </w:p>
    <w:p>
      <w:pPr>
        <w:spacing w:after="0" w:line="96" w:lineRule="exact"/>
        <w:rPr>
          <w:rFonts w:ascii="Times New Roman" w:cs="Times New Roman" w:eastAsia="Times New Roman" w:hAnsi="Times New Roman"/>
          <w:sz w:val="18"/>
          <w:szCs w:val="18"/>
          <w:color w:val="auto"/>
        </w:rPr>
      </w:pPr>
    </w:p>
    <w:p>
      <w:pPr>
        <w:ind w:left="5500" w:hanging="110"/>
        <w:spacing w:after="0"/>
        <w:tabs>
          <w:tab w:leader="none" w:pos="55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114 -</w:t>
      </w:r>
    </w:p>
    <w:p>
      <w:pPr>
        <w:sectPr>
          <w:pgSz w:w="11900" w:h="16838" w:orient="portrait"/>
          <w:cols w:equalWidth="0" w:num="1">
            <w:col w:w="11080"/>
          </w:cols>
          <w:pgMar w:left="320" w:top="454" w:right="49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140" w:hanging="432"/>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necessary to recognize a lack of a liquid trading market for our common stock;</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U.S. economic, regulatory and capital market conditions.</w:t>
      </w:r>
    </w:p>
    <w:p>
      <w:pPr>
        <w:spacing w:after="0" w:line="220" w:lineRule="exact"/>
        <w:rPr>
          <w:sz w:val="20"/>
          <w:szCs w:val="20"/>
          <w:color w:val="auto"/>
        </w:rPr>
      </w:pPr>
    </w:p>
    <w:p>
      <w:pPr>
        <w:ind w:left="180" w:right="100" w:firstLine="436"/>
        <w:spacing w:after="0" w:line="262" w:lineRule="auto"/>
        <w:rPr>
          <w:sz w:val="20"/>
          <w:szCs w:val="20"/>
          <w:color w:val="auto"/>
        </w:rPr>
      </w:pPr>
      <w:r>
        <w:rPr>
          <w:rFonts w:ascii="Times New Roman" w:cs="Times New Roman" w:eastAsia="Times New Roman" w:hAnsi="Times New Roman"/>
          <w:sz w:val="18"/>
          <w:szCs w:val="18"/>
          <w:color w:val="auto"/>
        </w:rPr>
        <w:t>In valuing our common stock, we first determine the equity value using both the income and market approach valuation methods. In addition, we also consider values implied by sales of preferred and common stock, if applicable. We then allocate the equity value to our classes of stock using an option-pricing model, or OPM, or Probability Weighted Expected Return Method, or PWERM.</w:t>
      </w:r>
    </w:p>
    <w:p>
      <w:pPr>
        <w:spacing w:after="0" w:line="177" w:lineRule="exact"/>
        <w:rPr>
          <w:sz w:val="20"/>
          <w:szCs w:val="20"/>
          <w:color w:val="auto"/>
        </w:rPr>
      </w:pPr>
    </w:p>
    <w:p>
      <w:pPr>
        <w:ind w:left="180" w:right="60" w:firstLine="436"/>
        <w:spacing w:after="0" w:line="255" w:lineRule="auto"/>
        <w:rPr>
          <w:sz w:val="20"/>
          <w:szCs w:val="20"/>
          <w:color w:val="auto"/>
        </w:rPr>
      </w:pPr>
      <w:r>
        <w:rPr>
          <w:rFonts w:ascii="Times New Roman" w:cs="Times New Roman" w:eastAsia="Times New Roman" w:hAnsi="Times New Roman"/>
          <w:sz w:val="18"/>
          <w:szCs w:val="18"/>
          <w:color w:val="auto"/>
        </w:rPr>
        <w:t>The income approach estimates equity value based on the expectation of future cash flows that a company will generate. These future cash flows, and an assumed terminal value, are discounted to their present values using a discount rate based on a weighted-average cost of capital that reflects the risks inherent in the cash flows. The market approach estimates equity value based on a comparison of the subject company to comparable public companies in a similar line of business. From the comparable companies, a representative market value multiple is determined and then applied to the subject company’s financial forecasts to estimate the value of the subject company.</w:t>
      </w:r>
    </w:p>
    <w:p>
      <w:pPr>
        <w:spacing w:after="0" w:line="183" w:lineRule="exact"/>
        <w:rPr>
          <w:sz w:val="20"/>
          <w:szCs w:val="20"/>
          <w:color w:val="auto"/>
        </w:rPr>
      </w:pPr>
    </w:p>
    <w:p>
      <w:pPr>
        <w:ind w:left="180" w:right="100" w:firstLine="436"/>
        <w:spacing w:after="0" w:line="252" w:lineRule="auto"/>
        <w:rPr>
          <w:sz w:val="20"/>
          <w:szCs w:val="20"/>
          <w:color w:val="auto"/>
        </w:rPr>
      </w:pPr>
      <w:r>
        <w:rPr>
          <w:rFonts w:ascii="Times New Roman" w:cs="Times New Roman" w:eastAsia="Times New Roman" w:hAnsi="Times New Roman"/>
          <w:sz w:val="18"/>
          <w:szCs w:val="18"/>
          <w:color w:val="auto"/>
        </w:rPr>
        <w:t>Once we determined an equity value, we used a combination of approaches to allocate the equity value to each of our classes of stock. We used the OPM, and more recently also use the OPM in combination with the PWERM. The OPM allocates values to each equity class by creating a series of call options on our equity value, with exercise prices based on the liquidation preferences, participation rights, and strike prices of the equity instruments. Using the PWERM, the value of our common stock is estimated based upon a probability-weighted analysis of varying values for our common stock assuming possible future events, which include an IPO, merger or sale, dissolution, or continued operation as a private company. In determining the estimated fair value of our common stock, we consider the fact that our stockholders could not freely trade our common stock in the public markets. Accordingly, we also applied a lack of marketability discount to the equity value.</w:t>
      </w:r>
    </w:p>
    <w:p>
      <w:pPr>
        <w:spacing w:after="0" w:line="189" w:lineRule="exact"/>
        <w:rPr>
          <w:sz w:val="20"/>
          <w:szCs w:val="20"/>
          <w:color w:val="auto"/>
        </w:rPr>
      </w:pPr>
    </w:p>
    <w:p>
      <w:pPr>
        <w:ind w:left="180" w:right="180" w:firstLine="436"/>
        <w:spacing w:after="0" w:line="255" w:lineRule="auto"/>
        <w:rPr>
          <w:sz w:val="20"/>
          <w:szCs w:val="20"/>
          <w:color w:val="auto"/>
        </w:rPr>
      </w:pPr>
      <w:r>
        <w:rPr>
          <w:rFonts w:ascii="Times New Roman" w:cs="Times New Roman" w:eastAsia="Times New Roman" w:hAnsi="Times New Roman"/>
          <w:sz w:val="18"/>
          <w:szCs w:val="18"/>
          <w:color w:val="auto"/>
        </w:rPr>
        <w:t>For valuations after the completion of this initial public offering, our board of directors will determine the fair value of each share of underlying Class A common stock based on the closing price of our Class A common stock as reported on the date of grant. Based on the assumed initial public offering price per share of $26.00, which is the midpoint of the estimated offering price range set forth on the cover page of this prospectus, the aggregate intrinsic value of our outstanding stock options as of June 30, 2020 was $509.5 million, with $208.9 million related to vested stock options, and the aggregate intrinsic value of restricted shares outstanding as of June 30, 2020 was $36.6 million.</w:t>
      </w:r>
    </w:p>
    <w:p>
      <w:pPr>
        <w:spacing w:after="0" w:line="2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8" w:lineRule="exact"/>
        <w:rPr>
          <w:sz w:val="20"/>
          <w:szCs w:val="20"/>
          <w:color w:val="auto"/>
        </w:rPr>
      </w:pPr>
    </w:p>
    <w:p>
      <w:pPr>
        <w:ind w:left="180" w:firstLine="436"/>
        <w:spacing w:after="0" w:line="262" w:lineRule="auto"/>
        <w:rPr>
          <w:sz w:val="20"/>
          <w:szCs w:val="20"/>
          <w:color w:val="auto"/>
        </w:rPr>
      </w:pPr>
      <w:r>
        <w:rPr>
          <w:rFonts w:ascii="Times New Roman" w:cs="Times New Roman" w:eastAsia="Times New Roman" w:hAnsi="Times New Roman"/>
          <w:sz w:val="18"/>
          <w:szCs w:val="18"/>
          <w:color w:val="auto"/>
        </w:rPr>
        <w:t>The results of businesses acquired in a business combination are included in our consolidated financial statements from the date of the acquisition. Purchase accounting results in assets and liabilities of an acquired business being recorded at their estimated fair values on the acquisition date. Any excess consideration over the fair value of assets acquired and liabilities assumed is recognized as goodwill.</w:t>
      </w:r>
    </w:p>
    <w:p>
      <w:pPr>
        <w:spacing w:after="0" w:line="177" w:lineRule="exact"/>
        <w:rPr>
          <w:sz w:val="20"/>
          <w:szCs w:val="20"/>
          <w:color w:val="auto"/>
        </w:rPr>
      </w:pPr>
    </w:p>
    <w:p>
      <w:pPr>
        <w:ind w:left="180" w:right="260" w:firstLine="436"/>
        <w:spacing w:after="0" w:line="255" w:lineRule="auto"/>
        <w:rPr>
          <w:sz w:val="20"/>
          <w:szCs w:val="20"/>
          <w:color w:val="auto"/>
        </w:rPr>
      </w:pPr>
      <w:r>
        <w:rPr>
          <w:rFonts w:ascii="Times New Roman" w:cs="Times New Roman" w:eastAsia="Times New Roman" w:hAnsi="Times New Roman"/>
          <w:sz w:val="18"/>
          <w:szCs w:val="18"/>
          <w:color w:val="auto"/>
        </w:rPr>
        <w:t>We perform valuations of assets acquired and liabilities assumed for an acquisition and allocate the purchase price to its respective net tangible and intangible assets. Determining the fair value of assets acquired and liabilities assumed requires management to use significant judgment and estimates including the selection of valuation methodologies, estimates of future revenue, costs, and cash flows, discount rates and selection of comparable companies. For material acquisitions, we may engage the assistance of valuation specialists in concluding on fair value measurements of certain assets acquired or liabilities assumed in a business combination.</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40"/>
          </w:cols>
          <w:pgMar w:left="320" w:top="454" w:right="5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8" w:lineRule="exact"/>
        <w:rPr>
          <w:sz w:val="20"/>
          <w:szCs w:val="20"/>
          <w:color w:val="auto"/>
        </w:rPr>
      </w:pPr>
    </w:p>
    <w:p>
      <w:pPr>
        <w:ind w:left="180" w:right="60" w:firstLine="436"/>
        <w:spacing w:after="0" w:line="257" w:lineRule="auto"/>
        <w:rPr>
          <w:sz w:val="20"/>
          <w:szCs w:val="20"/>
          <w:color w:val="auto"/>
        </w:rPr>
      </w:pPr>
      <w:r>
        <w:rPr>
          <w:rFonts w:ascii="Times New Roman" w:cs="Times New Roman" w:eastAsia="Times New Roman" w:hAnsi="Times New Roman"/>
          <w:sz w:val="18"/>
          <w:szCs w:val="18"/>
          <w:color w:val="auto"/>
        </w:rPr>
        <w:t>Deferred income tax assets and liabilities are determined based upon the net tax effects of the differences between the financial statements carrying amounts and the tax basis of assets and liabilities and are measured using the enacted tax rate expected to apply to taxable income in the years in which the differences are expected to be reversed. A valuation allowance is used to reduce some or all of the deferred tax assets if, based upon the weight of available evidence, it is more likely than not that those deferred tax assets will not be realized.</w:t>
      </w:r>
    </w:p>
    <w:p>
      <w:pPr>
        <w:spacing w:after="0" w:line="182" w:lineRule="exact"/>
        <w:rPr>
          <w:sz w:val="20"/>
          <w:szCs w:val="20"/>
          <w:color w:val="auto"/>
        </w:rPr>
      </w:pPr>
    </w:p>
    <w:p>
      <w:pPr>
        <w:ind w:left="180" w:firstLine="436"/>
        <w:spacing w:after="0" w:line="257"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our consolidated financial statements from such positions are then measured based on the largest benefit that has a greater than 50% likelihood of being realized. We recognize interest and penalties accrued related to its uncertain tax positions in income tax expense in our consolidated statements of operations.</w:t>
      </w: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Refer to Note 2 to our audited consolidated financial statements included elsewhere in this prospectus for accounting pronouncements adopted in</w:t>
      </w:r>
    </w:p>
    <w:p>
      <w:pPr>
        <w:spacing w:after="0" w:line="37" w:lineRule="exact"/>
        <w:rPr>
          <w:sz w:val="20"/>
          <w:szCs w:val="20"/>
          <w:color w:val="auto"/>
        </w:rPr>
      </w:pPr>
    </w:p>
    <w:p>
      <w:pPr>
        <w:ind w:left="180" w:right="860"/>
        <w:spacing w:after="0" w:line="255" w:lineRule="auto"/>
        <w:rPr>
          <w:sz w:val="20"/>
          <w:szCs w:val="20"/>
          <w:color w:val="auto"/>
        </w:rPr>
      </w:pPr>
      <w:r>
        <w:rPr>
          <w:rFonts w:ascii="Times New Roman" w:cs="Times New Roman" w:eastAsia="Times New Roman" w:hAnsi="Times New Roman"/>
          <w:sz w:val="18"/>
          <w:szCs w:val="18"/>
          <w:color w:val="auto"/>
        </w:rPr>
        <w:t>2019 and Note 2 to our unaudited interim condensed consolidated financial statements included elsewhere in this prospectus for accounting pronouncements adopted in 2020 and recent accounting pronouncements not yet adopted.</w:t>
      </w: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Jumpstart Our Business Startups Act of 2012</w:t>
      </w:r>
    </w:p>
    <w:p>
      <w:pPr>
        <w:spacing w:after="0" w:line="118" w:lineRule="exact"/>
        <w:rPr>
          <w:sz w:val="20"/>
          <w:szCs w:val="20"/>
          <w:color w:val="auto"/>
        </w:rPr>
      </w:pPr>
    </w:p>
    <w:p>
      <w:pPr>
        <w:ind w:left="180" w:right="20" w:firstLine="436"/>
        <w:spacing w:after="0" w:line="252" w:lineRule="auto"/>
        <w:rPr>
          <w:sz w:val="20"/>
          <w:szCs w:val="20"/>
          <w:color w:val="auto"/>
        </w:rPr>
      </w:pPr>
      <w:r>
        <w:rPr>
          <w:rFonts w:ascii="Times New Roman" w:cs="Times New Roman" w:eastAsia="Times New Roman" w:hAnsi="Times New Roman"/>
          <w:sz w:val="18"/>
          <w:szCs w:val="18"/>
          <w:color w:val="auto"/>
        </w:rPr>
        <w:t>Under the JOBS Act, an “emerging growth company” can take advantage of an extended transition period for complying with new or revised accounting standards. This provision allows an “emerging growth company” to delay the adoption of new or revised accounting standards that have different transition dates for public and private companies until those standards would otherwise apply to private companies. We meet the definition of an “emerging growth company” and have elected to use this extended transition period. As a result of this election, our timeline to comply with these standards will in many cases be delayed as compared to other public companies that are not eligible to take advantage of this election or have not made this election. Therefore, our financial statements may not be comparable to those of companies that comply with the public company effective dates for these standards.</w:t>
      </w:r>
    </w:p>
    <w:p>
      <w:pPr>
        <w:spacing w:after="0" w:line="2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8"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We only have operations within the United States and therefore do not have any foreign currency exposure. We are exposed to market risks in the ordinary course of our business, including the effects of interest rate changes.</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4" w:lineRule="exact"/>
        <w:rPr>
          <w:sz w:val="20"/>
          <w:szCs w:val="20"/>
          <w:color w:val="auto"/>
        </w:rPr>
      </w:pPr>
    </w:p>
    <w:p>
      <w:pPr>
        <w:ind w:left="180" w:right="180" w:firstLine="436"/>
        <w:spacing w:after="0" w:line="262" w:lineRule="auto"/>
        <w:rPr>
          <w:sz w:val="20"/>
          <w:szCs w:val="20"/>
          <w:color w:val="auto"/>
        </w:rPr>
      </w:pPr>
      <w:r>
        <w:rPr>
          <w:rFonts w:ascii="Times New Roman" w:cs="Times New Roman" w:eastAsia="Times New Roman" w:hAnsi="Times New Roman"/>
          <w:sz w:val="18"/>
          <w:szCs w:val="18"/>
          <w:color w:val="auto"/>
        </w:rPr>
        <w:t>Our exposures to market risk for changes in interest rates relate primarily to the Credit Facilities which bear floating interest rates and a rising interest rate environment will increase the amount of interest paid on these loans. A hypothetical 100 basis point increase in interest rates would have increased our interest expense by $7.4 million for 2019 and $3.5 million for the six months ended June 30, 2020.</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118" w:lineRule="exact"/>
        <w:rPr>
          <w:sz w:val="20"/>
          <w:szCs w:val="20"/>
          <w:color w:val="auto"/>
        </w:rPr>
      </w:pPr>
    </w:p>
    <w:p>
      <w:pPr>
        <w:ind w:left="180" w:right="60" w:firstLine="436"/>
        <w:spacing w:after="0" w:line="262"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financial condition and results of operations.</w:t>
      </w:r>
    </w:p>
    <w:p>
      <w:pPr>
        <w:spacing w:after="0" w:line="1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0980"/>
          </w:cols>
          <w:pgMar w:left="320" w:top="454" w:right="599" w:bottom="1440" w:gutter="0" w:footer="0" w:header="0"/>
        </w:sectPr>
      </w:pPr>
    </w:p>
    <w:bookmarkStart w:id="126" w:name="page127"/>
    <w:bookmarkEnd w:id="12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210820</wp:posOffset>
            </wp:positionV>
            <wp:extent cx="7085965" cy="9161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85965" cy="916114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28" w:lineRule="exact"/>
        <w:rPr>
          <w:sz w:val="20"/>
          <w:szCs w:val="20"/>
          <w:color w:val="auto"/>
        </w:rPr>
      </w:pPr>
    </w:p>
    <w:p>
      <w:pPr>
        <w:ind w:left="180" w:right="180"/>
        <w:spacing w:after="0" w:line="247" w:lineRule="auto"/>
        <w:rPr>
          <w:sz w:val="20"/>
          <w:szCs w:val="20"/>
          <w:color w:val="auto"/>
        </w:rPr>
      </w:pPr>
      <w:r>
        <w:rPr>
          <w:rFonts w:ascii="Arial" w:cs="Arial" w:eastAsia="Arial" w:hAnsi="Arial"/>
          <w:sz w:val="19"/>
          <w:szCs w:val="19"/>
          <w:color w:val="auto"/>
        </w:rPr>
        <w:t>When I graduated from college a generation ago, my parents offered me a uniquely American piece of advice. Instead of focusing on salary, their top concern was that I find a job with good health insurance. Only with insurance, they explained, could I ensure access to quality, affordable health care. Without insurance, my days would be filled with uncertainty, inadequate care and the potential for financial ruin.</w:t>
      </w:r>
    </w:p>
    <w:p>
      <w:pPr>
        <w:spacing w:after="0" w:line="169" w:lineRule="exact"/>
        <w:rPr>
          <w:sz w:val="20"/>
          <w:szCs w:val="20"/>
          <w:color w:val="auto"/>
        </w:rPr>
      </w:pPr>
    </w:p>
    <w:p>
      <w:pPr>
        <w:jc w:val="both"/>
        <w:ind w:left="180" w:right="320"/>
        <w:spacing w:after="0" w:line="253" w:lineRule="auto"/>
        <w:rPr>
          <w:sz w:val="20"/>
          <w:szCs w:val="20"/>
          <w:color w:val="auto"/>
        </w:rPr>
      </w:pPr>
      <w:r>
        <w:rPr>
          <w:rFonts w:ascii="Arial" w:cs="Arial" w:eastAsia="Arial" w:hAnsi="Arial"/>
          <w:sz w:val="19"/>
          <w:szCs w:val="19"/>
          <w:color w:val="auto"/>
        </w:rPr>
        <w:t>So I found a job with insurance. And as I got older and started my own family, I began to appreciate what my parents meant. As long as I was covered, I thought, we could stay healthy without going bankrupt. I wouldn’t be forced to make hard choices — my insurance card would unlock America’s best healthcare at an affordable price.</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So why was my local pharmacist asking me to pay $450 for a prescription?</w:t>
      </w:r>
    </w:p>
    <w:p>
      <w:pPr>
        <w:spacing w:after="0" w:line="209" w:lineRule="exact"/>
        <w:rPr>
          <w:sz w:val="20"/>
          <w:szCs w:val="20"/>
          <w:color w:val="auto"/>
        </w:rPr>
      </w:pPr>
    </w:p>
    <w:p>
      <w:pPr>
        <w:ind w:left="180" w:right="40"/>
        <w:spacing w:after="0" w:line="253" w:lineRule="auto"/>
        <w:rPr>
          <w:sz w:val="20"/>
          <w:szCs w:val="20"/>
          <w:color w:val="auto"/>
        </w:rPr>
      </w:pPr>
      <w:r>
        <w:rPr>
          <w:rFonts w:ascii="Arial" w:cs="Arial" w:eastAsia="Arial" w:hAnsi="Arial"/>
          <w:sz w:val="19"/>
          <w:szCs w:val="19"/>
          <w:color w:val="auto"/>
        </w:rPr>
        <w:t>In 2010, prescription in hand and insurance card in my pocket, I found out the hard way that something had changed. I should have seen the signs — “out of network” charges, higher deductibles, pre-existing conditions, rising co-pays and premiums, denials, and complicated paperwork accompanied by ever-larger bills. I was paying much more and getting far less.</w:t>
      </w:r>
    </w:p>
    <w:p>
      <w:pPr>
        <w:spacing w:after="0" w:line="164" w:lineRule="exact"/>
        <w:rPr>
          <w:sz w:val="20"/>
          <w:szCs w:val="20"/>
          <w:color w:val="auto"/>
        </w:rPr>
      </w:pPr>
    </w:p>
    <w:p>
      <w:pPr>
        <w:ind w:left="180"/>
        <w:spacing w:after="0" w:line="244" w:lineRule="auto"/>
        <w:rPr>
          <w:sz w:val="20"/>
          <w:szCs w:val="20"/>
          <w:color w:val="auto"/>
        </w:rPr>
      </w:pPr>
      <w:r>
        <w:rPr>
          <w:rFonts w:ascii="Arial" w:cs="Arial" w:eastAsia="Arial" w:hAnsi="Arial"/>
          <w:sz w:val="19"/>
          <w:szCs w:val="19"/>
          <w:color w:val="auto"/>
        </w:rPr>
        <w:t>At the pharmacy, there was no way I was going to pay $450 — I had insurance, after all. So I took my prescription back and walked down the street to nearby pharmacies. Even with insurance, prices were all over the map ($250? $400?), each apparently unrelated to the actual cost of the medicine I needed. I searched the internet and found that while I could compare prices for TVs or plane tickets, there was no guidance to help me to understand what healthcare should cost. I had stumbled into an inefficient, massive market that Americans, with or without insurance, had no ability to navigate.</w:t>
      </w:r>
    </w:p>
    <w:p>
      <w:pPr>
        <w:spacing w:after="0" w:line="172" w:lineRule="exact"/>
        <w:rPr>
          <w:sz w:val="20"/>
          <w:szCs w:val="20"/>
          <w:color w:val="auto"/>
        </w:rPr>
      </w:pPr>
    </w:p>
    <w:p>
      <w:pPr>
        <w:ind w:left="180" w:right="20"/>
        <w:spacing w:after="0" w:line="258" w:lineRule="auto"/>
        <w:rPr>
          <w:sz w:val="20"/>
          <w:szCs w:val="20"/>
          <w:color w:val="auto"/>
        </w:rPr>
      </w:pPr>
      <w:r>
        <w:rPr>
          <w:rFonts w:ascii="Arial" w:cs="Arial" w:eastAsia="Arial" w:hAnsi="Arial"/>
          <w:sz w:val="18"/>
          <w:szCs w:val="18"/>
          <w:color w:val="auto"/>
        </w:rPr>
        <w:t>What’s true for prescriptions is true for all of healthcare. America is a world leader in medical technology, but our system is too expensive and too complicated. Almost two-thirds of Americans avoid or delay medical care because of cost and up to 30% of prescriptions are left at the counter. One-quarter of us do not have a primary care doctor. The typical American family spends about $5,000 per year on healthcare premiums and out-of-pocket costs. For the uninsured, it’s even worse: costs for even routine medical services can quickly deplete one’s entire savings. The U.S. spends $4 trillion per year on healthcare and yet ranks last among OECD nations for life expectancy, chronic disease and obesity. Too many Americans simply can’t afford the care they need.</w:t>
      </w:r>
    </w:p>
    <w:p>
      <w:pPr>
        <w:spacing w:after="0" w:line="161" w:lineRule="exact"/>
        <w:rPr>
          <w:sz w:val="20"/>
          <w:szCs w:val="20"/>
          <w:color w:val="auto"/>
        </w:rPr>
      </w:pPr>
    </w:p>
    <w:p>
      <w:pPr>
        <w:ind w:left="180" w:right="100"/>
        <w:spacing w:after="0" w:line="274" w:lineRule="auto"/>
        <w:rPr>
          <w:sz w:val="20"/>
          <w:szCs w:val="20"/>
          <w:color w:val="auto"/>
        </w:rPr>
      </w:pPr>
      <w:r>
        <w:rPr>
          <w:rFonts w:ascii="Arial" w:cs="Arial" w:eastAsia="Arial" w:hAnsi="Arial"/>
          <w:sz w:val="18"/>
          <w:szCs w:val="18"/>
          <w:color w:val="auto"/>
        </w:rPr>
        <w:t>I told my friend Trevor about my pharmacy experience, and we agreed that consumers, insured or not, desperately needed tools to sort through our confusing, frustrating and expensive healthcare system. We also learned that physicians, medical professionals and pharmacists across the country were likewise frustrated when patients couldn’t afford their prescribed treatments.</w:t>
      </w:r>
    </w:p>
    <w:p>
      <w:pPr>
        <w:spacing w:after="0" w:line="146" w:lineRule="exact"/>
        <w:rPr>
          <w:sz w:val="20"/>
          <w:szCs w:val="20"/>
          <w:color w:val="auto"/>
        </w:rPr>
      </w:pPr>
    </w:p>
    <w:p>
      <w:pPr>
        <w:ind w:left="180" w:right="100"/>
        <w:spacing w:after="0" w:line="244" w:lineRule="auto"/>
        <w:rPr>
          <w:sz w:val="20"/>
          <w:szCs w:val="20"/>
          <w:color w:val="auto"/>
        </w:rPr>
      </w:pPr>
      <w:r>
        <w:rPr>
          <w:rFonts w:ascii="Arial" w:cs="Arial" w:eastAsia="Arial" w:hAnsi="Arial"/>
          <w:sz w:val="19"/>
          <w:szCs w:val="19"/>
          <w:color w:val="auto"/>
        </w:rPr>
        <w:t>We caught a glimpse of a solution: there were multiple ways patients could save on their prescriptions — but virtually nobody knew about them. Could we decipher the complex contracts that govern healthcare to figure out what people should pay at the counter? Could we gather discounts in one place so people could compare prices? Could we present complicated medical and financial jargon so that it could be understood by everyone? Could we empower physicians, pharmacists, and medical professionals with realtime information at the point of care that would help them, too?</w:t>
      </w:r>
    </w:p>
    <w:p>
      <w:pPr>
        <w:spacing w:after="0" w:line="172" w:lineRule="exact"/>
        <w:rPr>
          <w:sz w:val="20"/>
          <w:szCs w:val="20"/>
          <w:color w:val="auto"/>
        </w:rPr>
      </w:pPr>
    </w:p>
    <w:p>
      <w:pPr>
        <w:ind w:left="180" w:right="340"/>
        <w:spacing w:after="0" w:line="272" w:lineRule="auto"/>
        <w:rPr>
          <w:sz w:val="20"/>
          <w:szCs w:val="20"/>
          <w:color w:val="auto"/>
        </w:rPr>
      </w:pPr>
      <w:r>
        <w:rPr>
          <w:rFonts w:ascii="Arial" w:cs="Arial" w:eastAsia="Arial" w:hAnsi="Arial"/>
          <w:sz w:val="19"/>
          <w:szCs w:val="19"/>
          <w:color w:val="auto"/>
        </w:rPr>
        <w:t>A decade later, consumers are more empowered and better informed than ever before. Millions of Americans — including many medical professionals — rely on GoodRx’s #1 ranked app to find</w:t>
      </w:r>
    </w:p>
    <w:p>
      <w:pPr>
        <w:spacing w:after="0" w:line="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60"/>
          </w:cols>
          <w:pgMar w:left="320" w:top="454" w:right="51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80" w:right="140"/>
        <w:spacing w:after="0" w:line="242" w:lineRule="auto"/>
        <w:rPr>
          <w:sz w:val="20"/>
          <w:szCs w:val="20"/>
          <w:color w:val="auto"/>
        </w:rPr>
      </w:pPr>
      <w:r>
        <w:rPr>
          <w:rFonts w:ascii="Arial" w:cs="Arial" w:eastAsia="Arial" w:hAnsi="Arial"/>
          <w:sz w:val="19"/>
          <w:szCs w:val="19"/>
          <w:color w:val="auto"/>
        </w:rPr>
        <w:t>affordable healthcare. We can reduce the cost of virtually every generic and brand prescription by more than 70% off the list price, resulting in a price that’s often less than a typical insurance co-pay. Our discounts can be used at over 70,000 pharmacies in America. Out of refills? Our platform allows patients to see a doctor within an hour for as little as $20 from the comfort of their own home. Looking for a specialist, labs, or therapy? Choose from dozens of providers offering more than 150 medical conditions. No insurance required, no approvals necessary — you don’t even need to sign up. We add new prices, services and providers daily. With GoodRx, affordable care is easy.</w:t>
      </w:r>
    </w:p>
    <w:p>
      <w:pPr>
        <w:spacing w:after="0" w:line="174" w:lineRule="exact"/>
        <w:rPr>
          <w:sz w:val="20"/>
          <w:szCs w:val="20"/>
          <w:color w:val="auto"/>
        </w:rPr>
      </w:pPr>
    </w:p>
    <w:p>
      <w:pPr>
        <w:ind w:left="180" w:right="20"/>
        <w:spacing w:after="0" w:line="244" w:lineRule="auto"/>
        <w:rPr>
          <w:sz w:val="20"/>
          <w:szCs w:val="20"/>
          <w:color w:val="auto"/>
        </w:rPr>
      </w:pPr>
      <w:r>
        <w:rPr>
          <w:rFonts w:ascii="Arial" w:cs="Arial" w:eastAsia="Arial" w:hAnsi="Arial"/>
          <w:sz w:val="19"/>
          <w:szCs w:val="19"/>
          <w:color w:val="auto"/>
        </w:rPr>
        <w:t>But making healthcare easy is actually incredibly hard. It requires joining exceptional consumer-facing technology with an expert understanding of healthcare’s byzantine economics, regulations and incentives. Trevor and I have tackled this two-sided problem together — as friends, colleagues and co-CEOs who still share an office — for over a decade. Fortunately, we have complementary skills; Trevor’s deep understanding of the complex web of healthcare is unparalleled, while I have created category-defining, easy-to-use products that have helped and delighted consumers for decades.</w:t>
      </w:r>
    </w:p>
    <w:p>
      <w:pPr>
        <w:spacing w:after="0" w:line="172" w:lineRule="exact"/>
        <w:rPr>
          <w:sz w:val="20"/>
          <w:szCs w:val="20"/>
          <w:color w:val="auto"/>
        </w:rPr>
      </w:pPr>
    </w:p>
    <w:p>
      <w:pPr>
        <w:ind w:left="180" w:right="60"/>
        <w:spacing w:after="0" w:line="272" w:lineRule="auto"/>
        <w:rPr>
          <w:sz w:val="20"/>
          <w:szCs w:val="20"/>
          <w:color w:val="auto"/>
        </w:rPr>
      </w:pPr>
      <w:r>
        <w:rPr>
          <w:rFonts w:ascii="Arial" w:cs="Arial" w:eastAsia="Arial" w:hAnsi="Arial"/>
          <w:sz w:val="19"/>
          <w:szCs w:val="19"/>
          <w:color w:val="auto"/>
        </w:rPr>
        <w:t>Our team reflects the same diversity of experience, with a deep bench of product, technology, public health and economics experts united around a common desire to help people get the care they need.</w:t>
      </w:r>
    </w:p>
    <w:p>
      <w:pPr>
        <w:spacing w:after="0" w:line="146" w:lineRule="exact"/>
        <w:rPr>
          <w:sz w:val="20"/>
          <w:szCs w:val="20"/>
          <w:color w:val="auto"/>
        </w:rPr>
      </w:pPr>
    </w:p>
    <w:p>
      <w:pPr>
        <w:ind w:left="180"/>
        <w:spacing w:after="0" w:line="247" w:lineRule="auto"/>
        <w:rPr>
          <w:sz w:val="20"/>
          <w:szCs w:val="20"/>
          <w:color w:val="auto"/>
        </w:rPr>
      </w:pPr>
      <w:r>
        <w:rPr>
          <w:rFonts w:ascii="Arial" w:cs="Arial" w:eastAsia="Arial" w:hAnsi="Arial"/>
          <w:sz w:val="19"/>
          <w:szCs w:val="19"/>
          <w:color w:val="auto"/>
        </w:rPr>
        <w:t>So far, we’ve saved Americans an estimated $20 billion on prescriptions and medical services. We have helped a lot of people save money on their care. Our research indicates that, of our total consumer base, approximately 18 million people got care they otherwise could not afford. We also work closely with physicians and pharmacists — America’s healthcare heroes — to provide research and tools that improve access to care every day.</w:t>
      </w:r>
    </w:p>
    <w:p>
      <w:pPr>
        <w:spacing w:after="0" w:line="169" w:lineRule="exact"/>
        <w:rPr>
          <w:sz w:val="20"/>
          <w:szCs w:val="20"/>
          <w:color w:val="auto"/>
        </w:rPr>
      </w:pPr>
    </w:p>
    <w:p>
      <w:pPr>
        <w:ind w:left="180" w:right="180"/>
        <w:spacing w:after="0" w:line="244" w:lineRule="auto"/>
        <w:rPr>
          <w:sz w:val="20"/>
          <w:szCs w:val="20"/>
          <w:color w:val="auto"/>
        </w:rPr>
      </w:pPr>
      <w:r>
        <w:rPr>
          <w:rFonts w:ascii="Arial" w:cs="Arial" w:eastAsia="Arial" w:hAnsi="Arial"/>
          <w:sz w:val="19"/>
          <w:szCs w:val="19"/>
          <w:color w:val="auto"/>
        </w:rPr>
        <w:t>We know there will be times when GoodRx isn’t enough. When patients have exhausted other options, GoodRxHelps, our philanthropic effort, partners with clinics, physicians and medical professionals across America to provide free prescriptions and care. As part of our initial public offering, we are reserving over 1 million shares of our Class A common stock for issuance to fund and support GoodRxHelps to significantly expand our efforts to more people in need. We are proud of our focus on minority communities, who face disproportionately greater challenges in obtaining affordable care.</w:t>
      </w:r>
    </w:p>
    <w:p>
      <w:pPr>
        <w:spacing w:after="0" w:line="172" w:lineRule="exact"/>
        <w:rPr>
          <w:sz w:val="20"/>
          <w:szCs w:val="20"/>
          <w:color w:val="auto"/>
        </w:rPr>
      </w:pPr>
    </w:p>
    <w:p>
      <w:pPr>
        <w:ind w:left="180"/>
        <w:spacing w:after="0" w:line="272" w:lineRule="auto"/>
        <w:rPr>
          <w:sz w:val="20"/>
          <w:szCs w:val="20"/>
          <w:color w:val="auto"/>
        </w:rPr>
      </w:pPr>
      <w:r>
        <w:rPr>
          <w:rFonts w:ascii="Arial" w:cs="Arial" w:eastAsia="Arial" w:hAnsi="Arial"/>
          <w:sz w:val="19"/>
          <w:szCs w:val="19"/>
          <w:color w:val="auto"/>
        </w:rPr>
        <w:t>As much as we’ve accomplished in the past decade, we recognize that there is a tremendous amount of work — and opportunity — ahead of us.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For anyone who finds healthcare out of reach, GoodRx is here to help.</w:t>
      </w:r>
    </w:p>
    <w:p>
      <w:pPr>
        <w:spacing w:after="0" w:line="209" w:lineRule="exact"/>
        <w:rPr>
          <w:sz w:val="20"/>
          <w:szCs w:val="20"/>
          <w:color w:val="auto"/>
        </w:rPr>
      </w:pPr>
    </w:p>
    <w:p>
      <w:pPr>
        <w:ind w:left="180"/>
        <w:spacing w:after="0"/>
        <w:rPr>
          <w:sz w:val="20"/>
          <w:szCs w:val="20"/>
          <w:color w:val="auto"/>
        </w:rPr>
      </w:pPr>
      <w:r>
        <w:rPr>
          <w:rFonts w:ascii="Arial" w:cs="Arial" w:eastAsia="Arial" w:hAnsi="Arial"/>
          <w:sz w:val="19"/>
          <w:szCs w:val="19"/>
          <w:color w:val="auto"/>
        </w:rPr>
        <w:t>We invite you to join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161925</wp:posOffset>
            </wp:positionV>
            <wp:extent cx="1628775" cy="3390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28775" cy="33909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161925</wp:posOffset>
            </wp:positionV>
            <wp:extent cx="1628775" cy="2457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628775" cy="24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0"/>
        <w:spacing w:after="0"/>
        <w:tabs>
          <w:tab w:leader="none" w:pos="5940" w:val="left"/>
        </w:tabs>
        <w:rPr>
          <w:sz w:val="20"/>
          <w:szCs w:val="20"/>
          <w:color w:val="auto"/>
        </w:rPr>
      </w:pPr>
      <w:r>
        <w:rPr>
          <w:rFonts w:ascii="Arial" w:cs="Arial" w:eastAsia="Arial" w:hAnsi="Arial"/>
          <w:sz w:val="18"/>
          <w:szCs w:val="18"/>
          <w:color w:val="auto"/>
        </w:rPr>
        <w:t>Doug</w:t>
      </w:r>
      <w:r>
        <w:rPr>
          <w:sz w:val="20"/>
          <w:szCs w:val="20"/>
          <w:color w:val="auto"/>
        </w:rPr>
        <w:tab/>
      </w:r>
      <w:r>
        <w:rPr>
          <w:rFonts w:ascii="Arial" w:cs="Arial" w:eastAsia="Arial" w:hAnsi="Arial"/>
          <w:sz w:val="18"/>
          <w:szCs w:val="18"/>
          <w:color w:val="auto"/>
        </w:rPr>
        <w:t>Trevor</w:t>
      </w:r>
    </w:p>
    <w:p>
      <w:pPr>
        <w:spacing w:after="0" w:line="14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40"/>
          </w:cols>
          <w:pgMar w:left="320" w:top="454" w:right="5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ind w:left="180" w:right="220" w:firstLine="436"/>
        <w:spacing w:after="0" w:line="277" w:lineRule="auto"/>
        <w:rPr>
          <w:sz w:val="20"/>
          <w:szCs w:val="20"/>
          <w:color w:val="auto"/>
        </w:rPr>
      </w:pPr>
      <w:r>
        <w:rPr>
          <w:rFonts w:ascii="Times New Roman" w:cs="Times New Roman" w:eastAsia="Times New Roman" w:hAnsi="Times New Roman"/>
          <w:sz w:val="18"/>
          <w:szCs w:val="18"/>
          <w:color w:val="auto"/>
        </w:rPr>
        <w:t>Our mission is to help Americans get the healthcare they need at a price they can afford. To achieve this, we are building the leading, consumer-focused digital healthcare platform in the United States.</w:t>
      </w:r>
    </w:p>
    <w:p>
      <w:pPr>
        <w:spacing w:after="0" w:line="163" w:lineRule="exact"/>
        <w:rPr>
          <w:sz w:val="20"/>
          <w:szCs w:val="20"/>
          <w:color w:val="auto"/>
        </w:rPr>
      </w:pPr>
    </w:p>
    <w:p>
      <w:pPr>
        <w:ind w:left="180" w:right="100" w:firstLine="436"/>
        <w:spacing w:after="0" w:line="257" w:lineRule="auto"/>
        <w:rPr>
          <w:sz w:val="20"/>
          <w:szCs w:val="20"/>
          <w:color w:val="auto"/>
        </w:rPr>
      </w:pPr>
      <w:r>
        <w:rPr>
          <w:rFonts w:ascii="Times New Roman" w:cs="Times New Roman" w:eastAsia="Times New Roman" w:hAnsi="Times New Roman"/>
          <w:sz w:val="18"/>
          <w:szCs w:val="18"/>
          <w:color w:val="auto"/>
        </w:rPr>
        <w:t>Healthcare consumers in the United States face an increasing number of challenges. Consumers are bearing more of the cost of care and have more restrictions imposed on their care. The rising cost of insurance and higher deductibles have led to an increase in the percentage of underinsured Americans. Additionally, the number of uninsured consumers in the United States has increased in recent years. These developments have occurred at a time when the majority of Americans have less than $1,000 in savings.</w:t>
      </w:r>
    </w:p>
    <w:p>
      <w:pPr>
        <w:spacing w:after="0" w:line="182" w:lineRule="exact"/>
        <w:rPr>
          <w:sz w:val="20"/>
          <w:szCs w:val="20"/>
          <w:color w:val="auto"/>
        </w:rPr>
      </w:pPr>
    </w:p>
    <w:p>
      <w:pPr>
        <w:ind w:left="180" w:right="20" w:firstLine="436"/>
        <w:spacing w:after="0" w:line="251" w:lineRule="auto"/>
        <w:rPr>
          <w:sz w:val="20"/>
          <w:szCs w:val="20"/>
          <w:color w:val="auto"/>
        </w:rPr>
      </w:pPr>
      <w:r>
        <w:rPr>
          <w:rFonts w:ascii="Times New Roman" w:cs="Times New Roman" w:eastAsia="Times New Roman" w:hAnsi="Times New Roman"/>
          <w:sz w:val="18"/>
          <w:szCs w:val="18"/>
          <w:color w:val="auto"/>
        </w:rPr>
        <w:t>Lack of affordability in healthcare is a contributing reason why 20% to 30% of prescriptions are left at the pharmacy counter. Non-adherence has a significant impact on American health: someone dies every four minutes in the United States from not taking their prescribed medication at all or as directed, according to a report in the American Journal of Health-System Pharmacy. Even for those who can afford care, access to physicians is limited. The average wait time for a new patient appointment in 15 large metropolitan markets in the United States was 24 days in 2017, and may extend up to 56 days in mid-sized markets, according to a Merritt Hawkins survey. This has placed additional strain on hospital emergency departments across the country – an estimated 30% of emergency department visits occur for health issues that could have been treated in primary or other care settings. Healthcare professionals, who are motivated by and whose success is increasingly judged on patient outcomes and satisfaction, are growing frustrated and need resources to help them. Part of the problem is that the healthcare market – one of the largest markets in the United States by spending and projected to reach $4.0 trillion in 2020 – has had no widely accepted, consumer-focused, tech-enabled solution through which consumers can easily shop for and access healthcare, unlike those found in other industries for things like airline tickets, rental homes and cars.</w:t>
      </w:r>
    </w:p>
    <w:p>
      <w:pPr>
        <w:spacing w:after="0" w:line="186" w:lineRule="exact"/>
        <w:rPr>
          <w:sz w:val="20"/>
          <w:szCs w:val="20"/>
          <w:color w:val="auto"/>
        </w:rPr>
      </w:pPr>
    </w:p>
    <w:p>
      <w:pPr>
        <w:ind w:left="180" w:right="20" w:firstLine="436"/>
        <w:spacing w:after="0" w:line="251" w:lineRule="auto"/>
        <w:rPr>
          <w:sz w:val="20"/>
          <w:szCs w:val="20"/>
          <w:color w:val="auto"/>
        </w:rPr>
      </w:pPr>
      <w:r>
        <w:rPr>
          <w:rFonts w:ascii="Times New Roman" w:cs="Times New Roman" w:eastAsia="Times New Roman" w:hAnsi="Times New Roman"/>
          <w:sz w:val="18"/>
          <w:szCs w:val="18"/>
          <w:color w:val="auto"/>
        </w:rPr>
        <w:t>GoodRx was founded to solve the challenges that consumers face in understanding, accessing, and affording healthcare. We started with a price comparison tool for prescriptions, offering consumers free access to lower prices on their medication. We wanted to help ensure that no parent had to choose between their child’s next meal and their life-saving medication. Today, we believe our expanded platform improves the health and financial well-being of American families by providing easy access to price transparency and affordability solutions for generic and brand medications, affordable and convenient medical provider consultations via telehealth and additional healthcare services and information. Based on our research, from inception through June 30, 2020, we estimate that approximately 18 million of our consumers could not have afforded to fill their prescriptions without the savings provided by GoodRx. Furthermore, a July 2020 survey we commissioned from Lab42 Research LLC found that 68% of healthcare providers surveyed have recommended GoodRx to patients. In addition to reducing the costs of healthcare for consumers, we believe that our offerings can help drive greater medication adherence, faster treatment and better patient outcomes. These all contribute to a healthier, happier society.</w:t>
      </w:r>
    </w:p>
    <w:p>
      <w:pPr>
        <w:spacing w:after="0" w:line="189" w:lineRule="exact"/>
        <w:rPr>
          <w:sz w:val="20"/>
          <w:szCs w:val="20"/>
          <w:color w:val="auto"/>
        </w:rPr>
      </w:pPr>
    </w:p>
    <w:p>
      <w:pPr>
        <w:ind w:left="180" w:right="80" w:firstLine="436"/>
        <w:spacing w:after="0" w:line="257" w:lineRule="auto"/>
        <w:rPr>
          <w:sz w:val="20"/>
          <w:szCs w:val="20"/>
          <w:color w:val="auto"/>
        </w:rPr>
      </w:pPr>
      <w:r>
        <w:rPr>
          <w:rFonts w:ascii="Times New Roman" w:cs="Times New Roman" w:eastAsia="Times New Roman" w:hAnsi="Times New Roman"/>
          <w:sz w:val="18"/>
          <w:szCs w:val="18"/>
          <w:color w:val="auto"/>
        </w:rPr>
        <w:t>We see exciting growth potential as we continue to attract new consumers through our existing offerings, launch new offerings to address more of the needs of healthcare consumers, and improve healthcare affordability and access for all Americans. As we extend our platform, we believe that we can create multiple monetization opportunities at different stages of the consumer healthcare journey, enabling us to drive higher expected consumer lifetime value without significant additional consumer acquisition costs.</w:t>
      </w:r>
    </w:p>
    <w:p>
      <w:pPr>
        <w:spacing w:after="0" w:line="182" w:lineRule="exact"/>
        <w:rPr>
          <w:sz w:val="20"/>
          <w:szCs w:val="20"/>
          <w:color w:val="auto"/>
        </w:rPr>
      </w:pPr>
    </w:p>
    <w:p>
      <w:pPr>
        <w:ind w:left="180" w:firstLine="436"/>
        <w:spacing w:after="0" w:line="255" w:lineRule="auto"/>
        <w:rPr>
          <w:sz w:val="20"/>
          <w:szCs w:val="20"/>
          <w:color w:val="auto"/>
        </w:rPr>
      </w:pPr>
      <w:r>
        <w:rPr>
          <w:rFonts w:ascii="Times New Roman" w:cs="Times New Roman" w:eastAsia="Times New Roman" w:hAnsi="Times New Roman"/>
          <w:sz w:val="18"/>
          <w:szCs w:val="18"/>
          <w:color w:val="auto"/>
        </w:rPr>
        <w:t>Our business model has facilitated the rapid growth and expansion of our platform. We have been focused on capital efficiency and delivering on a cash generative monetization model since inception, and we have been able to reinvest our cash flows in our business. As a result, our consumers can now access an increasingly broad platform with a variety of integrated offerings that provide healthcare affordability, access and convenience. Whether a consumer is insured or uninsured, young or old, or suffers from an acute or a chronic ailment, we strive to be at the consumer’s side throughout their healthcare journey.</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80"/>
          </w:cols>
          <w:pgMar w:left="320" w:top="454" w:right="49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80" w:firstLine="436"/>
        <w:spacing w:after="0" w:line="252" w:lineRule="auto"/>
        <w:rPr>
          <w:sz w:val="20"/>
          <w:szCs w:val="20"/>
          <w:color w:val="auto"/>
        </w:rPr>
      </w:pPr>
      <w:r>
        <w:rPr>
          <w:rFonts w:ascii="Times New Roman" w:cs="Times New Roman" w:eastAsia="Times New Roman" w:hAnsi="Times New Roman"/>
          <w:sz w:val="18"/>
          <w:szCs w:val="18"/>
          <w:color w:val="auto"/>
        </w:rPr>
        <w:t>Our platform has been effective because we positively impact stakeholders in the healthcare ecosystem. Benefits to participants in the healthcare ecosystem include: achieving better outcomes by increasing medication adherence; providing fast access to preventative care to reduce the strain on hospitals and emergency departments; increasing accessibility to affordable prescriptions that otherwise may not have been filled; and enhancing consumer satisfaction and engagement. We believe that consumers, healthcare providers, pharmacy benefit managers, or PBMs, pharmacies, pharmaceutical manufacturers and telehealth providers all win with GoodRx. Our partnerships across the healthcare ecosystem, scale and strong consumer brand create a deep competitive moat that is reinforced by our proprietary technology platform, which processes over 150 billion pricing data points every day and integrates that data into an interface that is convenient and easy to use for consumers.</w:t>
      </w:r>
    </w:p>
    <w:p>
      <w:pPr>
        <w:spacing w:after="0" w:line="189" w:lineRule="exact"/>
        <w:rPr>
          <w:sz w:val="20"/>
          <w:szCs w:val="20"/>
          <w:color w:val="auto"/>
        </w:rPr>
      </w:pPr>
    </w:p>
    <w:p>
      <w:pPr>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Our success is demonstrated by our 4.4 million Monthly Active Consumers for the second quarter of 2020, the 15 million Monthly Visitors for the second quarter of 2020, the approximately $20 billion of cumulative consumer savings generated for GoodRx consumers through June 30, 2020 and our consumer and healthcare professional NPS scores of 90 and 86, respectively, as of February 2020. On average, we have been the most downloaded medical app on the Apple App Store and Google Play App Store for the last three years. Our GoodRx app had a rating of 4.8 out of 5.0 stars in the Apple App Store and 4.7 out of 5.0 stars in the Google Play App Store, with over 700,000 combined reviews as of June 30, 2020. In both app stores, our HeyDoctor app had a rating of 5.0 out of 5.0 stars, with over 8,000 combined reviews as of June 30, 2020.</w:t>
      </w:r>
    </w:p>
    <w:p>
      <w:pPr>
        <w:spacing w:after="0" w:line="187" w:lineRule="exact"/>
        <w:rPr>
          <w:sz w:val="20"/>
          <w:szCs w:val="20"/>
          <w:color w:val="auto"/>
        </w:rPr>
      </w:pPr>
    </w:p>
    <w:p>
      <w:pPr>
        <w:ind w:left="180" w:right="20" w:firstLine="436"/>
        <w:spacing w:after="0" w:line="251" w:lineRule="auto"/>
        <w:rPr>
          <w:sz w:val="20"/>
          <w:szCs w:val="20"/>
          <w:color w:val="auto"/>
        </w:rPr>
      </w:pPr>
      <w:r>
        <w:rPr>
          <w:rFonts w:ascii="Times New Roman" w:cs="Times New Roman" w:eastAsia="Times New Roman" w:hAnsi="Times New Roman"/>
          <w:sz w:val="18"/>
          <w:szCs w:val="18"/>
          <w:color w:val="auto"/>
        </w:rPr>
        <w:t>We believe our financial results reflect the significant market demand for our offerings and the value that we provide to the broader healthcare ecosystem. The GMV generated by our prescription offering, which accounts for the vast majority of our revenue, was $2.5 billion in 2019. Our revenue has grown at a CAGR of 57% since 2016, and reached $388 million in 2019, up from $250 million in 2018. Our net income was $66 million in 2019, up from $44 million in 2018, and our Adjusted EBITDA was $160 million in 2019, up from $128 million in 2018. Our revenue grew 48% in the first half of 2020 to $257 million, up from $173 million in the first half of 2019. Our net income was $55 million in the first half of 2020, up from $31 million in the first half of 2019, and our Adjusted EBITDA was $101 million in the first half of 2020, up from $75 million in the first half of 2019. Adjusted EBITDA is a non-GAAP financial measure. For a reconciliation of Adjusted EBITDA to the most directly comparable GAAP financial measure, information about why we consider Adjusted EBITDA useful and a discussion of the material risks and limitations of these measures, please see “Prospectus Summary—Summary Consolidated Financial and Operating Data—Key Financial and Operating Metrics—Non-GAAP Financial Measures.”</w:t>
      </w:r>
    </w:p>
    <w:p>
      <w:pPr>
        <w:spacing w:after="0" w:line="2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Industry Challenges</w:t>
      </w:r>
    </w:p>
    <w:p>
      <w:pPr>
        <w:spacing w:after="0" w:line="118" w:lineRule="exact"/>
        <w:rPr>
          <w:sz w:val="20"/>
          <w:szCs w:val="20"/>
          <w:color w:val="auto"/>
        </w:rPr>
      </w:pPr>
    </w:p>
    <w:p>
      <w:pPr>
        <w:ind w:left="180" w:firstLine="436"/>
        <w:spacing w:after="0" w:line="250" w:lineRule="auto"/>
        <w:rPr>
          <w:sz w:val="20"/>
          <w:szCs w:val="20"/>
          <w:color w:val="auto"/>
        </w:rPr>
      </w:pPr>
      <w:r>
        <w:rPr>
          <w:rFonts w:ascii="Times New Roman" w:cs="Times New Roman" w:eastAsia="Times New Roman" w:hAnsi="Times New Roman"/>
          <w:sz w:val="18"/>
          <w:szCs w:val="18"/>
          <w:color w:val="auto"/>
        </w:rPr>
        <w:t>The total estimated spending in the U.S. healthcare market is projected to reach $4.0 trillion in 2020, and the market is expected to grow to $6.2 trillion by 2028, according to the Centers for Medicare &amp; Medicaid Services, or CMS. Despite it being one of the largest sectors of the U.S. economy, the U.S. healthcare market remains opaque and highly fragmented for consumers. Even simple healthcare transactions, such as finding a doctor or filling a prescription at an affordable price, are difficult. This can lead to confusion, inefficiency and unneeded additional costs for consumers and the healthcare system. Every year, approximately 140 million Americans fill nearly 5.8 billion 30-day equivalent prescriptions, according to the Centers for Disease Control and Prevention and a 2019 IQVIA Institute report. The pharmacy is the de-facto “front door” to American healthcare, with frequent consumer interaction and engagement. We estimate that the average consumer visits a pharmacy multiple times per month, compared to less than three visits per year to physicians, according to the Centers for Disease Control and Prevention. However, finding affordable prices for prescriptions is complicated by a lack of price transparency, a confusing reimbursement and insurance landscape and a fragmented marketplace in which the list prices for the same medication can vary more than 100 times across pharmacies. Similarly, people who need to see healthcare professionals can face the same lack of price transparency, as well as exceedingly long wait times to access the care that they need.</w:t>
      </w:r>
    </w:p>
    <w:p>
      <w:pPr>
        <w:spacing w:after="0" w:line="193" w:lineRule="exact"/>
        <w:rPr>
          <w:sz w:val="20"/>
          <w:szCs w:val="20"/>
          <w:color w:val="auto"/>
        </w:rPr>
      </w:pPr>
    </w:p>
    <w:p>
      <w:pPr>
        <w:ind w:left="180" w:right="200" w:firstLine="436"/>
        <w:spacing w:after="0" w:line="277" w:lineRule="auto"/>
        <w:rPr>
          <w:sz w:val="20"/>
          <w:szCs w:val="20"/>
          <w:color w:val="auto"/>
        </w:rPr>
      </w:pPr>
      <w:r>
        <w:rPr>
          <w:rFonts w:ascii="Times New Roman" w:cs="Times New Roman" w:eastAsia="Times New Roman" w:hAnsi="Times New Roman"/>
          <w:sz w:val="18"/>
          <w:szCs w:val="18"/>
          <w:color w:val="auto"/>
        </w:rPr>
        <w:t>We believe that these challenges are driven in part by a lack of consumer-focused solutions that enable consumers to easily search, discover and access the product or service that they need at an affordable price.</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60"/>
          </w:cols>
          <w:pgMar w:left="320" w:top="453" w:right="51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220"/>
        <w:spacing w:after="0" w:line="262" w:lineRule="auto"/>
        <w:rPr>
          <w:sz w:val="20"/>
          <w:szCs w:val="20"/>
          <w:color w:val="auto"/>
        </w:rPr>
      </w:pPr>
      <w:r>
        <w:rPr>
          <w:rFonts w:ascii="Times New Roman" w:cs="Times New Roman" w:eastAsia="Times New Roman" w:hAnsi="Times New Roman"/>
          <w:sz w:val="18"/>
          <w:szCs w:val="18"/>
          <w:color w:val="auto"/>
        </w:rPr>
        <w:t>Technology similar to that which has been deployed to help consumers buy airline tickets, rent homes or hail cars can also be utilized in the highly complex healthcare market to make healthcare affordable, accessible and efficient. Consumer-focused technology solutions are even more essential in healthcare than in other industries given that the stakes involve peoples’ health and lives.</w:t>
      </w:r>
    </w:p>
    <w:p>
      <w:pPr>
        <w:spacing w:after="0" w:line="177" w:lineRule="exact"/>
        <w:rPr>
          <w:sz w:val="20"/>
          <w:szCs w:val="20"/>
          <w:color w:val="auto"/>
        </w:rPr>
      </w:pPr>
    </w:p>
    <w:p>
      <w:pPr>
        <w:ind w:left="180" w:right="80" w:firstLine="436"/>
        <w:spacing w:after="0" w:line="277" w:lineRule="auto"/>
        <w:rPr>
          <w:sz w:val="20"/>
          <w:szCs w:val="20"/>
          <w:color w:val="auto"/>
        </w:rPr>
      </w:pPr>
      <w:r>
        <w:rPr>
          <w:rFonts w:ascii="Times New Roman" w:cs="Times New Roman" w:eastAsia="Times New Roman" w:hAnsi="Times New Roman"/>
          <w:sz w:val="18"/>
          <w:szCs w:val="18"/>
          <w:color w:val="auto"/>
        </w:rPr>
        <w:t>The challenges that healthcare consumers face have been increasing for decades, while the solutions to combat these issues have remained largely absent:</w:t>
      </w:r>
    </w:p>
    <w:p>
      <w:pPr>
        <w:spacing w:after="0" w:line="66" w:lineRule="exact"/>
        <w:rPr>
          <w:sz w:val="20"/>
          <w:szCs w:val="20"/>
          <w:color w:val="auto"/>
        </w:rPr>
      </w:pPr>
    </w:p>
    <w:p>
      <w:pPr>
        <w:jc w:val="both"/>
        <w:ind w:left="1140" w:right="280" w:hanging="432"/>
        <w:spacing w:after="0" w:line="271" w:lineRule="auto"/>
        <w:tabs>
          <w:tab w:leader="none" w:pos="11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Lack of Consumer-Focused Solutions: </w:t>
      </w:r>
      <w:r>
        <w:rPr>
          <w:rFonts w:ascii="Times New Roman" w:cs="Times New Roman" w:eastAsia="Times New Roman" w:hAnsi="Times New Roman"/>
          <w:sz w:val="17"/>
          <w:szCs w:val="17"/>
          <w:color w:val="auto"/>
        </w:rPr>
        <w:t>Health is the most essential aspect of peoples’ lives. However, healthcare has remained largely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unaffected by many of the market and technology-driven forces that have improved many other facets of life. According to a 2019 CBS News poll, 76% of Americans believed the U.S. healthcare system either needed fundamental changes or to be completely rebuilt.</w:t>
      </w:r>
    </w:p>
    <w:p>
      <w:pPr>
        <w:spacing w:after="0" w:line="1" w:lineRule="exact"/>
        <w:rPr>
          <w:rFonts w:ascii="Times New Roman" w:cs="Times New Roman" w:eastAsia="Times New Roman" w:hAnsi="Times New Roman"/>
          <w:sz w:val="17"/>
          <w:szCs w:val="17"/>
          <w:color w:val="auto"/>
        </w:rPr>
      </w:pPr>
    </w:p>
    <w:p>
      <w:pPr>
        <w:ind w:left="1140" w:right="8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Technology-driven platforms have empowered consumers with ease of access and price transparency across many other industry verticals. As a result, consumers now demand what they want, when they want it, and how they want it—all at a value that makes sense to them. Traditional healthcare companies have been slow to adapt to these demands, disconnecting those businesses from the needs of healthcare consumers. We believe that an increase in access to information, price transparency and ease of use can benefit healthcare consumers, just as it has helped consumers purchase goods and services in other industries.</w:t>
      </w:r>
    </w:p>
    <w:p>
      <w:pPr>
        <w:spacing w:after="0" w:line="92" w:lineRule="exact"/>
        <w:rPr>
          <w:rFonts w:ascii="Times New Roman" w:cs="Times New Roman" w:eastAsia="Times New Roman" w:hAnsi="Times New Roman"/>
          <w:sz w:val="17"/>
          <w:szCs w:val="17"/>
          <w:color w:val="auto"/>
        </w:rPr>
      </w:pPr>
    </w:p>
    <w:p>
      <w:pPr>
        <w:ind w:left="1140" w:hanging="432"/>
        <w:spacing w:after="0" w:line="250"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Lack of Affordability: </w:t>
      </w:r>
      <w:r>
        <w:rPr>
          <w:rFonts w:ascii="Times New Roman" w:cs="Times New Roman" w:eastAsia="Times New Roman" w:hAnsi="Times New Roman"/>
          <w:sz w:val="18"/>
          <w:szCs w:val="18"/>
          <w:color w:val="auto"/>
        </w:rPr>
        <w:t>Americans spent twice as much per capita on healthcare compared to citizens from other OECD countries in 2018;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however, the United States has one of the lowest quality of care rankings among these countries. Healthcare is so unaffordable that medical problems contributed to approximately 66% of all personal bankruptcies in the United States between 2013 and 2016 according to a study published in the American Journal of Public Health, and approximately 64% of Americans risked their health by avoiding or delaying medical care due to the anticipated expenses in 2017 according to a 2018 survey by 20|20 Research and CarePayment. According to the Bureau of Labor Statistics Consumer Expenditures Survey, the average American household spent approximately $5,000 on healthcare in 2018. It is estimated that 20% to 30% of prescriptions written are not filled, with cost being among the leading reasons. The related medication non-adherence is estimated to result in a patient death every four minutes in the United States according to a report in the American Journal of Health-System Pharmacy, and can cost up to $300 billion per year in incremental healthcare expenses according to an article in the New England Journal of Medicine. Furthermore, insurance companies and employers in the United States have shifted an increasing amount of the financial burden of healthcare onto their members and employees through higher deductibles and increasing co-pays and co-insurance. According to a Kaiser Family Foundation report, the average annual deductible among covered employees in the United States rose by 36% to $1,655 from 2014 to 2019, and new enrollments in high deductible health plans, or HDHPs, have grown at a CAGR of 14% for the past decade. That report also showed that 30% of employees were enrolled in HDHPs in 2019, compared to only 8% in 2009.</w:t>
      </w:r>
    </w:p>
    <w:p>
      <w:pPr>
        <w:spacing w:after="0" w:line="92" w:lineRule="exact"/>
        <w:rPr>
          <w:rFonts w:ascii="Times New Roman" w:cs="Times New Roman" w:eastAsia="Times New Roman" w:hAnsi="Times New Roman"/>
          <w:sz w:val="18"/>
          <w:szCs w:val="18"/>
          <w:color w:val="auto"/>
        </w:rPr>
      </w:pPr>
    </w:p>
    <w:p>
      <w:pPr>
        <w:ind w:left="1140" w:right="40" w:hanging="432"/>
        <w:spacing w:after="0" w:line="252"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Lack of Transparency: </w:t>
      </w:r>
      <w:r>
        <w:rPr>
          <w:rFonts w:ascii="Times New Roman" w:cs="Times New Roman" w:eastAsia="Times New Roman" w:hAnsi="Times New Roman"/>
          <w:sz w:val="18"/>
          <w:szCs w:val="18"/>
          <w:color w:val="auto"/>
        </w:rPr>
        <w:t>The healthcare system is highly complex and fragmented. Price variability for prescription medication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healthcare services can be significant. Unlike almost every other industry, healthcare consumers are faced with a lack of transparency and have a limited ability to compare prices for prescription medication or the cost of care across providers. Based on a July 2020 survey we commissioned from Lab42 Research LLC, we estimate that 70% of consumers do not know that the price of a prescription can vary widely across pharmacies. We believe that many consumers are not aware of tools that are available to help them save money. Our data shows that list prices for the same medication can, in some instances, vary by more than 100 times. Similarly, common healthcare services and surgical procedures can vary greatly in price, with differences of up to 39 times within similar geographies for the same service or procedure, according to a Health Care Cost Institute study. This can lead to consumer frustration, unnecessary cost, and in many cases, failure to adhere to a medication, undergo a treatment or get a medical test.</w:t>
      </w:r>
    </w:p>
    <w:p>
      <w:pPr>
        <w:spacing w:after="0" w:line="118" w:lineRule="exact"/>
        <w:rPr>
          <w:rFonts w:ascii="Times New Roman" w:cs="Times New Roman" w:eastAsia="Times New Roman" w:hAnsi="Times New Roman"/>
          <w:sz w:val="18"/>
          <w:szCs w:val="18"/>
          <w:color w:val="auto"/>
        </w:rPr>
      </w:pPr>
    </w:p>
    <w:p>
      <w:pPr>
        <w:ind w:left="5500" w:hanging="113"/>
        <w:spacing w:after="0"/>
        <w:tabs>
          <w:tab w:leader="none" w:pos="55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122 -</w:t>
      </w:r>
    </w:p>
    <w:p>
      <w:pPr>
        <w:sectPr>
          <w:pgSz w:w="11900" w:h="16838" w:orient="portrait"/>
          <w:cols w:equalWidth="0" w:num="1">
            <w:col w:w="11080"/>
          </w:cols>
          <w:pgMar w:left="320" w:top="454" w:right="49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140" w:hanging="432"/>
        <w:spacing w:after="0" w:line="269" w:lineRule="auto"/>
        <w:tabs>
          <w:tab w:leader="none" w:pos="11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Lack of Access to Care: </w:t>
      </w:r>
      <w:r>
        <w:rPr>
          <w:rFonts w:ascii="Times New Roman" w:cs="Times New Roman" w:eastAsia="Times New Roman" w:hAnsi="Times New Roman"/>
          <w:sz w:val="17"/>
          <w:szCs w:val="17"/>
          <w:color w:val="auto"/>
        </w:rPr>
        <w:t>Consumers face challenges gaining access to affordable, timely and quality care. In 2014, an estimated 62 million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Americans had no, or inadequate, access to primary care due to physician shortages according to the National Association of Community Health Centers. Just seeing a physician can be difficult – the average wait time for a new patient appointment in 15 large metropolitan markets in the United States was 24 days in 2017, and may extend up to 56 days in mid-sized markets, according to a Merritt Hawkins survey. According to a 2019 publication in the Journal of the American Medical Association, roughly one-quarter of adults in the United States did not have a primary care physician in 2015. The lack of access to this care limits the ability of many consumers to quickly and effectively address relatively basic needs, such as obtaining medication for high blood pressure or diagnosing an infection. Failure to receive early diagnosis and treatment often leads to more severe illness and can require more costly medical treatment in the future.</w:t>
      </w:r>
    </w:p>
    <w:p>
      <w:pPr>
        <w:spacing w:after="0" w:line="77" w:lineRule="exact"/>
        <w:rPr>
          <w:rFonts w:ascii="Times New Roman" w:cs="Times New Roman" w:eastAsia="Times New Roman" w:hAnsi="Times New Roman"/>
          <w:sz w:val="17"/>
          <w:szCs w:val="17"/>
          <w:color w:val="auto"/>
        </w:rPr>
      </w:pPr>
    </w:p>
    <w:p>
      <w:pPr>
        <w:ind w:left="1140" w:right="60" w:hanging="432"/>
        <w:spacing w:after="0" w:line="259"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Lack of Resources for Healthcare Professionals: </w:t>
      </w:r>
      <w:r>
        <w:rPr>
          <w:rFonts w:ascii="Times New Roman" w:cs="Times New Roman" w:eastAsia="Times New Roman" w:hAnsi="Times New Roman"/>
          <w:sz w:val="18"/>
          <w:szCs w:val="18"/>
          <w:color w:val="auto"/>
        </w:rPr>
        <w:t>Physicians and other healthcare professionals know that their patients increasingly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expect to have a conversation regarding the cost of their treatment or medications, but they tend to have limited access to current information regarding the out-of-pocket financial burden of prescriptions or treatment, and are typically unaware as to whether the patient will be able to afford the prescribed medication or treatment.</w:t>
      </w:r>
    </w:p>
    <w:p>
      <w:pPr>
        <w:spacing w:after="0" w:line="2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18" w:lineRule="exact"/>
        <w:rPr>
          <w:sz w:val="20"/>
          <w:szCs w:val="20"/>
          <w:color w:val="auto"/>
        </w:rPr>
      </w:pPr>
    </w:p>
    <w:p>
      <w:pPr>
        <w:ind w:left="180" w:right="240" w:firstLine="436"/>
        <w:spacing w:after="0" w:line="255" w:lineRule="auto"/>
        <w:rPr>
          <w:sz w:val="20"/>
          <w:szCs w:val="20"/>
          <w:color w:val="auto"/>
        </w:rPr>
      </w:pPr>
      <w:r>
        <w:rPr>
          <w:rFonts w:ascii="Times New Roman" w:cs="Times New Roman" w:eastAsia="Times New Roman" w:hAnsi="Times New Roman"/>
          <w:sz w:val="18"/>
          <w:szCs w:val="18"/>
          <w:color w:val="auto"/>
        </w:rPr>
        <w:t>A paradigm shift is occurring in healthcare as consumers are both increasingly informed and cost-conscious. According to the 2019 Alegeus Healthcare Consumerism Index, 70% of consumers are very focused on getting the best value for their money. We believe that allowing people to transact using more information than ever before will help Americans consume healthcare more efficiently. This can be accomplished by providing a healthcare platform that allows consumers to search a broad range of choices and offerings, discover what is best for them, transact based on their preferences, and receive the best price while doing so.</w:t>
      </w:r>
    </w:p>
    <w:p>
      <w:pPr>
        <w:spacing w:after="0" w:line="183" w:lineRule="exact"/>
        <w:rPr>
          <w:sz w:val="20"/>
          <w:szCs w:val="20"/>
          <w:color w:val="auto"/>
        </w:rPr>
      </w:pPr>
    </w:p>
    <w:p>
      <w:pPr>
        <w:jc w:val="both"/>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We believe this market opportunity is substantial and estimate the total addressable market, or TAM, for our current solutions to be approximately $800 billion. This includes a $524 billion prescription opportunity, inclusive of prescriptions that are written but not filled, a $30 billion pharmaceutical manufacturer solutions opportunity and a $250 billion telehealth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1056005</wp:posOffset>
            </wp:positionH>
            <wp:positionV relativeFrom="paragraph">
              <wp:posOffset>140970</wp:posOffset>
            </wp:positionV>
            <wp:extent cx="5038725" cy="28587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038725" cy="285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20"/>
          </w:cols>
          <w:pgMar w:left="320" w:top="454" w:right="5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Prescription Opportunity</w:t>
      </w:r>
    </w:p>
    <w:p>
      <w:pPr>
        <w:spacing w:after="0" w:line="118" w:lineRule="exact"/>
        <w:rPr>
          <w:sz w:val="20"/>
          <w:szCs w:val="20"/>
          <w:color w:val="auto"/>
        </w:rPr>
      </w:pPr>
    </w:p>
    <w:p>
      <w:pPr>
        <w:ind w:left="180" w:right="20" w:firstLine="436"/>
        <w:spacing w:after="0" w:line="250" w:lineRule="auto"/>
        <w:rPr>
          <w:sz w:val="20"/>
          <w:szCs w:val="20"/>
          <w:color w:val="auto"/>
        </w:rPr>
      </w:pPr>
      <w:r>
        <w:rPr>
          <w:rFonts w:ascii="Times New Roman" w:cs="Times New Roman" w:eastAsia="Times New Roman" w:hAnsi="Times New Roman"/>
          <w:sz w:val="18"/>
          <w:szCs w:val="18"/>
          <w:color w:val="auto"/>
        </w:rPr>
        <w:t>It is estimated that approximately 5.8 billion 30-day equivalent prescriptions are dispensed in the United States each year. We started our business with a focus on the U.S. prescriptions market, which is expected to reach approximately $360 billion in 2020 and is projected to grow 5.7% per year through 2028 according to CMS. This market does not include the value of prescriptions that are written but not filled, partly due to the cost to the consumer, and which we estimate to be up to $164 billion. Approximately 90% of the total prescription volume and 26% of prescription spending in the United States was for generic forms of medication in 2018, with the remainder being brand medications, or medications on patent, according to a report by the IQVIA Institute. Similar to the total prescription volume in the United States, the vast majority of the utilization of our platform relates to generic medications. We also enable consumers to save on brand medications. We believe that the prices available through our platform are highly competitive, for both insured and uninsured consumers, and our platform enables consumers to save on prescription medications regardless of whether the consumer is insured or not. The majority of our consumers are insured and, based on a survey that we conducted in July 2020, approximately 36%, 34%, 26% and 4% of our consumers had commercial insurance, Medicare, no insurance and Medicaid, respectively. The results of this July 2020 survey are consistent with our historical surveys. We believe we can drive significant growth in our prescription opportunity through our ability to continue to provide attractive prescription pricing to consumers.</w:t>
      </w:r>
    </w:p>
    <w:p>
      <w:pPr>
        <w:spacing w:after="0" w:line="2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Manufacturer Solutions Opportunity</w:t>
      </w:r>
    </w:p>
    <w:p>
      <w:pPr>
        <w:spacing w:after="0" w:line="118" w:lineRule="exact"/>
        <w:rPr>
          <w:sz w:val="20"/>
          <w:szCs w:val="20"/>
          <w:color w:val="auto"/>
        </w:rPr>
      </w:pPr>
    </w:p>
    <w:p>
      <w:pPr>
        <w:ind w:left="180" w:firstLine="436"/>
        <w:spacing w:after="0" w:line="250" w:lineRule="auto"/>
        <w:rPr>
          <w:sz w:val="20"/>
          <w:szCs w:val="20"/>
          <w:color w:val="auto"/>
        </w:rPr>
      </w:pPr>
      <w:r>
        <w:rPr>
          <w:rFonts w:ascii="Times New Roman" w:cs="Times New Roman" w:eastAsia="Times New Roman" w:hAnsi="Times New Roman"/>
          <w:sz w:val="18"/>
          <w:szCs w:val="18"/>
          <w:color w:val="auto"/>
        </w:rPr>
        <w:t>Approximately 20% of the searches on our platform are for brand medications. Brand medications tend to be expensive, and insurance coverage is complicated and may be restrictive. Pharmaceutical manufacturers provide affordability solutions, such as co-pay cards, patient assistance programs and other savings options, so that consumers can access their medications. We partner with pharmaceutical manufacturers to advertise and integrate these affordability solutions into our platform. We earn fees from the pharmaceutical manufacturers, largely from their advertising and market access budgets. Pharmaceutical manufacturers spent approximately $30 billion in 2016 on medical marketing and advertising in the United States alone, according to an article published in the Journal of the American Medical Association in 2019. This amount does not include other areas that our pharmaceutical manufacturer solutions address, such as the $13 billion of price reductions provided by pharmaceutical manufacturers to U.S. consumers in 2018 or other separate spending by pharmaceutical manufacturers on market access, which we believe further increases the estimate of our TAM. Revenue from our pharmaceutical manufacturer solutions offering has more than quadrupled in the first half of 2020, compared to the same period in 2019, and we expect to continue to grow this offering through further engagement with pharmaceutical manufacturers. We believe this offering can deliver incremental margin as we deploy these solutions across our existing base of consumers and visitors.</w:t>
      </w:r>
    </w:p>
    <w:p>
      <w:pPr>
        <w:spacing w:after="0" w:line="2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Telehealth Opportunity</w:t>
      </w:r>
    </w:p>
    <w:p>
      <w:pPr>
        <w:spacing w:after="0" w:line="118" w:lineRule="exact"/>
        <w:rPr>
          <w:sz w:val="20"/>
          <w:szCs w:val="20"/>
          <w:color w:val="auto"/>
        </w:rPr>
      </w:pPr>
    </w:p>
    <w:p>
      <w:pPr>
        <w:ind w:left="180" w:right="60" w:firstLine="436"/>
        <w:spacing w:after="0" w:line="250" w:lineRule="auto"/>
        <w:rPr>
          <w:sz w:val="20"/>
          <w:szCs w:val="20"/>
          <w:color w:val="auto"/>
        </w:rPr>
      </w:pPr>
      <w:r>
        <w:rPr>
          <w:rFonts w:ascii="Times New Roman" w:cs="Times New Roman" w:eastAsia="Times New Roman" w:hAnsi="Times New Roman"/>
          <w:sz w:val="18"/>
          <w:szCs w:val="18"/>
          <w:color w:val="auto"/>
        </w:rPr>
        <w:t>The telehealth market is a natural expansion of our platform. There are 800 million annual physician visits in the United States and an estimated $1.25 trillion will be spent on outpatient office and home health visits in 2020, of which an estimated $250 billion can be addressed via telehealth, according to a report by McKinsey &amp; Company. There is a growing consumer preference for on-demand services, which is rapidly changing how healthcare services are delivered. The COVID-19 pandemic has further accelerated the utilization of telehealth among consumers. According to a McKinsey &amp; Company report, only 11% of consumers used telehealth services in 2019, whereas 46% of consumers used telehealth to replace cancelled healthcare visits in April 2020. Further, the report stated 76% of consumers indicated they are now interested in using telehealth going forward. We believe that the addition of telehealth to our platform will increase consumer engagement and improve outcomes. Our data suggests that approximately 20% of consumers who search for medication on GoodRx do not have a prescription at the time of their search. Through HeyDoctor and the GoodRx Telehealth Marketplace, we can provide these and other consumers with a convenient and affordable way to receive a diagnosis and a prescription online, when medically appropriate, and we believe our telehealth offerings will enhance the accessibility of our prescription offering for these consumers. Our telehealth offerings have grown significantly</w:t>
      </w:r>
    </w:p>
    <w:p>
      <w:pPr>
        <w:spacing w:after="0" w:line="1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40"/>
          </w:cols>
          <w:pgMar w:left="320" w:top="454" w:right="5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100"/>
        <w:spacing w:after="0" w:line="251" w:lineRule="auto"/>
        <w:rPr>
          <w:sz w:val="20"/>
          <w:szCs w:val="20"/>
          <w:color w:val="auto"/>
        </w:rPr>
      </w:pPr>
      <w:r>
        <w:rPr>
          <w:rFonts w:ascii="Times New Roman" w:cs="Times New Roman" w:eastAsia="Times New Roman" w:hAnsi="Times New Roman"/>
          <w:sz w:val="18"/>
          <w:szCs w:val="18"/>
          <w:color w:val="auto"/>
        </w:rPr>
        <w:t>since launch, and an average of more than 1,000 consumers per day completed online visits using HeyDoctor in the second quarter of 2020, driven in part by the impact of COVID-19. Additionally, since launching the GoodRx Telehealth Marketplace in March 2020, approximately one million consumers have visited the marketplace and more than 200,000 medical visits and lab tests have been initiated. We expect that the recent launch of our service that allows HeyDoctor consumers to opt in to use our prescription offering for their prescriptions, and the launch of HeyDoctor’s mail order service, where prescriptions are processed by a third-party partner and consumers receive their medication by mail, will increase the number of consumers who use our platform to fill their prescriptions. We have also partnered with some of the telehealth providers in the GoodRx Telehealth Marketplace to enable consumers to opt in to use our prescription offering for their prescription needs after they complete their online visit. The introduction of these integrated solutions and the addition of mail order provides our consumers with additional value and convenience in their healthcare journey, and adds monetization opportunities for us after consumers visit a healthcare professional online.</w:t>
      </w:r>
    </w:p>
    <w:p>
      <w:pPr>
        <w:spacing w:after="0" w:line="2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Our Value Proposition</w:t>
      </w:r>
    </w:p>
    <w:p>
      <w:pPr>
        <w:spacing w:after="0" w:line="118" w:lineRule="exact"/>
        <w:rPr>
          <w:sz w:val="20"/>
          <w:szCs w:val="20"/>
          <w:color w:val="auto"/>
        </w:rPr>
      </w:pPr>
    </w:p>
    <w:p>
      <w:pPr>
        <w:ind w:left="180" w:firstLine="436"/>
        <w:spacing w:after="0" w:line="255" w:lineRule="auto"/>
        <w:rPr>
          <w:sz w:val="20"/>
          <w:szCs w:val="20"/>
          <w:color w:val="auto"/>
        </w:rPr>
      </w:pPr>
      <w:r>
        <w:rPr>
          <w:rFonts w:ascii="Times New Roman" w:cs="Times New Roman" w:eastAsia="Times New Roman" w:hAnsi="Times New Roman"/>
          <w:sz w:val="18"/>
          <w:szCs w:val="18"/>
          <w:color w:val="auto"/>
        </w:rPr>
        <w:t>GoodRx was founded to provide consumers with solutions to the complexity, affordability and transparency challenges American healthcare presents. These challenges can reduce medication adherence and can have severe, broad-ranging impacts on both the health and financial well-being of Americans. Our platform helps to improve the lives of individuals by providing them with easy access to affordable healthcare. In addition to reducing the costs of healthcare for consumers, we believe that our platform can drive greater medication adherence, faster treatment and better patient outcomes, all of which can create a healthier, happier population.</w:t>
      </w:r>
    </w:p>
    <w:p>
      <w:pPr>
        <w:spacing w:after="0" w:line="183" w:lineRule="exact"/>
        <w:rPr>
          <w:sz w:val="20"/>
          <w:szCs w:val="20"/>
          <w:color w:val="auto"/>
        </w:rPr>
      </w:pPr>
    </w:p>
    <w:p>
      <w:pPr>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We positively impact many key stakeholders in the healthcare ecosystem. Benefits to participants in the broader healthcare ecosystem include: achieving better outcomes by increasing medical adherence; providing timely access to preventative care to reduce the strain on hospitals and emergency departments; increasing access to affordable prescriptions that otherwise may not have been filled; and enhancing consumer satisfaction. We believe that consumers, healthcare providers, PBMs, pharmacies, pharmaceutical manufacturers and telehealth providers all win with GoodRx. This, in turn, can drive beneficial and self-reinforcing network effects.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value proposition by stakeholder is described below:</w:t>
      </w:r>
    </w:p>
    <w:p>
      <w:pPr>
        <w:spacing w:after="0" w:line="123" w:lineRule="exact"/>
        <w:rPr>
          <w:sz w:val="20"/>
          <w:szCs w:val="20"/>
          <w:color w:val="auto"/>
        </w:rPr>
      </w:pPr>
    </w:p>
    <w:p>
      <w:pPr>
        <w:ind w:left="1140" w:right="20" w:hanging="432"/>
        <w:spacing w:after="0" w:line="270" w:lineRule="auto"/>
        <w:tabs>
          <w:tab w:leader="none" w:pos="11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Consumers: </w:t>
      </w:r>
      <w:r>
        <w:rPr>
          <w:rFonts w:ascii="Times New Roman" w:cs="Times New Roman" w:eastAsia="Times New Roman" w:hAnsi="Times New Roman"/>
          <w:sz w:val="17"/>
          <w:szCs w:val="17"/>
          <w:color w:val="auto"/>
        </w:rPr>
        <w:t>Our platform provides consumers with a variety of mobile-first offerings designed to make their access to healthcare simple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more affordable. We help people fill prescriptions that they may otherwise not have filled due to cost, and enable them to access treatments through telehealth that they may otherwise have delayed due to long wait times for in-person visits. These solutions increase medication adherence, reduce strain on hospital emergency departments and physicians, and improve health outcomes. For example, our research suggests that when consumers use our prescription offering, they are 50-70% more likely to afford and fill a prescription and thus follow through with their prescribed treatment plan. The value that consumers ascribe to our platform is demonstrated by our high NPS of 90 according to a survey that we conducted in February 2020, which exceeds that of many other well-regarded consumer-centric brands.</w:t>
      </w:r>
    </w:p>
    <w:p>
      <w:pPr>
        <w:spacing w:after="0" w:line="80" w:lineRule="exact"/>
        <w:rPr>
          <w:rFonts w:ascii="Times New Roman" w:cs="Times New Roman" w:eastAsia="Times New Roman" w:hAnsi="Times New Roman"/>
          <w:sz w:val="17"/>
          <w:szCs w:val="17"/>
          <w:color w:val="auto"/>
        </w:rPr>
      </w:pPr>
    </w:p>
    <w:p>
      <w:pPr>
        <w:ind w:left="1580" w:right="220" w:hanging="324"/>
        <w:spacing w:after="0" w:line="277" w:lineRule="auto"/>
        <w:tabs>
          <w:tab w:leader="none" w:pos="158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prescription offering provides curated, geographically relevant price comparisons and negotiated prices on prescriptions that have generated an estimated $20 billion of cumulative savings to our consumers through June 30, 2020. Our negotiated prices for prescriptions are often cheaper than insurance co-pays and, in a survey that we conducted in July 2020, approximately 74% of respondents reported that they were insured. Access to discounted prices is free for consumers through our platform.</w:t>
      </w:r>
    </w:p>
    <w:p>
      <w:pPr>
        <w:spacing w:after="0" w:line="72" w:lineRule="exact"/>
        <w:rPr>
          <w:rFonts w:ascii="Times New Roman" w:cs="Times New Roman" w:eastAsia="Times New Roman" w:hAnsi="Times New Roman"/>
          <w:sz w:val="17"/>
          <w:szCs w:val="17"/>
          <w:color w:val="auto"/>
        </w:rPr>
      </w:pPr>
    </w:p>
    <w:p>
      <w:pPr>
        <w:ind w:left="1580" w:right="60" w:hanging="324"/>
        <w:spacing w:after="0" w:line="277" w:lineRule="auto"/>
        <w:tabs>
          <w:tab w:leader="none" w:pos="15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subscription offerings provide consumers and their families with access to even lower prescription prices on select medications in select pharmacies for a monthly or annual subscription fee.</w:t>
      </w:r>
    </w:p>
    <w:p>
      <w:pPr>
        <w:spacing w:after="0" w:line="96" w:lineRule="exact"/>
        <w:rPr>
          <w:rFonts w:ascii="Times New Roman" w:cs="Times New Roman" w:eastAsia="Times New Roman" w:hAnsi="Times New Roman"/>
          <w:sz w:val="18"/>
          <w:szCs w:val="18"/>
          <w:color w:val="auto"/>
        </w:rPr>
      </w:pPr>
    </w:p>
    <w:p>
      <w:pPr>
        <w:ind w:left="5500" w:hanging="113"/>
        <w:spacing w:after="0"/>
        <w:tabs>
          <w:tab w:leader="none" w:pos="550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w:t>
      </w:r>
    </w:p>
    <w:p>
      <w:pPr>
        <w:sectPr>
          <w:pgSz w:w="11900" w:h="16838" w:orient="portrait"/>
          <w:cols w:equalWidth="0" w:num="1">
            <w:col w:w="11020"/>
          </w:cols>
          <w:pgMar w:left="320" w:top="454" w:right="5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580" w:right="680" w:hanging="324"/>
        <w:spacing w:after="0" w:line="308" w:lineRule="auto"/>
        <w:tabs>
          <w:tab w:leader="none" w:pos="158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pharmaceutical manufacturer solutions offering provides advertising and integrated consumer affordability solutions to pharmaceutical manufacturers with the goal of improving access to and affordability of brand medications for consumers.</w:t>
      </w:r>
    </w:p>
    <w:p>
      <w:pPr>
        <w:spacing w:after="0" w:line="45" w:lineRule="exact"/>
        <w:rPr>
          <w:rFonts w:ascii="Times New Roman" w:cs="Times New Roman" w:eastAsia="Times New Roman" w:hAnsi="Times New Roman"/>
          <w:sz w:val="17"/>
          <w:szCs w:val="17"/>
          <w:color w:val="auto"/>
        </w:rPr>
      </w:pPr>
    </w:p>
    <w:p>
      <w:pPr>
        <w:ind w:left="1580" w:right="400" w:hanging="324"/>
        <w:spacing w:after="0" w:line="277" w:lineRule="auto"/>
        <w:tabs>
          <w:tab w:leader="none" w:pos="15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telehealth offerings provide access to online doctor visits, lab test providers and a marketplace of recommended third-party telehealth providers for over 150 medical conditions.</w:t>
      </w:r>
    </w:p>
    <w:p>
      <w:pPr>
        <w:spacing w:after="0" w:line="69" w:lineRule="exact"/>
        <w:rPr>
          <w:rFonts w:ascii="Times New Roman" w:cs="Times New Roman" w:eastAsia="Times New Roman" w:hAnsi="Times New Roman"/>
          <w:sz w:val="18"/>
          <w:szCs w:val="18"/>
          <w:color w:val="auto"/>
        </w:rPr>
      </w:pPr>
    </w:p>
    <w:p>
      <w:pPr>
        <w:ind w:left="1580" w:right="280" w:hanging="324"/>
        <w:spacing w:after="0" w:line="262" w:lineRule="auto"/>
        <w:tabs>
          <w:tab w:leader="none" w:pos="15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provides educational resources to help inform consumers about their healthcare. We provide consumers with expert medication information, as well as pricing and coverage information made possible through our robust data sources and staff of experienced researchers.</w:t>
      </w:r>
    </w:p>
    <w:p>
      <w:pPr>
        <w:spacing w:after="0" w:line="79" w:lineRule="exact"/>
        <w:rPr>
          <w:rFonts w:ascii="Times New Roman" w:cs="Times New Roman" w:eastAsia="Times New Roman" w:hAnsi="Times New Roman"/>
          <w:sz w:val="18"/>
          <w:szCs w:val="18"/>
          <w:color w:val="auto"/>
        </w:rPr>
      </w:pPr>
    </w:p>
    <w:p>
      <w:pPr>
        <w:ind w:left="1140" w:right="60" w:hanging="432"/>
        <w:spacing w:after="0" w:line="254"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Healthcare Professionals: </w:t>
      </w:r>
      <w:r>
        <w:rPr>
          <w:rFonts w:ascii="Times New Roman" w:cs="Times New Roman" w:eastAsia="Times New Roman" w:hAnsi="Times New Roman"/>
          <w:sz w:val="18"/>
          <w:szCs w:val="18"/>
          <w:color w:val="auto"/>
        </w:rPr>
        <w:t>Physicians and other healthcare professionals are motivated to help patients, and, increasingly, are judged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 outcomes. We help these healthcare professionals improve patient outcomes by encouraging medication adherence and providing a consumer-friendly service. Based on a survey that we conducted in February 2020, approximately 17% of our website visitors are healthcare professionals. Our NPS score among healthcare professionals who use our platform was 86 as of February 2020, and over</w:t>
      </w:r>
    </w:p>
    <w:p>
      <w:pPr>
        <w:spacing w:after="0" w:line="1" w:lineRule="exact"/>
        <w:rPr>
          <w:rFonts w:ascii="Times New Roman" w:cs="Times New Roman" w:eastAsia="Times New Roman" w:hAnsi="Times New Roman"/>
          <w:sz w:val="18"/>
          <w:szCs w:val="18"/>
          <w:color w:val="auto"/>
        </w:rPr>
      </w:pPr>
    </w:p>
    <w:p>
      <w:pPr>
        <w:ind w:left="1140" w:right="16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prescribers have a patient who has used GoodRx. We are able to integrate our pricing information and GoodRx codes directly into EHR systems, enabling healthcare professionals to provide prices from our platform directly to their patients at the point of prescribing, including via EHR-sent text messages and emails. We help physicians engage with patients both directly through HeyDoctor and indirectly by providing healthcare professionals who engage in telehealth the ability to list their services on our GoodRx Telehealth Marketplace</w:t>
      </w:r>
    </w:p>
    <w:p>
      <w:pPr>
        <w:spacing w:after="0" w:line="92" w:lineRule="exact"/>
        <w:rPr>
          <w:rFonts w:ascii="Times New Roman" w:cs="Times New Roman" w:eastAsia="Times New Roman" w:hAnsi="Times New Roman"/>
          <w:sz w:val="18"/>
          <w:szCs w:val="18"/>
          <w:color w:val="auto"/>
        </w:rPr>
      </w:pPr>
    </w:p>
    <w:p>
      <w:pPr>
        <w:ind w:left="1140" w:right="80" w:hanging="432"/>
        <w:spacing w:after="0" w:line="256"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Healthcare Companies: </w:t>
      </w:r>
      <w:r>
        <w:rPr>
          <w:rFonts w:ascii="Times New Roman" w:cs="Times New Roman" w:eastAsia="Times New Roman" w:hAnsi="Times New Roman"/>
          <w:sz w:val="18"/>
          <w:szCs w:val="18"/>
          <w:color w:val="auto"/>
        </w:rPr>
        <w:t>PBMs, pharmacies, pharmaceutical manufacturers and telehealth providers use our platform to reach and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affordability solutions to consumers. We play a valuable role within the healthcare ecosystem by aggregating, normalizing, and presenting information from all of these constituents on a single platform for the consumer. Through the deep relationships that we have developed with these stakeholders over many years, we are able to continually improve our offerings and achieve better pricing outcomes for consumers.</w:t>
      </w:r>
    </w:p>
    <w:p>
      <w:pPr>
        <w:spacing w:after="0" w:line="86" w:lineRule="exact"/>
        <w:rPr>
          <w:rFonts w:ascii="Times New Roman" w:cs="Times New Roman" w:eastAsia="Times New Roman" w:hAnsi="Times New Roman"/>
          <w:sz w:val="18"/>
          <w:szCs w:val="18"/>
          <w:color w:val="auto"/>
        </w:rPr>
      </w:pPr>
    </w:p>
    <w:p>
      <w:pPr>
        <w:ind w:left="1580" w:hanging="324"/>
        <w:spacing w:after="0" w:line="251" w:lineRule="auto"/>
        <w:tabs>
          <w:tab w:leader="none" w:pos="15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Pharmacy Benefit Managers: </w:t>
      </w:r>
      <w:r>
        <w:rPr>
          <w:rFonts w:ascii="Times New Roman" w:cs="Times New Roman" w:eastAsia="Times New Roman" w:hAnsi="Times New Roman"/>
          <w:sz w:val="18"/>
          <w:szCs w:val="18"/>
          <w:color w:val="auto"/>
        </w:rPr>
        <w:t>PBMs aggregate consumer demand to negotiate prescription medication prices with pharmacies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manufacturers. PBMs aggregate most of their demand through relationships with insurance companies and employers. However, nearly all PBMs also have consumer direct or cash network pricing that they negotiate with pharmacies for consumers who choose to purchase prescriptions outside of insurance. We provide a platform through which PBMs can drive incremental volume to these networks by offering their discounted prices to our consumers. We expand the market for PBMs by increasing their cash network transaction volumes and by adding new consumers to the overall prescriptions market, many of whom, both insured and uninsured, would otherwise not fill their prescriptions because of high deductibles or prices. For many of our PBM partners, we are their only significant direct-to-consumer channel. To date, we have retained all of our PBM partners, which highlights the strength of our relationships alongside the value we deliver.</w:t>
      </w:r>
    </w:p>
    <w:p>
      <w:pPr>
        <w:spacing w:after="0" w:line="95" w:lineRule="exact"/>
        <w:rPr>
          <w:rFonts w:ascii="Times New Roman" w:cs="Times New Roman" w:eastAsia="Times New Roman" w:hAnsi="Times New Roman"/>
          <w:sz w:val="18"/>
          <w:szCs w:val="18"/>
          <w:color w:val="auto"/>
        </w:rPr>
      </w:pPr>
    </w:p>
    <w:p>
      <w:pPr>
        <w:ind w:left="1580" w:hanging="324"/>
        <w:spacing w:after="0" w:line="251" w:lineRule="auto"/>
        <w:tabs>
          <w:tab w:leader="none" w:pos="15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Pharmacies: </w:t>
      </w:r>
      <w:r>
        <w:rPr>
          <w:rFonts w:ascii="Times New Roman" w:cs="Times New Roman" w:eastAsia="Times New Roman" w:hAnsi="Times New Roman"/>
          <w:sz w:val="18"/>
          <w:szCs w:val="18"/>
          <w:color w:val="auto"/>
        </w:rPr>
        <w:t>With GoodRx, pharmacies can reduce ‘walk away’ patients and prescriptions abandoned at the counter due to high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and can also increase overall sales through additional foot-traffic. It is estimated that 20% to 30% of prescriptions written are not filled, with cost being among the leading reasons. A survey that we commissioned from Lab42 Research LLC in July 2020 found that 51% of consumers picking up a prescription usually also purchase a secondary non-pharmacy item, with more than half of those consumers reporting that they spent between $11-$30 additional dollars. We work with pharmacies on integrated technology and marketing programs to help them attract pharmacy customers. For example, we partner with Kroger, the fourth largest retail pharmacy in the United States, to provide a tailored co-branded subscription product, Kroger Rx Savings Club powered by GoodRx. We work closely with pharmacies to ensure that pharmacists are educated on how to use our apps and websites, and know how to apply</w:t>
      </w:r>
    </w:p>
    <w:p>
      <w:pPr>
        <w:spacing w:after="0" w:line="124" w:lineRule="exact"/>
        <w:rPr>
          <w:rFonts w:ascii="Times New Roman" w:cs="Times New Roman" w:eastAsia="Times New Roman" w:hAnsi="Times New Roman"/>
          <w:sz w:val="18"/>
          <w:szCs w:val="18"/>
          <w:color w:val="auto"/>
        </w:rPr>
      </w:pPr>
    </w:p>
    <w:p>
      <w:pPr>
        <w:ind w:left="5500" w:hanging="113"/>
        <w:spacing w:after="0"/>
        <w:tabs>
          <w:tab w:leader="none" w:pos="550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126 -</w:t>
      </w:r>
    </w:p>
    <w:p>
      <w:pPr>
        <w:sectPr>
          <w:pgSz w:w="11900" w:h="16838" w:orient="portrait"/>
          <w:cols w:equalWidth="0" w:num="1">
            <w:col w:w="11060"/>
          </w:cols>
          <w:pgMar w:left="320" w:top="454" w:right="51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580" w:right="420"/>
        <w:spacing w:after="0" w:line="277" w:lineRule="auto"/>
        <w:rPr>
          <w:sz w:val="20"/>
          <w:szCs w:val="20"/>
          <w:color w:val="auto"/>
        </w:rPr>
      </w:pPr>
      <w:r>
        <w:rPr>
          <w:rFonts w:ascii="Times New Roman" w:cs="Times New Roman" w:eastAsia="Times New Roman" w:hAnsi="Times New Roman"/>
          <w:sz w:val="18"/>
          <w:szCs w:val="18"/>
          <w:color w:val="auto"/>
        </w:rPr>
        <w:t>GoodRx codes at the point of sale. Consumers can use GoodRx at over 70,000 pharmacies, nearly every retail pharmacy in the United States.</w:t>
      </w:r>
    </w:p>
    <w:p>
      <w:pPr>
        <w:spacing w:after="0" w:line="68" w:lineRule="exact"/>
        <w:rPr>
          <w:sz w:val="20"/>
          <w:szCs w:val="20"/>
          <w:color w:val="auto"/>
        </w:rPr>
      </w:pPr>
    </w:p>
    <w:p>
      <w:pPr>
        <w:ind w:left="1580" w:hanging="324"/>
        <w:spacing w:after="0" w:line="258" w:lineRule="auto"/>
        <w:tabs>
          <w:tab w:leader="none" w:pos="1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Pharmaceutical Manufacturers: </w:t>
      </w:r>
      <w:r>
        <w:rPr>
          <w:rFonts w:ascii="Times New Roman" w:cs="Times New Roman" w:eastAsia="Times New Roman" w:hAnsi="Times New Roman"/>
          <w:sz w:val="18"/>
          <w:szCs w:val="18"/>
          <w:color w:val="auto"/>
        </w:rPr>
        <w:t>Brand medications tend to be more expensive than generics, and insurance coverage is complicated.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GoodRx works with pharmaceutical manufacturers to advertise, integrate and enhance consumer awareness and uptake of their various savings solutions for brand medications, increasing the likelihood that a consumer will start or continue to take their prescribed medication.</w:t>
      </w:r>
    </w:p>
    <w:p>
      <w:pPr>
        <w:spacing w:after="0" w:line="85" w:lineRule="exact"/>
        <w:rPr>
          <w:rFonts w:ascii="Times New Roman" w:cs="Times New Roman" w:eastAsia="Times New Roman" w:hAnsi="Times New Roman"/>
          <w:sz w:val="18"/>
          <w:szCs w:val="18"/>
          <w:color w:val="auto"/>
        </w:rPr>
      </w:pPr>
    </w:p>
    <w:p>
      <w:pPr>
        <w:ind w:left="1580" w:right="220" w:hanging="324"/>
        <w:spacing w:after="0" w:line="263" w:lineRule="auto"/>
        <w:tabs>
          <w:tab w:leader="none" w:pos="1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Telehealth Providers: </w:t>
      </w:r>
      <w:r>
        <w:rPr>
          <w:rFonts w:ascii="Times New Roman" w:cs="Times New Roman" w:eastAsia="Times New Roman" w:hAnsi="Times New Roman"/>
          <w:sz w:val="18"/>
          <w:szCs w:val="18"/>
          <w:color w:val="auto"/>
        </w:rPr>
        <w:t>In addition to operating our own telehealth provider, HeyDoctor, we partner with select telehealth providers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our GoodRx Telehealth Marketplace. We display their prices and services on the marketplace section of our apps and websites, driving incremental traffic for them.</w:t>
      </w: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How Our Business Works</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Prescription Offering</w:t>
      </w:r>
    </w:p>
    <w:p>
      <w:pPr>
        <w:spacing w:after="0" w:line="118" w:lineRule="exact"/>
        <w:rPr>
          <w:sz w:val="20"/>
          <w:szCs w:val="20"/>
          <w:color w:val="auto"/>
        </w:rPr>
      </w:pPr>
    </w:p>
    <w:p>
      <w:pPr>
        <w:ind w:left="180" w:right="40" w:firstLine="436"/>
        <w:spacing w:after="0" w:line="252" w:lineRule="auto"/>
        <w:rPr>
          <w:sz w:val="20"/>
          <w:szCs w:val="20"/>
          <w:color w:val="auto"/>
        </w:rPr>
      </w:pPr>
      <w:r>
        <w:rPr>
          <w:rFonts w:ascii="Times New Roman" w:cs="Times New Roman" w:eastAsia="Times New Roman" w:hAnsi="Times New Roman"/>
          <w:sz w:val="18"/>
          <w:szCs w:val="18"/>
          <w:color w:val="auto"/>
        </w:rPr>
        <w:t>Over the past nine years, we have built a vast network of relationships, contracts and integrations with key stakeholders in the healthcare industry. Our proprietary technology enables us to aggregate over 150 billion prescription pricing data points every day from sources spanning the healthcare industry. We structure and normalize the presentation of the data to give consumers curated, geographically relevant pricing information that is accessible through our apps or websites for free. By normalize, we refer to a process of taking the various different pricing methodologies and medication lists from each of our sources, and homogenizing the presentation of this data so that prices are directly comparable. Consumers can choose the lowest price from a selection of nearby pharmacies, save a GoodRx code to their mobile device for free and present that code at their pharmacy to access that low price. In 2019 and in the first half of 2020, we provided consumers with an average discount to the list price of more than 70%. The typical consumer savings process can be summed up in three easy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146050</wp:posOffset>
            </wp:positionV>
            <wp:extent cx="1204595" cy="18834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04595" cy="1883410"/>
                    </a:xfrm>
                    <a:prstGeom prst="rect">
                      <a:avLst/>
                    </a:prstGeom>
                    <a:noFill/>
                  </pic:spPr>
                </pic:pic>
              </a:graphicData>
            </a:graphic>
          </wp:anchor>
        </w:drawing>
        <w:drawing>
          <wp:anchor simplePos="0" relativeHeight="251657728" behindDoc="1" locked="0" layoutInCell="0" allowOverlap="1">
            <wp:simplePos x="0" y="0"/>
            <wp:positionH relativeFrom="column">
              <wp:posOffset>3007360</wp:posOffset>
            </wp:positionH>
            <wp:positionV relativeFrom="paragraph">
              <wp:posOffset>146050</wp:posOffset>
            </wp:positionV>
            <wp:extent cx="1204595" cy="18999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04595" cy="1899920"/>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146050</wp:posOffset>
            </wp:positionV>
            <wp:extent cx="1204595" cy="18834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04595" cy="1883410"/>
                    </a:xfrm>
                    <a:prstGeom prst="rect">
                      <a:avLst/>
                    </a:prstGeom>
                    <a:noFill/>
                  </pic:spPr>
                </pic:pic>
              </a:graphicData>
            </a:graphic>
          </wp:anchor>
        </w:drawing>
      </w:r>
    </w:p>
    <w:p>
      <w:pPr>
        <w:sectPr>
          <w:pgSz w:w="11900" w:h="16838" w:orient="portrait"/>
          <w:cols w:equalWidth="0" w:num="1">
            <w:col w:w="11040"/>
          </w:cols>
          <w:pgMar w:left="320" w:top="454"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660"/>
        <w:spacing w:after="0"/>
        <w:rPr>
          <w:sz w:val="20"/>
          <w:szCs w:val="20"/>
          <w:color w:val="auto"/>
        </w:rPr>
      </w:pPr>
      <w:r>
        <w:rPr>
          <w:rFonts w:ascii="Arial" w:cs="Arial" w:eastAsia="Arial" w:hAnsi="Arial"/>
          <w:sz w:val="9"/>
          <w:szCs w:val="9"/>
          <w:color w:val="auto"/>
        </w:rPr>
        <w:t>Search By Prescription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20"/>
        <w:spacing w:after="0"/>
        <w:rPr>
          <w:sz w:val="20"/>
          <w:szCs w:val="20"/>
          <w:color w:val="auto"/>
        </w:rPr>
      </w:pPr>
      <w:r>
        <w:rPr>
          <w:rFonts w:ascii="Arial" w:cs="Arial" w:eastAsia="Arial" w:hAnsi="Arial"/>
          <w:sz w:val="9"/>
          <w:szCs w:val="9"/>
          <w:color w:val="auto"/>
        </w:rPr>
        <w:t>Price Discovery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880"/>
        <w:spacing w:after="0"/>
        <w:rPr>
          <w:sz w:val="20"/>
          <w:szCs w:val="20"/>
          <w:color w:val="auto"/>
        </w:rPr>
      </w:pPr>
      <w:r>
        <w:rPr>
          <w:rFonts w:ascii="Arial" w:cs="Arial" w:eastAsia="Arial" w:hAnsi="Arial"/>
          <w:sz w:val="9"/>
          <w:szCs w:val="9"/>
          <w:color w:val="auto"/>
        </w:rPr>
        <w:t>Present GoodRx At Pharmacy</w:t>
      </w:r>
    </w:p>
    <w:p>
      <w:pPr>
        <w:spacing w:after="0" w:line="27" w:lineRule="exact"/>
        <w:rPr>
          <w:sz w:val="20"/>
          <w:szCs w:val="20"/>
          <w:color w:val="auto"/>
        </w:rPr>
      </w:pPr>
    </w:p>
    <w:p>
      <w:pPr>
        <w:jc w:val="center"/>
        <w:ind w:right="880"/>
        <w:spacing w:after="0"/>
        <w:rPr>
          <w:sz w:val="20"/>
          <w:szCs w:val="20"/>
          <w:color w:val="auto"/>
        </w:rPr>
      </w:pPr>
      <w:r>
        <w:rPr>
          <w:rFonts w:ascii="Arial" w:cs="Arial" w:eastAsia="Arial" w:hAnsi="Arial"/>
          <w:sz w:val="10"/>
          <w:szCs w:val="10"/>
          <w:color w:val="auto"/>
        </w:rPr>
        <w:t>For Discounted Price</w:t>
      </w:r>
    </w:p>
    <w:p>
      <w:pPr>
        <w:spacing w:after="0" w:line="104" w:lineRule="exact"/>
        <w:rPr>
          <w:sz w:val="20"/>
          <w:szCs w:val="20"/>
          <w:color w:val="auto"/>
        </w:rPr>
      </w:pPr>
    </w:p>
    <w:p>
      <w:pPr>
        <w:sectPr>
          <w:pgSz w:w="11900" w:h="16838" w:orient="portrait"/>
          <w:cols w:equalWidth="0" w:num="3">
            <w:col w:w="4800" w:space="720"/>
            <w:col w:w="2600" w:space="720"/>
            <w:col w:w="2200"/>
          </w:cols>
          <w:pgMar w:left="320" w:top="454" w:right="539" w:bottom="1440" w:gutter="0" w:footer="0" w:header="0"/>
          <w:type w:val="continuous"/>
        </w:sectPr>
      </w:pPr>
    </w:p>
    <w:p>
      <w:pPr>
        <w:ind w:left="180" w:right="80" w:firstLine="436"/>
        <w:spacing w:after="0" w:line="253" w:lineRule="auto"/>
        <w:rPr>
          <w:sz w:val="20"/>
          <w:szCs w:val="20"/>
          <w:color w:val="auto"/>
        </w:rPr>
      </w:pPr>
      <w:r>
        <w:rPr>
          <w:rFonts w:ascii="Times New Roman" w:cs="Times New Roman" w:eastAsia="Times New Roman" w:hAnsi="Times New Roman"/>
          <w:sz w:val="18"/>
          <w:szCs w:val="18"/>
          <w:color w:val="auto"/>
        </w:rPr>
        <w:t>Once a consumer has used a GoodRx code from our platform to purchase a prescription, that code is recorded in the pharmacy’s database and the consumer is not required to present their GoodRx code again for subsequent prescription refills, or, in many cases, for additional prescriptions that the consumer purchases at that pharmacy. We earn revenue upon the initial usage of the GoodRx code when the consumer realizes savings compared to the list price at the pharmacy, and we continue to earn revenue when the consumer returns to the pharmacy for refills and new prescriptions. This results in high and increasing repeat activity, which refers to the second and later use of our discounted prices by a single GoodRx consumer, on our platform. Since 2016, over 80% of transactions for our</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40"/>
          </w:cols>
          <w:pgMar w:left="320" w:top="454" w:right="539" w:bottom="1440" w:gutter="0" w:footer="0" w:header="0"/>
          <w:type w:val="continuous"/>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120"/>
        <w:spacing w:after="0" w:line="277" w:lineRule="auto"/>
        <w:rPr>
          <w:sz w:val="20"/>
          <w:szCs w:val="20"/>
          <w:color w:val="auto"/>
        </w:rPr>
      </w:pPr>
      <w:r>
        <w:rPr>
          <w:rFonts w:ascii="Times New Roman" w:cs="Times New Roman" w:eastAsia="Times New Roman" w:hAnsi="Times New Roman"/>
          <w:sz w:val="18"/>
          <w:szCs w:val="18"/>
          <w:color w:val="auto"/>
        </w:rPr>
        <w:t>prescription offering have come from repeat activity. We track prices and update our database on a daily basis, which helps ensure that consumers have access to accurate prescription pricing.</w:t>
      </w:r>
    </w:p>
    <w:p>
      <w:pPr>
        <w:spacing w:after="0" w:line="163" w:lineRule="exact"/>
        <w:rPr>
          <w:sz w:val="20"/>
          <w:szCs w:val="20"/>
          <w:color w:val="auto"/>
        </w:rPr>
      </w:pPr>
    </w:p>
    <w:p>
      <w:pPr>
        <w:ind w:left="180" w:right="120" w:firstLine="436"/>
        <w:spacing w:after="0" w:line="257" w:lineRule="auto"/>
        <w:rPr>
          <w:sz w:val="20"/>
          <w:szCs w:val="20"/>
          <w:color w:val="auto"/>
        </w:rPr>
      </w:pPr>
      <w:r>
        <w:rPr>
          <w:rFonts w:ascii="Times New Roman" w:cs="Times New Roman" w:eastAsia="Times New Roman" w:hAnsi="Times New Roman"/>
          <w:sz w:val="18"/>
          <w:szCs w:val="18"/>
          <w:color w:val="auto"/>
        </w:rPr>
        <w:t>Our pricing sources span the healthcare industry and include PBMs, pharmacies, pharmaceutical manufacturers, patient assistance programs, and others, making it difficult to replicate the data we possess and share with consumers. We believe it is important to work with as many of the key stakeholders of the healthcare industry as possible in order to increase the affordability options for our consumers. Our broad set of long-term relationships across the industry, combined with our proprietary platform, allows us to present highly competitive prices to consumers.</w:t>
      </w:r>
    </w:p>
    <w:p>
      <w:pPr>
        <w:spacing w:after="0" w:line="182" w:lineRule="exact"/>
        <w:rPr>
          <w:sz w:val="20"/>
          <w:szCs w:val="20"/>
          <w:color w:val="auto"/>
        </w:rPr>
      </w:pPr>
    </w:p>
    <w:p>
      <w:pPr>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PBMs are the most common source of pricing information and are the source of the majority of our revenue from prescriptions. Our proprietary technology enables us to combine prices from multiple PBMs and other industry sources and display it on a single consumer interface. We believe that we maintain the largest database of aggregated pricing information across PBMs in the United States. When a transaction occurs in which one of our consumers fills a prescription and saves compared to the list price using a GoodRx code, the PBM receives a portion of the price that the consumer paid. We receive a percentage of this amount or a fixed payment from the PBM as compensation for directing the consumer to that PBM’s pricing and the pharmacy.</w:t>
      </w:r>
    </w:p>
    <w:p>
      <w:pPr>
        <w:spacing w:after="0" w:line="187" w:lineRule="exact"/>
        <w:rPr>
          <w:sz w:val="20"/>
          <w:szCs w:val="20"/>
          <w:color w:val="auto"/>
        </w:rPr>
      </w:pPr>
    </w:p>
    <w:p>
      <w:pPr>
        <w:ind w:left="180" w:right="20" w:firstLine="436"/>
        <w:spacing w:after="0" w:line="250" w:lineRule="auto"/>
        <w:rPr>
          <w:sz w:val="20"/>
          <w:szCs w:val="20"/>
          <w:color w:val="auto"/>
        </w:rPr>
      </w:pPr>
      <w:r>
        <w:rPr>
          <w:rFonts w:ascii="Times New Roman" w:cs="Times New Roman" w:eastAsia="Times New Roman" w:hAnsi="Times New Roman"/>
          <w:sz w:val="18"/>
          <w:szCs w:val="18"/>
          <w:color w:val="auto"/>
        </w:rPr>
        <w:t>As we help more consumers save money on their medications and drive additional traffic through various PBMs, we increase our scale, which over time leads to lower prices for our consumers. We have steadily increased the number of PBMs with which we work over time. To date, a PBM has never terminated a relationship with us. Even if a contract with a PBM were to be terminated, many of our contracts require the PBM to continue to pay us for activity by consumers originally directed to their pricing by us, even subsequent to the contract termination. The ongoing payment obligation can continue for so long as the underlying PBM-specific pricing is used, or for certain partners, for a specified multi-year period, depending on the terms of our contract with the PBM. Throughout our history, we have been able to help our consumers realize increased savings. PBM mix and relative share on our platform has varied over time as we have added new PBMs and as certain PBMs have delivered more or less favorable pricing relative to other PBMs. Even as the mix has changed, we have continued to grow and deliver a strong value proposition to our consumers. We believe that our sources of pricing are sufficiently broad and robust that the loss of any one PBM or other healthcare partner would generally result in minimal disruption in our ability to provide competitive discounts and pricing. Although the majority of our pricing information comes from PBMs, we also collect pricing data points from other sources in order to help save our consumers as much money as possible. These other sources include:</w:t>
      </w:r>
    </w:p>
    <w:p>
      <w:pPr>
        <w:spacing w:after="0" w:line="96" w:lineRule="exact"/>
        <w:rPr>
          <w:sz w:val="20"/>
          <w:szCs w:val="20"/>
          <w:color w:val="auto"/>
        </w:rPr>
      </w:pPr>
    </w:p>
    <w:p>
      <w:pPr>
        <w:ind w:left="1140" w:hanging="432"/>
        <w:spacing w:after="0" w:line="282"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Pharmacies: </w:t>
      </w:r>
      <w:r>
        <w:rPr>
          <w:rFonts w:ascii="Times New Roman" w:cs="Times New Roman" w:eastAsia="Times New Roman" w:hAnsi="Times New Roman"/>
          <w:sz w:val="18"/>
          <w:szCs w:val="18"/>
          <w:color w:val="auto"/>
        </w:rPr>
        <w:t>We collect pharmacy savings program data and pharmacy list prices. Pharmacy savings programs are pharmacy-led programs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offer consumers lower prices on select prescription medications, typically in exchange for a membership fee.</w:t>
      </w:r>
    </w:p>
    <w:p>
      <w:pPr>
        <w:spacing w:after="0" w:line="61" w:lineRule="exact"/>
        <w:rPr>
          <w:rFonts w:ascii="Times New Roman" w:cs="Times New Roman" w:eastAsia="Times New Roman" w:hAnsi="Times New Roman"/>
          <w:sz w:val="18"/>
          <w:szCs w:val="18"/>
          <w:color w:val="auto"/>
        </w:rPr>
      </w:pPr>
    </w:p>
    <w:p>
      <w:pPr>
        <w:ind w:left="1140" w:right="160" w:hanging="432"/>
        <w:spacing w:after="0" w:line="282"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Mail Order Pharmacies: </w:t>
      </w:r>
      <w:r>
        <w:rPr>
          <w:rFonts w:ascii="Times New Roman" w:cs="Times New Roman" w:eastAsia="Times New Roman" w:hAnsi="Times New Roman"/>
          <w:sz w:val="18"/>
          <w:szCs w:val="18"/>
          <w:color w:val="auto"/>
        </w:rPr>
        <w:t>Similar to traditional brick and mortar retail pharmacies, we partner with a number of mail order pharmacies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display their prices.</w:t>
      </w:r>
    </w:p>
    <w:p>
      <w:pPr>
        <w:spacing w:after="0" w:line="61"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Pharmaceutical Manufacturers: </w:t>
      </w:r>
      <w:r>
        <w:rPr>
          <w:rFonts w:ascii="Times New Roman" w:cs="Times New Roman" w:eastAsia="Times New Roman" w:hAnsi="Times New Roman"/>
          <w:sz w:val="18"/>
          <w:szCs w:val="18"/>
          <w:color w:val="auto"/>
        </w:rPr>
        <w:t>We work with pharmaceutical manufacturers to show manufacturer savings programs.</w:t>
      </w:r>
    </w:p>
    <w:p>
      <w:pPr>
        <w:spacing w:after="0" w:line="126" w:lineRule="exact"/>
        <w:rPr>
          <w:rFonts w:ascii="Times New Roman" w:cs="Times New Roman" w:eastAsia="Times New Roman" w:hAnsi="Times New Roman"/>
          <w:sz w:val="18"/>
          <w:szCs w:val="18"/>
          <w:color w:val="auto"/>
        </w:rPr>
      </w:pPr>
    </w:p>
    <w:p>
      <w:pPr>
        <w:ind w:left="1140" w:right="100" w:hanging="432"/>
        <w:spacing w:after="0" w:line="265"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Patient Assistance Programs: </w:t>
      </w:r>
      <w:r>
        <w:rPr>
          <w:rFonts w:ascii="Times New Roman" w:cs="Times New Roman" w:eastAsia="Times New Roman" w:hAnsi="Times New Roman"/>
          <w:sz w:val="18"/>
          <w:szCs w:val="18"/>
          <w:color w:val="auto"/>
        </w:rPr>
        <w:t>We aggregate patient assistance programs for brand and specialty medications. Patient assistance programs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typically run by charities and foundations, which are commonly associated with pharmaceutical manufacturers, to reduce the cost of brand and specialty medications to those in need.</w:t>
      </w:r>
    </w:p>
    <w:p>
      <w:pPr>
        <w:spacing w:after="0" w:line="75" w:lineRule="exact"/>
        <w:rPr>
          <w:rFonts w:ascii="Times New Roman" w:cs="Times New Roman" w:eastAsia="Times New Roman" w:hAnsi="Times New Roman"/>
          <w:sz w:val="18"/>
          <w:szCs w:val="18"/>
          <w:color w:val="auto"/>
        </w:rPr>
      </w:pPr>
    </w:p>
    <w:p>
      <w:pPr>
        <w:ind w:left="1140" w:right="20" w:hanging="432"/>
        <w:spacing w:after="0" w:line="282"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Medicare: </w:t>
      </w:r>
      <w:r>
        <w:rPr>
          <w:rFonts w:ascii="Times New Roman" w:cs="Times New Roman" w:eastAsia="Times New Roman" w:hAnsi="Times New Roman"/>
          <w:sz w:val="18"/>
          <w:szCs w:val="18"/>
          <w:color w:val="auto"/>
        </w:rPr>
        <w:t>We access Medicare prices from CMS. We use this data to help consumers find their co-pay amounts based on their medication,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and stage of coverage if they used the benefits under their Medicare prescription drug plans.</w:t>
      </w:r>
    </w:p>
    <w:p>
      <w:pPr>
        <w:spacing w:after="0" w:line="91" w:lineRule="exact"/>
        <w:rPr>
          <w:rFonts w:ascii="Times New Roman" w:cs="Times New Roman" w:eastAsia="Times New Roman" w:hAnsi="Times New Roman"/>
          <w:sz w:val="18"/>
          <w:szCs w:val="18"/>
          <w:color w:val="auto"/>
        </w:rPr>
      </w:pPr>
    </w:p>
    <w:p>
      <w:pPr>
        <w:ind w:left="5500" w:hanging="113"/>
        <w:spacing w:after="0"/>
        <w:tabs>
          <w:tab w:leader="none" w:pos="55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128 -</w:t>
      </w:r>
    </w:p>
    <w:p>
      <w:pPr>
        <w:sectPr>
          <w:pgSz w:w="11900" w:h="16838" w:orient="portrait"/>
          <w:cols w:equalWidth="0" w:num="1">
            <w:col w:w="11060"/>
          </w:cols>
          <w:pgMar w:left="320" w:top="454" w:right="51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Subscription Offerings</w:t>
      </w:r>
    </w:p>
    <w:p>
      <w:pPr>
        <w:spacing w:after="0" w:line="118" w:lineRule="exact"/>
        <w:rPr>
          <w:sz w:val="20"/>
          <w:szCs w:val="20"/>
          <w:color w:val="auto"/>
        </w:rPr>
      </w:pPr>
    </w:p>
    <w:p>
      <w:pPr>
        <w:jc w:val="both"/>
        <w:ind w:left="180" w:right="240" w:firstLine="436"/>
        <w:spacing w:after="0" w:line="262" w:lineRule="auto"/>
        <w:rPr>
          <w:sz w:val="20"/>
          <w:szCs w:val="20"/>
          <w:color w:val="auto"/>
        </w:rPr>
      </w:pPr>
      <w:r>
        <w:rPr>
          <w:rFonts w:ascii="Times New Roman" w:cs="Times New Roman" w:eastAsia="Times New Roman" w:hAnsi="Times New Roman"/>
          <w:sz w:val="18"/>
          <w:szCs w:val="18"/>
          <w:color w:val="auto"/>
        </w:rPr>
        <w:t>Our subscription offerings are a natural extension of our successful prescription offering. We leverage our relationships across the healthcare ecosystem and our product expertise to provide subscribers with even greater savings and convenience at select pharmacies. We launched our first subscription offering, Gold, in 2017, and added a second offering, Kroger Savings, in 2018.</w:t>
      </w:r>
    </w:p>
    <w:p>
      <w:pPr>
        <w:spacing w:after="0" w:line="80" w:lineRule="exact"/>
        <w:rPr>
          <w:sz w:val="20"/>
          <w:szCs w:val="20"/>
          <w:color w:val="auto"/>
        </w:rPr>
      </w:pPr>
    </w:p>
    <w:p>
      <w:pPr>
        <w:ind w:left="1140" w:right="20" w:hanging="432"/>
        <w:spacing w:after="0" w:line="259" w:lineRule="auto"/>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GoodRx Gold: </w:t>
      </w:r>
      <w:r>
        <w:rPr>
          <w:rFonts w:ascii="Times New Roman" w:cs="Times New Roman" w:eastAsia="Times New Roman" w:hAnsi="Times New Roman"/>
          <w:sz w:val="18"/>
          <w:szCs w:val="18"/>
          <w:color w:val="auto"/>
        </w:rPr>
        <w:t>We offer a subscription savings program whereby subscribers pay a monthly fee of $5.99 for individuals or $9.99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families of up to five, for access to even lower prices in select participating pharmacies. Over 1,000 prescriptions are available for under $10 with Gold, with savings of up to 90% off standard list prices. We have also recently added a mail order feature to the GoodRx Gold plan, which provides Gold subscribers with additional value and convenience, with no additional subscription cost.</w:t>
      </w:r>
    </w:p>
    <w:p>
      <w:pPr>
        <w:spacing w:after="0" w:line="81" w:lineRule="exact"/>
        <w:rPr>
          <w:rFonts w:ascii="Times New Roman" w:cs="Times New Roman" w:eastAsia="Times New Roman" w:hAnsi="Times New Roman"/>
          <w:sz w:val="18"/>
          <w:szCs w:val="18"/>
          <w:color w:val="auto"/>
        </w:rPr>
      </w:pPr>
    </w:p>
    <w:p>
      <w:pPr>
        <w:ind w:left="1140" w:hanging="432"/>
        <w:spacing w:after="0" w:line="254" w:lineRule="auto"/>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Kroger Rx Savings Club powered by GoodRx</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partner with Kroger, the fourth largest retail pharmacy in the United States, to offer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tailored subscription product to Kroger consumers for an annual fee of $36 for individuals or $72 for families of up to six. Subscribers access lower prescription prices at Kroger pharmacies, including over 100 common generic medications for free, $3.00, or $6.00 price points, and savings on more than 1,000 other generic medications. We manage key aspects of the program, including subscriber registration, consumer billing, transaction processing and marketing. Subscribers pay an annual fee, a portion of which we share with Kroger.</w:t>
      </w:r>
    </w:p>
    <w:p>
      <w:pPr>
        <w:spacing w:after="0" w:line="118" w:lineRule="exact"/>
        <w:rPr>
          <w:rFonts w:ascii="Times New Roman" w:cs="Times New Roman" w:eastAsia="Times New Roman" w:hAnsi="Times New Roman"/>
          <w:sz w:val="18"/>
          <w:szCs w:val="18"/>
          <w:color w:val="auto"/>
        </w:rPr>
      </w:pPr>
    </w:p>
    <w:p>
      <w:pPr>
        <w:ind w:left="5500" w:hanging="113"/>
        <w:spacing w:after="0"/>
        <w:tabs>
          <w:tab w:leader="none" w:pos="55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129 -</w:t>
      </w:r>
    </w:p>
    <w:p>
      <w:pPr>
        <w:sectPr>
          <w:pgSz w:w="11900" w:h="16838" w:orient="portrait"/>
          <w:cols w:equalWidth="0" w:num="1">
            <w:col w:w="10860"/>
          </w:cols>
          <w:pgMar w:left="320" w:top="454" w:right="71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120" w:firstLine="436"/>
        <w:spacing w:after="0" w:line="277" w:lineRule="auto"/>
        <w:rPr>
          <w:sz w:val="20"/>
          <w:szCs w:val="20"/>
          <w:color w:val="auto"/>
        </w:rPr>
      </w:pPr>
      <w:r>
        <w:rPr>
          <w:rFonts w:ascii="Times New Roman" w:cs="Times New Roman" w:eastAsia="Times New Roman" w:hAnsi="Times New Roman"/>
          <w:sz w:val="18"/>
          <w:szCs w:val="18"/>
          <w:color w:val="auto"/>
        </w:rPr>
        <w:t>Our subscription offerings are designed to be easy to use and provide subscribers with added benefits and features, such as refill reminders, price alerts and other notifications. The typical Gold subscriber savings process is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55880</wp:posOffset>
            </wp:positionV>
            <wp:extent cx="1204595" cy="18745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04595" cy="187452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55880</wp:posOffset>
            </wp:positionV>
            <wp:extent cx="1204595" cy="18745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04595" cy="1874520"/>
                    </a:xfrm>
                    <a:prstGeom prst="rect">
                      <a:avLst/>
                    </a:prstGeom>
                    <a:noFill/>
                  </pic:spPr>
                </pic:pic>
              </a:graphicData>
            </a:graphic>
          </wp:anchor>
        </w:drawing>
        <w:drawing>
          <wp:anchor simplePos="0" relativeHeight="251657728" behindDoc="1" locked="0" layoutInCell="0" allowOverlap="1">
            <wp:simplePos x="0" y="0"/>
            <wp:positionH relativeFrom="column">
              <wp:posOffset>5339715</wp:posOffset>
            </wp:positionH>
            <wp:positionV relativeFrom="paragraph">
              <wp:posOffset>55880</wp:posOffset>
            </wp:positionV>
            <wp:extent cx="1204595" cy="18834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04595" cy="1883410"/>
                    </a:xfrm>
                    <a:prstGeom prst="rect">
                      <a:avLst/>
                    </a:prstGeom>
                    <a:noFill/>
                  </pic:spPr>
                </pic:pic>
              </a:graphicData>
            </a:graphic>
          </wp:anchor>
        </w:drawing>
      </w:r>
    </w:p>
    <w:p>
      <w:pPr>
        <w:sectPr>
          <w:pgSz w:w="11900" w:h="16838" w:orient="portrait"/>
          <w:cols w:equalWidth="0" w:num="1">
            <w:col w:w="11040"/>
          </w:cols>
          <w:pgMar w:left="320" w:top="454"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20"/>
        <w:spacing w:after="0"/>
        <w:rPr>
          <w:sz w:val="20"/>
          <w:szCs w:val="20"/>
          <w:color w:val="auto"/>
        </w:rPr>
      </w:pPr>
      <w:r>
        <w:rPr>
          <w:rFonts w:ascii="Arial" w:cs="Arial" w:eastAsia="Arial" w:hAnsi="Arial"/>
          <w:sz w:val="9"/>
          <w:szCs w:val="9"/>
          <w:color w:val="auto"/>
        </w:rPr>
        <w:t>GoodRx Gold Providers</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0"/>
          <w:szCs w:val="10"/>
          <w:color w:val="auto"/>
        </w:rPr>
        <w:t>Additional Savings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145415</wp:posOffset>
            </wp:positionV>
            <wp:extent cx="1204595" cy="18745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04595" cy="18745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840"/>
        <w:spacing w:after="0"/>
        <w:rPr>
          <w:sz w:val="20"/>
          <w:szCs w:val="20"/>
          <w:color w:val="auto"/>
        </w:rPr>
      </w:pPr>
      <w:r>
        <w:rPr>
          <w:rFonts w:ascii="Arial" w:cs="Arial" w:eastAsia="Arial" w:hAnsi="Arial"/>
          <w:sz w:val="9"/>
          <w:szCs w:val="9"/>
          <w:color w:val="auto"/>
        </w:rPr>
        <w:t>Individual And Family Plans</w:t>
      </w:r>
    </w:p>
    <w:p>
      <w:pPr>
        <w:spacing w:after="0" w:line="27" w:lineRule="exact"/>
        <w:rPr>
          <w:sz w:val="20"/>
          <w:szCs w:val="20"/>
          <w:color w:val="auto"/>
        </w:rPr>
      </w:pPr>
    </w:p>
    <w:p>
      <w:pPr>
        <w:jc w:val="center"/>
        <w:ind w:right="1840"/>
        <w:spacing w:after="0"/>
        <w:rPr>
          <w:sz w:val="20"/>
          <w:szCs w:val="20"/>
          <w:color w:val="auto"/>
        </w:rPr>
      </w:pPr>
      <w:r>
        <w:rPr>
          <w:rFonts w:ascii="Arial" w:cs="Arial" w:eastAsia="Arial" w:hAnsi="Arial"/>
          <w:sz w:val="10"/>
          <w:szCs w:val="10"/>
          <w:color w:val="auto"/>
        </w:rPr>
        <w:t>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145415</wp:posOffset>
            </wp:positionV>
            <wp:extent cx="1204595" cy="18745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04595" cy="18745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9"/>
          <w:szCs w:val="9"/>
          <w:color w:val="auto"/>
        </w:rPr>
        <w:t>Membership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235585</wp:posOffset>
            </wp:positionV>
            <wp:extent cx="1204595" cy="18745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04595" cy="1874520"/>
                    </a:xfrm>
                    <a:prstGeom prst="rect">
                      <a:avLst/>
                    </a:prstGeom>
                    <a:noFill/>
                  </pic:spPr>
                </pic:pic>
              </a:graphicData>
            </a:graphic>
          </wp:anchor>
        </w:drawing>
      </w:r>
    </w:p>
    <w:p>
      <w:pPr>
        <w:spacing w:after="0" w:line="342" w:lineRule="exact"/>
        <w:rPr>
          <w:sz w:val="20"/>
          <w:szCs w:val="20"/>
          <w:color w:val="auto"/>
        </w:rPr>
      </w:pPr>
    </w:p>
    <w:p>
      <w:pPr>
        <w:sectPr>
          <w:pgSz w:w="11900" w:h="16838" w:orient="portrait"/>
          <w:cols w:equalWidth="0" w:num="3">
            <w:col w:w="4580" w:space="720"/>
            <w:col w:w="3060" w:space="720"/>
            <w:col w:w="1960"/>
          </w:cols>
          <w:pgMar w:left="320" w:top="454"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560" w:type="dxa"/>
        <w:tblCellMar>
          <w:top w:w="0" w:type="dxa"/>
          <w:left w:w="0" w:type="dxa"/>
          <w:bottom w:w="0" w:type="dxa"/>
          <w:right w:w="0" w:type="dxa"/>
        </w:tblCellMar>
      </w:tblPr>
      <w:tr>
        <w:trPr>
          <w:trHeight w:val="120"/>
        </w:trPr>
        <w:tc>
          <w:tcPr>
            <w:tcW w:w="2480" w:type="dxa"/>
            <w:vAlign w:val="bottom"/>
          </w:tcPr>
          <w:p>
            <w:pPr>
              <w:jc w:val="center"/>
              <w:ind w:right="1191"/>
              <w:spacing w:after="0"/>
              <w:rPr>
                <w:sz w:val="20"/>
                <w:szCs w:val="20"/>
                <w:color w:val="auto"/>
              </w:rPr>
            </w:pPr>
            <w:r>
              <w:rPr>
                <w:rFonts w:ascii="Arial" w:cs="Arial" w:eastAsia="Arial" w:hAnsi="Arial"/>
                <w:sz w:val="10"/>
                <w:szCs w:val="10"/>
                <w:color w:val="auto"/>
                <w:w w:val="96"/>
              </w:rPr>
              <w:t>GoodRx Gold Configurations</w:t>
            </w:r>
          </w:p>
        </w:tc>
        <w:tc>
          <w:tcPr>
            <w:tcW w:w="3700" w:type="dxa"/>
            <w:vAlign w:val="bottom"/>
          </w:tcPr>
          <w:p>
            <w:pPr>
              <w:jc w:val="center"/>
              <w:spacing w:after="0"/>
              <w:rPr>
                <w:sz w:val="20"/>
                <w:szCs w:val="20"/>
                <w:color w:val="auto"/>
              </w:rPr>
            </w:pPr>
            <w:r>
              <w:rPr>
                <w:rFonts w:ascii="Arial" w:cs="Arial" w:eastAsia="Arial" w:hAnsi="Arial"/>
                <w:sz w:val="10"/>
                <w:szCs w:val="10"/>
                <w:color w:val="auto"/>
                <w:w w:val="98"/>
              </w:rPr>
              <w:t>Consumer Is Able To Search</w:t>
            </w:r>
          </w:p>
        </w:tc>
        <w:tc>
          <w:tcPr>
            <w:tcW w:w="2380" w:type="dxa"/>
            <w:vAlign w:val="bottom"/>
          </w:tcPr>
          <w:p>
            <w:pPr>
              <w:jc w:val="center"/>
              <w:ind w:left="1131"/>
              <w:spacing w:after="0"/>
              <w:rPr>
                <w:sz w:val="20"/>
                <w:szCs w:val="20"/>
                <w:color w:val="auto"/>
              </w:rPr>
            </w:pPr>
            <w:r>
              <w:rPr>
                <w:rFonts w:ascii="Arial" w:cs="Arial" w:eastAsia="Arial" w:hAnsi="Arial"/>
                <w:sz w:val="10"/>
                <w:szCs w:val="10"/>
                <w:color w:val="auto"/>
                <w:w w:val="98"/>
              </w:rPr>
              <w:t>Consumer Is Provided With</w:t>
            </w:r>
          </w:p>
        </w:tc>
      </w:tr>
      <w:tr>
        <w:trPr>
          <w:trHeight w:val="120"/>
        </w:trPr>
        <w:tc>
          <w:tcPr>
            <w:tcW w:w="2480" w:type="dxa"/>
            <w:vAlign w:val="bottom"/>
          </w:tcPr>
          <w:p>
            <w:pPr>
              <w:jc w:val="center"/>
              <w:ind w:right="1191"/>
              <w:spacing w:after="0"/>
              <w:rPr>
                <w:sz w:val="20"/>
                <w:szCs w:val="20"/>
                <w:color w:val="auto"/>
              </w:rPr>
            </w:pPr>
            <w:r>
              <w:rPr>
                <w:rFonts w:ascii="Arial" w:cs="Arial" w:eastAsia="Arial" w:hAnsi="Arial"/>
                <w:sz w:val="10"/>
                <w:szCs w:val="10"/>
                <w:color w:val="auto"/>
                <w:w w:val="97"/>
              </w:rPr>
              <w:t>Help Maximize Consumer</w:t>
            </w:r>
          </w:p>
        </w:tc>
        <w:tc>
          <w:tcPr>
            <w:tcW w:w="3700" w:type="dxa"/>
            <w:vAlign w:val="bottom"/>
          </w:tcPr>
          <w:p>
            <w:pPr>
              <w:jc w:val="center"/>
              <w:spacing w:after="0"/>
              <w:rPr>
                <w:sz w:val="20"/>
                <w:szCs w:val="20"/>
                <w:color w:val="auto"/>
              </w:rPr>
            </w:pPr>
            <w:r>
              <w:rPr>
                <w:rFonts w:ascii="Arial" w:cs="Arial" w:eastAsia="Arial" w:hAnsi="Arial"/>
                <w:sz w:val="10"/>
                <w:szCs w:val="10"/>
                <w:color w:val="auto"/>
                <w:w w:val="97"/>
              </w:rPr>
              <w:t>For All Locations That Partner</w:t>
            </w:r>
          </w:p>
        </w:tc>
        <w:tc>
          <w:tcPr>
            <w:tcW w:w="2380" w:type="dxa"/>
            <w:vAlign w:val="bottom"/>
          </w:tcPr>
          <w:p>
            <w:pPr>
              <w:jc w:val="center"/>
              <w:ind w:left="1151"/>
              <w:spacing w:after="0"/>
              <w:rPr>
                <w:sz w:val="20"/>
                <w:szCs w:val="20"/>
                <w:color w:val="auto"/>
              </w:rPr>
            </w:pPr>
            <w:r>
              <w:rPr>
                <w:rFonts w:ascii="Arial" w:cs="Arial" w:eastAsia="Arial" w:hAnsi="Arial"/>
                <w:sz w:val="10"/>
                <w:szCs w:val="10"/>
                <w:color w:val="auto"/>
                <w:w w:val="97"/>
              </w:rPr>
              <w:t>Low Available Prices At</w:t>
            </w:r>
          </w:p>
        </w:tc>
      </w:tr>
      <w:tr>
        <w:trPr>
          <w:trHeight w:val="131"/>
        </w:trPr>
        <w:tc>
          <w:tcPr>
            <w:tcW w:w="2480" w:type="dxa"/>
            <w:vAlign w:val="bottom"/>
          </w:tcPr>
          <w:p>
            <w:pPr>
              <w:jc w:val="center"/>
              <w:ind w:right="1191"/>
              <w:spacing w:after="0"/>
              <w:rPr>
                <w:sz w:val="20"/>
                <w:szCs w:val="20"/>
                <w:color w:val="auto"/>
              </w:rPr>
            </w:pPr>
            <w:r>
              <w:rPr>
                <w:rFonts w:ascii="Arial" w:cs="Arial" w:eastAsia="Arial" w:hAnsi="Arial"/>
                <w:sz w:val="10"/>
                <w:szCs w:val="10"/>
                <w:color w:val="auto"/>
                <w:w w:val="96"/>
              </w:rPr>
              <w:t>Outcomes</w:t>
            </w:r>
          </w:p>
        </w:tc>
        <w:tc>
          <w:tcPr>
            <w:tcW w:w="3700" w:type="dxa"/>
            <w:vAlign w:val="bottom"/>
          </w:tcPr>
          <w:p>
            <w:pPr>
              <w:jc w:val="center"/>
              <w:spacing w:after="0"/>
              <w:rPr>
                <w:sz w:val="20"/>
                <w:szCs w:val="20"/>
                <w:color w:val="auto"/>
              </w:rPr>
            </w:pPr>
            <w:r>
              <w:rPr>
                <w:rFonts w:ascii="Arial" w:cs="Arial" w:eastAsia="Arial" w:hAnsi="Arial"/>
                <w:sz w:val="10"/>
                <w:szCs w:val="10"/>
                <w:color w:val="auto"/>
                <w:w w:val="98"/>
              </w:rPr>
              <w:t>With GoodRx Gold</w:t>
            </w:r>
          </w:p>
        </w:tc>
        <w:tc>
          <w:tcPr>
            <w:tcW w:w="2380" w:type="dxa"/>
            <w:vAlign w:val="bottom"/>
          </w:tcPr>
          <w:p>
            <w:pPr>
              <w:jc w:val="center"/>
              <w:ind w:left="1131"/>
              <w:spacing w:after="0"/>
              <w:rPr>
                <w:sz w:val="20"/>
                <w:szCs w:val="20"/>
                <w:color w:val="auto"/>
              </w:rPr>
            </w:pPr>
            <w:r>
              <w:rPr>
                <w:rFonts w:ascii="Arial" w:cs="Arial" w:eastAsia="Arial" w:hAnsi="Arial"/>
                <w:sz w:val="10"/>
                <w:szCs w:val="10"/>
                <w:color w:val="auto"/>
                <w:w w:val="97"/>
              </w:rPr>
              <w:t>Nearest Pharmacies</w:t>
            </w:r>
          </w:p>
        </w:tc>
      </w:tr>
    </w:tbl>
    <w:p>
      <w:pPr>
        <w:spacing w:after="0" w:line="205"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color w:val="auto"/>
        </w:rPr>
        <w:t>We have significantly increased the number of subscribers who use our subscription offerings. The number of subscribers as of June 30, 2020 was 15 times higher than as of December 31, 2018. Based on our data for the cohort of consumers who started using our subscription offerings between July 2018 and June 2019, we estimate that consumers of our subscription offerings have a first year contribution of approximately two times that of consumers of our prescription offering, which we expect will result in a substantially higher lifetime value for these consumers. First year contribution represents the cumulative revenue generated by consumers in the first year after they became consumers of our subscription offerings, less our estimated cost of revenue attributable to such revenue.</w:t>
      </w:r>
    </w:p>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Manufacturer Solutions Offering</w:t>
      </w:r>
    </w:p>
    <w:p>
      <w:pPr>
        <w:spacing w:after="0" w:line="118"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Approximately 20% of the searches on our platform are for brand medications. Brand medications tend to be expensive, and insurance coverage is complicated and may be restrictive. As a result, many consumers are not able to access or afford these medications.</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40"/>
          </w:cols>
          <w:pgMar w:left="320" w:top="454" w:right="539" w:bottom="1440" w:gutter="0" w:footer="0" w:header="0"/>
          <w:type w:val="continuous"/>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both"/>
        <w:ind w:left="180" w:right="80" w:firstLine="436"/>
        <w:spacing w:after="0" w:line="255" w:lineRule="auto"/>
        <w:rPr>
          <w:sz w:val="20"/>
          <w:szCs w:val="20"/>
          <w:color w:val="auto"/>
        </w:rPr>
      </w:pPr>
      <w:r>
        <w:rPr>
          <w:rFonts w:ascii="Times New Roman" w:cs="Times New Roman" w:eastAsia="Times New Roman" w:hAnsi="Times New Roman"/>
          <w:sz w:val="18"/>
          <w:szCs w:val="18"/>
          <w:color w:val="auto"/>
        </w:rPr>
        <w:t>Pharmaceutical manufacturers provide affordability solutions such as co-pay cards, patient assistance programs, and other savings options so that consumers can access their medications. We partner with pharmaceutical manufacturers to advertise and integrate these affordability solutions into our platform. For example, a consumer searching for a brand medication on our platform can select their insurance status and related criteria so that we can automatically determine their eligibility for specific manufacturer savings solutions, and route them to the best option. The following illustrates how a typical consumer can do this in four easy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144780</wp:posOffset>
            </wp:positionV>
            <wp:extent cx="6489065" cy="18999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89065" cy="1899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20"/>
        <w:spacing w:after="0"/>
        <w:tabs>
          <w:tab w:leader="none" w:pos="4000" w:val="left"/>
          <w:tab w:leader="none" w:pos="6160" w:val="left"/>
          <w:tab w:leader="none" w:pos="9160" w:val="left"/>
        </w:tabs>
        <w:rPr>
          <w:sz w:val="20"/>
          <w:szCs w:val="20"/>
          <w:color w:val="auto"/>
        </w:rPr>
      </w:pPr>
      <w:r>
        <w:rPr>
          <w:rFonts w:ascii="Arial" w:cs="Arial" w:eastAsia="Arial" w:hAnsi="Arial"/>
          <w:sz w:val="10"/>
          <w:szCs w:val="10"/>
          <w:color w:val="auto"/>
        </w:rPr>
        <w:t>Search By Brand Prescription</w:t>
      </w:r>
      <w:r>
        <w:rPr>
          <w:sz w:val="20"/>
          <w:szCs w:val="20"/>
          <w:color w:val="auto"/>
        </w:rPr>
        <w:tab/>
      </w:r>
      <w:r>
        <w:rPr>
          <w:rFonts w:ascii="Arial" w:cs="Arial" w:eastAsia="Arial" w:hAnsi="Arial"/>
          <w:sz w:val="10"/>
          <w:szCs w:val="10"/>
          <w:color w:val="auto"/>
        </w:rPr>
        <w:t>Check For Eligibility</w:t>
      </w:r>
      <w:r>
        <w:rPr>
          <w:sz w:val="20"/>
          <w:szCs w:val="20"/>
          <w:color w:val="auto"/>
        </w:rPr>
        <w:tab/>
      </w:r>
      <w:r>
        <w:rPr>
          <w:rFonts w:ascii="Arial" w:cs="Arial" w:eastAsia="Arial" w:hAnsi="Arial"/>
          <w:sz w:val="10"/>
          <w:szCs w:val="10"/>
          <w:color w:val="auto"/>
        </w:rPr>
        <w:t>Select How You Pay For Your Brand Prescription</w:t>
      </w:r>
      <w:r>
        <w:rPr>
          <w:sz w:val="20"/>
          <w:szCs w:val="20"/>
          <w:color w:val="auto"/>
        </w:rPr>
        <w:tab/>
      </w:r>
      <w:r>
        <w:rPr>
          <w:rFonts w:ascii="Arial" w:cs="Arial" w:eastAsia="Arial" w:hAnsi="Arial"/>
          <w:sz w:val="9"/>
          <w:szCs w:val="9"/>
          <w:color w:val="auto"/>
        </w:rPr>
        <w:t>Confirm Eligibility And Start Saving</w:t>
      </w:r>
    </w:p>
    <w:p>
      <w:pPr>
        <w:spacing w:after="0" w:line="221" w:lineRule="exact"/>
        <w:rPr>
          <w:sz w:val="20"/>
          <w:szCs w:val="20"/>
          <w:color w:val="auto"/>
        </w:rPr>
      </w:pPr>
    </w:p>
    <w:p>
      <w:pPr>
        <w:ind w:left="180" w:right="60" w:firstLine="436"/>
        <w:spacing w:after="0" w:line="262" w:lineRule="auto"/>
        <w:rPr>
          <w:sz w:val="20"/>
          <w:szCs w:val="20"/>
          <w:color w:val="auto"/>
        </w:rPr>
      </w:pPr>
      <w:r>
        <w:rPr>
          <w:rFonts w:ascii="Times New Roman" w:cs="Times New Roman" w:eastAsia="Times New Roman" w:hAnsi="Times New Roman"/>
          <w:sz w:val="18"/>
          <w:szCs w:val="18"/>
          <w:color w:val="auto"/>
        </w:rPr>
        <w:t>In addition, the patient can sign up for ongoing savings alerts related to that medication. We believe our trusted brand, large volume of high intent consumers and easy-to-use interface make our platform highly attractive to pharmaceutical manufacturers. These solutions generally increase the likelihood that consumers will start or continue their prescribed medication.</w:t>
      </w:r>
    </w:p>
    <w:p>
      <w:pPr>
        <w:spacing w:after="0" w:line="177" w:lineRule="exact"/>
        <w:rPr>
          <w:sz w:val="20"/>
          <w:szCs w:val="20"/>
          <w:color w:val="auto"/>
        </w:rPr>
      </w:pPr>
    </w:p>
    <w:p>
      <w:pPr>
        <w:ind w:left="180" w:right="60" w:firstLine="436"/>
        <w:spacing w:after="0" w:line="255" w:lineRule="auto"/>
        <w:rPr>
          <w:sz w:val="20"/>
          <w:szCs w:val="20"/>
          <w:color w:val="auto"/>
        </w:rPr>
      </w:pPr>
      <w:r>
        <w:rPr>
          <w:rFonts w:ascii="Times New Roman" w:cs="Times New Roman" w:eastAsia="Times New Roman" w:hAnsi="Times New Roman"/>
          <w:sz w:val="18"/>
          <w:szCs w:val="18"/>
          <w:color w:val="auto"/>
        </w:rPr>
        <w:t>Our pharmaceutical manufacturer solutions offering delivers a product that both increases overall consumer satisfaction and drives incremental consumer lifetime value at a low incremental cost to us. Revenue from our pharmaceutical manufacturer solutions offering has more than quadrupled in the first half of 2020, compared to the same period in 2019, and we expect to continue to grow this offering through further engagement with pharmaceutical manufacturers. We believe this offering can deliver incremental margin as we deploy these solutions across our existing base of consumers and visitors.</w:t>
      </w:r>
    </w:p>
    <w:p>
      <w:pPr>
        <w:spacing w:after="0" w:line="2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Telehealth Offerings</w:t>
      </w:r>
    </w:p>
    <w:p>
      <w:pPr>
        <w:spacing w:after="0" w:line="118" w:lineRule="exact"/>
        <w:rPr>
          <w:sz w:val="20"/>
          <w:szCs w:val="20"/>
          <w:color w:val="auto"/>
        </w:rPr>
      </w:pPr>
    </w:p>
    <w:p>
      <w:pPr>
        <w:ind w:left="180" w:right="80" w:firstLine="436"/>
        <w:spacing w:after="0" w:line="262" w:lineRule="auto"/>
        <w:rPr>
          <w:sz w:val="20"/>
          <w:szCs w:val="20"/>
          <w:color w:val="auto"/>
        </w:rPr>
      </w:pPr>
      <w:r>
        <w:rPr>
          <w:rFonts w:ascii="Times New Roman" w:cs="Times New Roman" w:eastAsia="Times New Roman" w:hAnsi="Times New Roman"/>
          <w:sz w:val="18"/>
          <w:szCs w:val="18"/>
          <w:color w:val="auto"/>
        </w:rPr>
        <w:t>We have built a telehealth platform that is designed to meet the needs of our consumers who seek rapid and affordable access to quality care. Our two-pronged approach includes our own telehealth provider, HeyDoctor, as well as our GoodRx Telehealth Marketplace, which is a marketplace designed to bring third party providers to our ecosystem so that we can provide consumers with a breadth of services in a single platform.</w:t>
      </w:r>
    </w:p>
    <w:p>
      <w:pPr>
        <w:spacing w:after="0" w:line="177" w:lineRule="exact"/>
        <w:rPr>
          <w:sz w:val="20"/>
          <w:szCs w:val="20"/>
          <w:color w:val="auto"/>
        </w:rPr>
      </w:pPr>
    </w:p>
    <w:p>
      <w:pPr>
        <w:ind w:left="180" w:firstLine="436"/>
        <w:spacing w:after="0" w:line="255" w:lineRule="auto"/>
        <w:rPr>
          <w:sz w:val="20"/>
          <w:szCs w:val="20"/>
          <w:color w:val="auto"/>
        </w:rPr>
      </w:pPr>
      <w:r>
        <w:rPr>
          <w:rFonts w:ascii="Times New Roman" w:cs="Times New Roman" w:eastAsia="Times New Roman" w:hAnsi="Times New Roman"/>
          <w:sz w:val="18"/>
          <w:szCs w:val="18"/>
          <w:color w:val="auto"/>
        </w:rPr>
        <w:t>We launched our telehealth offerings in 2019 with the acquisition of HeyDoctor. We have in-house healthcare providers through our affiliated professional entities and contracts with a network of on-demand physicians who operate on our purpose-built EHR. Our EHR includes messaging, video chat and electronic prescriptions, and integrates with our prescription offering. We offer telehealth visits to provide consumers with quick, easy and affordable access to healthcare, covering 23 conditions across 50 states, with many visits starting at $20, which are offered to patients on a cash-pay basis outside of insurance.</w:t>
      </w:r>
    </w:p>
    <w:p>
      <w:pPr>
        <w:spacing w:after="0" w:line="183" w:lineRule="exact"/>
        <w:rPr>
          <w:sz w:val="20"/>
          <w:szCs w:val="20"/>
          <w:color w:val="auto"/>
        </w:rPr>
      </w:pPr>
    </w:p>
    <w:p>
      <w:pPr>
        <w:ind w:left="180" w:right="340" w:firstLine="436"/>
        <w:spacing w:after="0" w:line="277" w:lineRule="auto"/>
        <w:rPr>
          <w:sz w:val="20"/>
          <w:szCs w:val="20"/>
          <w:color w:val="auto"/>
        </w:rPr>
      </w:pPr>
      <w:r>
        <w:rPr>
          <w:rFonts w:ascii="Times New Roman" w:cs="Times New Roman" w:eastAsia="Times New Roman" w:hAnsi="Times New Roman"/>
          <w:sz w:val="18"/>
          <w:szCs w:val="18"/>
          <w:color w:val="auto"/>
        </w:rPr>
        <w:t>Our data suggests that approximately 20% of consumers who search for medication on GoodRx do not have a prescription at the time of their search. Through HeyDoctor, we provide consumers with a convenient and</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40"/>
          </w:cols>
          <w:pgMar w:left="320" w:top="454" w:right="5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spacing w:after="0" w:line="257" w:lineRule="auto"/>
        <w:rPr>
          <w:sz w:val="20"/>
          <w:szCs w:val="20"/>
          <w:color w:val="auto"/>
        </w:rPr>
      </w:pPr>
      <w:r>
        <w:rPr>
          <w:rFonts w:ascii="Times New Roman" w:cs="Times New Roman" w:eastAsia="Times New Roman" w:hAnsi="Times New Roman"/>
          <w:sz w:val="18"/>
          <w:szCs w:val="18"/>
          <w:color w:val="auto"/>
        </w:rPr>
        <w:t>affordable way to receive a diagnosis and a prescription online, when medically appropriate. Once they complete their online visit, consumers are able to choose to fill their prescriptions, should they receive one, at retail locations using a GoodRx code, or via mail order through a third-party partner. Our expansion into telehealth has unlocked additional growth opportunities through access to the approximately 62 million Americans with no or inadequate access to primary care physicians. An example of the HeyDoctor consumer journey is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144145</wp:posOffset>
            </wp:positionV>
            <wp:extent cx="6497320" cy="18745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497320" cy="187452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60"/>
        <w:spacing w:after="0"/>
        <w:rPr>
          <w:sz w:val="20"/>
          <w:szCs w:val="20"/>
          <w:color w:val="auto"/>
        </w:rPr>
      </w:pPr>
      <w:r>
        <w:rPr>
          <w:rFonts w:ascii="Arial" w:cs="Arial" w:eastAsia="Arial" w:hAnsi="Arial"/>
          <w:sz w:val="9"/>
          <w:szCs w:val="9"/>
          <w:color w:val="auto"/>
        </w:rPr>
        <w:t>HeyDoctor Landing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167640</wp:posOffset>
            </wp:positionV>
            <wp:extent cx="1221740" cy="18745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21740" cy="18745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080"/>
        <w:spacing w:after="0"/>
        <w:rPr>
          <w:sz w:val="20"/>
          <w:szCs w:val="20"/>
          <w:color w:val="auto"/>
        </w:rPr>
      </w:pPr>
      <w:r>
        <w:rPr>
          <w:rFonts w:ascii="Arial" w:cs="Arial" w:eastAsia="Arial" w:hAnsi="Arial"/>
          <w:sz w:val="9"/>
          <w:szCs w:val="9"/>
          <w:color w:val="auto"/>
        </w:rPr>
        <w:t>Complete Intake Interview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167640</wp:posOffset>
            </wp:positionV>
            <wp:extent cx="1221740" cy="18745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21740" cy="18745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060"/>
        <w:spacing w:after="0"/>
        <w:rPr>
          <w:sz w:val="20"/>
          <w:szCs w:val="20"/>
          <w:color w:val="auto"/>
        </w:rPr>
      </w:pPr>
      <w:r>
        <w:rPr>
          <w:rFonts w:ascii="Arial" w:cs="Arial" w:eastAsia="Arial" w:hAnsi="Arial"/>
          <w:sz w:val="9"/>
          <w:szCs w:val="9"/>
          <w:color w:val="auto"/>
        </w:rPr>
        <w:t>Photos /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167640</wp:posOffset>
            </wp:positionV>
            <wp:extent cx="1221740" cy="18745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21740" cy="18745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9"/>
          <w:szCs w:val="9"/>
          <w:color w:val="auto"/>
        </w:rPr>
        <w:t>Initiate Video Chat With</w:t>
      </w:r>
    </w:p>
    <w:p>
      <w:pPr>
        <w:spacing w:after="0" w:line="27" w:lineRule="exact"/>
        <w:rPr>
          <w:sz w:val="20"/>
          <w:szCs w:val="20"/>
          <w:color w:val="auto"/>
        </w:rPr>
      </w:pPr>
    </w:p>
    <w:p>
      <w:pPr>
        <w:spacing w:after="0"/>
        <w:rPr>
          <w:sz w:val="20"/>
          <w:szCs w:val="20"/>
          <w:color w:val="auto"/>
        </w:rPr>
      </w:pPr>
      <w:r>
        <w:rPr>
          <w:rFonts w:ascii="Arial" w:cs="Arial" w:eastAsia="Arial" w:hAnsi="Arial"/>
          <w:sz w:val="9"/>
          <w:szCs w:val="9"/>
          <w:color w:val="auto"/>
        </w:rPr>
        <w:t>Healthcare Professional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85090</wp:posOffset>
            </wp:positionV>
            <wp:extent cx="1221740" cy="18745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21740" cy="18745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3060" w:space="720"/>
            <w:col w:w="2200" w:space="720"/>
            <w:col w:w="2000" w:space="720"/>
            <w:col w:w="1660"/>
          </w:cols>
          <w:pgMar w:left="320" w:top="45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980"/>
        <w:spacing w:after="0"/>
        <w:rPr>
          <w:sz w:val="20"/>
          <w:szCs w:val="20"/>
          <w:color w:val="auto"/>
        </w:rPr>
      </w:pPr>
      <w:r>
        <w:rPr>
          <w:rFonts w:ascii="Arial" w:cs="Arial" w:eastAsia="Arial" w:hAnsi="Arial"/>
          <w:sz w:val="9"/>
          <w:szCs w:val="9"/>
          <w:color w:val="auto"/>
        </w:rPr>
        <w:t>Videoconference In Progress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860"/>
        <w:spacing w:after="0"/>
        <w:rPr>
          <w:sz w:val="20"/>
          <w:szCs w:val="20"/>
          <w:color w:val="auto"/>
        </w:rPr>
      </w:pPr>
      <w:r>
        <w:rPr>
          <w:rFonts w:ascii="Arial" w:cs="Arial" w:eastAsia="Arial" w:hAnsi="Arial"/>
          <w:sz w:val="9"/>
          <w:szCs w:val="9"/>
          <w:color w:val="auto"/>
        </w:rPr>
        <w:t>Choose Between Mail Order</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0"/>
          <w:szCs w:val="10"/>
          <w:color w:val="auto"/>
        </w:rPr>
        <w:t>And Retail Pharmacy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920"/>
        <w:spacing w:after="0"/>
        <w:rPr>
          <w:sz w:val="20"/>
          <w:szCs w:val="20"/>
          <w:color w:val="auto"/>
        </w:rPr>
      </w:pPr>
      <w:r>
        <w:rPr>
          <w:rFonts w:ascii="Arial" w:cs="Arial" w:eastAsia="Arial" w:hAnsi="Arial"/>
          <w:sz w:val="9"/>
          <w:szCs w:val="9"/>
          <w:color w:val="auto"/>
        </w:rPr>
        <w:t>Price Discovery Interface For</w:t>
      </w:r>
    </w:p>
    <w:p>
      <w:pPr>
        <w:spacing w:after="0" w:line="27" w:lineRule="exact"/>
        <w:rPr>
          <w:sz w:val="20"/>
          <w:szCs w:val="20"/>
          <w:color w:val="auto"/>
        </w:rPr>
      </w:pPr>
    </w:p>
    <w:p>
      <w:pPr>
        <w:jc w:val="center"/>
        <w:ind w:right="920"/>
        <w:spacing w:after="0"/>
        <w:rPr>
          <w:sz w:val="20"/>
          <w:szCs w:val="20"/>
          <w:color w:val="auto"/>
        </w:rPr>
      </w:pPr>
      <w:r>
        <w:rPr>
          <w:rFonts w:ascii="Arial" w:cs="Arial" w:eastAsia="Arial" w:hAnsi="Arial"/>
          <w:sz w:val="10"/>
          <w:szCs w:val="10"/>
          <w:color w:val="auto"/>
        </w:rPr>
        <w:t>Prescribed Medication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40"/>
        <w:spacing w:after="0"/>
        <w:rPr>
          <w:sz w:val="20"/>
          <w:szCs w:val="20"/>
          <w:color w:val="auto"/>
        </w:rPr>
      </w:pPr>
      <w:r>
        <w:rPr>
          <w:rFonts w:ascii="Arial" w:cs="Arial" w:eastAsia="Arial" w:hAnsi="Arial"/>
          <w:sz w:val="9"/>
          <w:szCs w:val="9"/>
          <w:color w:val="auto"/>
        </w:rPr>
        <w:t>Choose Pharmacy And</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0"/>
          <w:szCs w:val="10"/>
          <w:color w:val="auto"/>
        </w:rPr>
        <w:t>Pick Up Medication</w:t>
      </w:r>
    </w:p>
    <w:p>
      <w:pPr>
        <w:spacing w:after="0" w:line="184" w:lineRule="exact"/>
        <w:rPr>
          <w:sz w:val="20"/>
          <w:szCs w:val="20"/>
          <w:color w:val="auto"/>
        </w:rPr>
      </w:pPr>
    </w:p>
    <w:p>
      <w:pPr>
        <w:sectPr>
          <w:pgSz w:w="11900" w:h="16838" w:orient="portrait"/>
          <w:cols w:equalWidth="0" w:num="4">
            <w:col w:w="3000" w:space="720"/>
            <w:col w:w="2100" w:space="720"/>
            <w:col w:w="2180" w:space="720"/>
            <w:col w:w="1640"/>
          </w:cols>
          <w:pgMar w:left="320" w:top="454" w:right="4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80"/>
          </w:cols>
          <w:pgMar w:left="320" w:top="454" w:right="499" w:bottom="1440" w:gutter="0" w:footer="0" w:header="0"/>
          <w:type w:val="continuous"/>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40" w:firstLine="436"/>
        <w:spacing w:after="0" w:line="252" w:lineRule="auto"/>
        <w:rPr>
          <w:sz w:val="20"/>
          <w:szCs w:val="20"/>
          <w:color w:val="auto"/>
        </w:rPr>
      </w:pPr>
      <w:r>
        <w:rPr>
          <w:rFonts w:ascii="Times New Roman" w:cs="Times New Roman" w:eastAsia="Times New Roman" w:hAnsi="Times New Roman"/>
          <w:sz w:val="18"/>
          <w:szCs w:val="18"/>
          <w:color w:val="auto"/>
        </w:rPr>
        <w:t>In March 2020, we launched our GoodRx Telehealth Marketplace, an online marketplace for individuals to access third-party providers of telehealth and lab tests. Our GoodRx Telehealth Marketplace added additional services, conditions, and geographies to our online telehealth offerings, and also provides alternative providers for the conditions and geographies already covered by HeyDoctor, providing consumers with additional options to choose from. The GoodRx Telehealth Marketplace allows consumers to search for treatment for over 150 conditions across all 50 states, and displays results with information that helps consumers compare services, review prescription delivery options, and receive pricing information. Our marketplace also presents similar information for lab tests, allowing consumers to search for providers by lab test type. Current services range from screenings and diagnosis to treatment plans and prescriptions, covering medical issues such as birth control, acne, urinary tract infections, COVID-19, cold and flu. We earn fees for directing traffic to these third-party telehealth providers in our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146050</wp:posOffset>
            </wp:positionV>
            <wp:extent cx="6497320" cy="18916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497320" cy="1891665"/>
                    </a:xfrm>
                    <a:prstGeom prst="rect">
                      <a:avLst/>
                    </a:prstGeom>
                    <a:noFill/>
                  </pic:spPr>
                </pic:pic>
              </a:graphicData>
            </a:graphic>
          </wp:anchor>
        </w:drawing>
      </w:r>
    </w:p>
    <w:p>
      <w:pPr>
        <w:sectPr>
          <w:pgSz w:w="11900" w:h="16838" w:orient="portrait"/>
          <w:cols w:equalWidth="0" w:num="1">
            <w:col w:w="11040"/>
          </w:cols>
          <w:pgMar w:left="320" w:top="454"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620"/>
        <w:spacing w:after="0"/>
        <w:rPr>
          <w:sz w:val="20"/>
          <w:szCs w:val="20"/>
          <w:color w:val="auto"/>
        </w:rPr>
      </w:pPr>
      <w:r>
        <w:rPr>
          <w:rFonts w:ascii="Arial" w:cs="Arial" w:eastAsia="Arial" w:hAnsi="Arial"/>
          <w:sz w:val="10"/>
          <w:szCs w:val="10"/>
          <w:color w:val="auto"/>
        </w:rPr>
        <w:t>GoodRx’s Telehealth Marketplace</w:t>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9"/>
          <w:szCs w:val="9"/>
          <w:color w:val="auto"/>
        </w:rPr>
        <w:t>Enables Consumers To Easily Search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9"/>
          <w:szCs w:val="9"/>
          <w:color w:val="auto"/>
        </w:rPr>
        <w:t>Healthcare Professional Visits Available For 150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Different Health Conditions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40"/>
        <w:spacing w:after="0"/>
        <w:rPr>
          <w:sz w:val="20"/>
          <w:szCs w:val="20"/>
          <w:color w:val="auto"/>
        </w:rPr>
      </w:pPr>
      <w:r>
        <w:rPr>
          <w:rFonts w:ascii="Arial" w:cs="Arial" w:eastAsia="Arial" w:hAnsi="Arial"/>
          <w:sz w:val="9"/>
          <w:szCs w:val="9"/>
          <w:color w:val="auto"/>
        </w:rPr>
        <w:t>Marketplace Provides Overviews, Pricing And Access</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0"/>
          <w:szCs w:val="10"/>
          <w:color w:val="auto"/>
        </w:rPr>
        <w:t>To Relevant Treatments Across 50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9"/>
          <w:szCs w:val="9"/>
          <w:color w:val="auto"/>
        </w:rPr>
        <w:t>Lab Tests Also Available For</w:t>
      </w:r>
    </w:p>
    <w:p>
      <w:pPr>
        <w:spacing w:after="0" w:line="27" w:lineRule="exact"/>
        <w:rPr>
          <w:sz w:val="20"/>
          <w:szCs w:val="20"/>
          <w:color w:val="auto"/>
        </w:rPr>
      </w:pPr>
    </w:p>
    <w:p>
      <w:pPr>
        <w:spacing w:after="0"/>
        <w:rPr>
          <w:sz w:val="20"/>
          <w:szCs w:val="20"/>
          <w:color w:val="auto"/>
        </w:rPr>
      </w:pPr>
      <w:r>
        <w:rPr>
          <w:rFonts w:ascii="Arial" w:cs="Arial" w:eastAsia="Arial" w:hAnsi="Arial"/>
          <w:sz w:val="9"/>
          <w:szCs w:val="9"/>
          <w:color w:val="auto"/>
        </w:rPr>
        <w:t>Wide Range Of Health Issues</w:t>
      </w:r>
    </w:p>
    <w:p>
      <w:pPr>
        <w:spacing w:after="0" w:line="16" w:lineRule="exact"/>
        <w:rPr>
          <w:sz w:val="20"/>
          <w:szCs w:val="20"/>
          <w:color w:val="auto"/>
        </w:rPr>
      </w:pPr>
    </w:p>
    <w:p>
      <w:pPr>
        <w:sectPr>
          <w:pgSz w:w="11900" w:h="16838" w:orient="portrait"/>
          <w:cols w:equalWidth="0" w:num="4">
            <w:col w:w="2580" w:space="720"/>
            <w:col w:w="2080" w:space="620"/>
            <w:col w:w="2580" w:space="720"/>
            <w:col w:w="1740"/>
          </w:cols>
          <w:pgMar w:left="320" w:top="454" w:right="539" w:bottom="1440" w:gutter="0" w:footer="0" w:header="0"/>
          <w:type w:val="continuous"/>
        </w:sectPr>
      </w:pPr>
    </w:p>
    <w:p>
      <w:pPr>
        <w:ind w:left="1000"/>
        <w:spacing w:after="0"/>
        <w:rPr>
          <w:sz w:val="20"/>
          <w:szCs w:val="20"/>
          <w:color w:val="auto"/>
        </w:rPr>
      </w:pPr>
      <w:r>
        <w:rPr>
          <w:rFonts w:ascii="Arial" w:cs="Arial" w:eastAsia="Arial" w:hAnsi="Arial"/>
          <w:sz w:val="9"/>
          <w:szCs w:val="9"/>
          <w:color w:val="auto"/>
        </w:rPr>
        <w:t>For Their Healthcare Needs</w:t>
      </w:r>
    </w:p>
    <w:p>
      <w:pPr>
        <w:sectPr>
          <w:pgSz w:w="11900" w:h="16838" w:orient="portrait"/>
          <w:cols w:equalWidth="0" w:num="1">
            <w:col w:w="11040"/>
          </w:cols>
          <w:pgMar w:left="320" w:top="454" w:right="539" w:bottom="1440" w:gutter="0" w:footer="0" w:header="0"/>
          <w:type w:val="continuous"/>
        </w:sectPr>
      </w:pPr>
    </w:p>
    <w:p>
      <w:pPr>
        <w:spacing w:after="0" w:line="249" w:lineRule="exact"/>
        <w:rPr>
          <w:sz w:val="20"/>
          <w:szCs w:val="20"/>
          <w:color w:val="auto"/>
        </w:rPr>
      </w:pPr>
    </w:p>
    <w:p>
      <w:pPr>
        <w:ind w:left="180" w:firstLine="436"/>
        <w:spacing w:after="0" w:line="250" w:lineRule="auto"/>
        <w:rPr>
          <w:sz w:val="20"/>
          <w:szCs w:val="20"/>
          <w:color w:val="auto"/>
        </w:rPr>
      </w:pPr>
      <w:r>
        <w:rPr>
          <w:rFonts w:ascii="Times New Roman" w:cs="Times New Roman" w:eastAsia="Times New Roman" w:hAnsi="Times New Roman"/>
          <w:sz w:val="18"/>
          <w:szCs w:val="18"/>
          <w:color w:val="auto"/>
        </w:rPr>
        <w:t>Together with HeyDoctor, the GoodRx Telehealth Marketplace provides a set of integrated solutions that simplifies the consumer healthcare journey and offers quick, easy and affordable access to treatment. From the comfort of their own homes, consumers can use our services to complete an online visit with a doctor and get a prescription, all within minutes. An average of more than 1,000 consumers per day completed online visits using HeyDoctor in the second quarter of 2020. Additionally, since launching the GoodRx Telehealth Marketplace in March 2020, approximately one million consumers have visited the marketplace and more than 200,000 medical visits and lab tests have been initiated. In March 2020, we also launched an integrated service that allows HeyDoctor consumers to opt in to use our prescription offering for their prescription needs after they complete their online visit. Since launch, we have already seen more than 10% of HeyDoctor consumers utilize this feature to fill prescriptions using a GoodRx code at pharmacies. As awareness of our offerings grows, we expect this percentage to increase. In addition, we expect that the recent launch of HeyDoctor’s mail order service, which is processed by a third-party partner, will further increase the number of consumers who use our platform to fill their prescriptions after completing an online visit. We have also partnered with some of the telehealth providers in the GoodRx Telehealth Marketplace to enable consumers to opt in to use our prescription offering for their prescription needs after they complete their online visit. The introduction of these integrated solutions and the addition of mail order provides our consumers with additional value and convenience in their healthcare journey, and adds monetization opportunities for us after consumers visit a healthcare professional online.</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attract consumers to our apps and websites through several entry points:</w:t>
      </w:r>
    </w:p>
    <w:p>
      <w:pPr>
        <w:spacing w:after="0" w:line="123" w:lineRule="exact"/>
        <w:rPr>
          <w:sz w:val="20"/>
          <w:szCs w:val="20"/>
          <w:color w:val="auto"/>
        </w:rPr>
      </w:pPr>
    </w:p>
    <w:p>
      <w:pPr>
        <w:ind w:left="1140" w:right="40" w:hanging="432"/>
        <w:spacing w:after="0" w:line="265"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Example Entry Point A – Word of Mouth: </w:t>
      </w:r>
      <w:r>
        <w:rPr>
          <w:rFonts w:ascii="Times New Roman" w:cs="Times New Roman" w:eastAsia="Times New Roman" w:hAnsi="Times New Roman"/>
          <w:sz w:val="18"/>
          <w:szCs w:val="18"/>
          <w:color w:val="auto"/>
        </w:rPr>
        <w:t>We benefit from strong word of mouth referrals, helping drive significant organic traffic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apps and websites. A consumer may be attracted to our platform after speaking to a family member or a friend who has used one of our offerings and saved money.</w:t>
      </w:r>
    </w:p>
    <w:p>
      <w:pPr>
        <w:spacing w:after="0" w:line="106" w:lineRule="exact"/>
        <w:rPr>
          <w:rFonts w:ascii="Times New Roman" w:cs="Times New Roman" w:eastAsia="Times New Roman" w:hAnsi="Times New Roman"/>
          <w:sz w:val="18"/>
          <w:szCs w:val="18"/>
          <w:color w:val="auto"/>
        </w:rPr>
      </w:pPr>
    </w:p>
    <w:p>
      <w:pPr>
        <w:ind w:left="5500" w:hanging="113"/>
        <w:spacing w:after="0"/>
        <w:tabs>
          <w:tab w:leader="none" w:pos="55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133 -</w:t>
      </w:r>
    </w:p>
    <w:p>
      <w:pPr>
        <w:sectPr>
          <w:pgSz w:w="11900" w:h="16838" w:orient="portrait"/>
          <w:cols w:equalWidth="0" w:num="1">
            <w:col w:w="11040"/>
          </w:cols>
          <w:pgMar w:left="320" w:top="454" w:right="539" w:bottom="1440" w:gutter="0" w:footer="0" w:header="0"/>
          <w:type w:val="continuous"/>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140" w:hanging="432"/>
        <w:spacing w:after="0" w:line="256"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Example Entry Point B – Physician: </w:t>
      </w:r>
      <w:r>
        <w:rPr>
          <w:rFonts w:ascii="Times New Roman" w:cs="Times New Roman" w:eastAsia="Times New Roman" w:hAnsi="Times New Roman"/>
          <w:sz w:val="18"/>
          <w:szCs w:val="18"/>
          <w:color w:val="auto"/>
        </w:rPr>
        <w:t>A consumer sees their physician to have their blood pressure checked. The physician establishes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patient’s blood pressure is excessive, and determines based on the patient’s history that medication is required. The patient is concerned about the price of the medication, and the physician looks up the price for that patient in their EHR, which has GoodRx pricing integrated into it. The physician then shares the GoodRx code with their patient via text or email, which the patient then shows to the pharmacist when they pick up the medication.</w:t>
      </w:r>
    </w:p>
    <w:p>
      <w:pPr>
        <w:spacing w:after="0" w:line="84" w:lineRule="exact"/>
        <w:rPr>
          <w:rFonts w:ascii="Times New Roman" w:cs="Times New Roman" w:eastAsia="Times New Roman" w:hAnsi="Times New Roman"/>
          <w:sz w:val="18"/>
          <w:szCs w:val="18"/>
          <w:color w:val="auto"/>
        </w:rPr>
      </w:pPr>
    </w:p>
    <w:p>
      <w:pPr>
        <w:ind w:left="1140" w:right="60" w:hanging="432"/>
        <w:spacing w:after="0" w:line="254"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Example Entry Point C – HeyDoctor Telehealth Consultation: </w:t>
      </w:r>
      <w:r>
        <w:rPr>
          <w:rFonts w:ascii="Times New Roman" w:cs="Times New Roman" w:eastAsia="Times New Roman" w:hAnsi="Times New Roman"/>
          <w:sz w:val="18"/>
          <w:szCs w:val="18"/>
          <w:color w:val="auto"/>
        </w:rPr>
        <w:t>A consumer needs to see a physician, but their primary care provider says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the next available appointment is in 30 days. The consumer searches online for quick ways to see a doctor and finds HeyDoctor. Within 40 minutes, the consumer has completed a consultation with a HeyDoctor physician and has been booked for a lab test with one of HeyDoctor’s lab partners that afternoon. The HeyDoctor physician confirms that the lab results warrant a prescription medication. The consumer is offered a choice of HeyDoctor’s mail order delivery service, which is processed by a third-party partner, or to fill the prescription at a local pharmacy, where the patient can use a GoodRx code to achieve savings.</w:t>
      </w:r>
    </w:p>
    <w:p>
      <w:pPr>
        <w:spacing w:after="0" w:line="88" w:lineRule="exact"/>
        <w:rPr>
          <w:rFonts w:ascii="Times New Roman" w:cs="Times New Roman" w:eastAsia="Times New Roman" w:hAnsi="Times New Roman"/>
          <w:sz w:val="18"/>
          <w:szCs w:val="18"/>
          <w:color w:val="auto"/>
        </w:rPr>
      </w:pPr>
    </w:p>
    <w:p>
      <w:pPr>
        <w:ind w:left="1140" w:hanging="432"/>
        <w:spacing w:after="0" w:line="256"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Example Entry Point D – GoodRx Marketing: </w:t>
      </w:r>
      <w:r>
        <w:rPr>
          <w:rFonts w:ascii="Times New Roman" w:cs="Times New Roman" w:eastAsia="Times New Roman" w:hAnsi="Times New Roman"/>
          <w:sz w:val="18"/>
          <w:szCs w:val="18"/>
          <w:color w:val="auto"/>
        </w:rPr>
        <w:t>A consumer sees a GoodRx online ad or TV commercial and visits our app to see if we 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save them money on their prescription. The consumer uses GoodRx to find the lowest price available at a nearby pharmacy. In order to access this discounted price, they save a GoodRx code for their selected prescription to their mobile device and present it at the chosen pharmacy. After several refills, the GoodRx app prompts the consumer to try our subscription product, Gold, where for a monthly fee they can access an even lower price for their selected prescription and thousands of other medications.</w:t>
      </w: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What Sets Us Apart</w:t>
      </w:r>
    </w:p>
    <w:p>
      <w:pPr>
        <w:spacing w:after="0" w:line="118" w:lineRule="exact"/>
        <w:rPr>
          <w:sz w:val="20"/>
          <w:szCs w:val="20"/>
          <w:color w:val="auto"/>
        </w:rPr>
      </w:pPr>
    </w:p>
    <w:p>
      <w:pPr>
        <w:ind w:left="180" w:right="60" w:firstLine="436"/>
        <w:spacing w:after="0" w:line="277" w:lineRule="auto"/>
        <w:rPr>
          <w:sz w:val="20"/>
          <w:szCs w:val="20"/>
          <w:color w:val="auto"/>
        </w:rPr>
      </w:pPr>
      <w:r>
        <w:rPr>
          <w:rFonts w:ascii="Times New Roman" w:cs="Times New Roman" w:eastAsia="Times New Roman" w:hAnsi="Times New Roman"/>
          <w:sz w:val="18"/>
          <w:szCs w:val="18"/>
          <w:color w:val="auto"/>
        </w:rPr>
        <w:t>We are a market leader with a significant scale and brand advantage over our competitors. Our growth accelerates self-reinforcing network effects that further strengthen our competitive position. Our competitive strengths consist of:</w:t>
      </w:r>
    </w:p>
    <w:p>
      <w:pPr>
        <w:spacing w:after="0" w:line="66" w:lineRule="exact"/>
        <w:rPr>
          <w:sz w:val="20"/>
          <w:szCs w:val="20"/>
          <w:color w:val="auto"/>
        </w:rPr>
      </w:pPr>
    </w:p>
    <w:p>
      <w:pPr>
        <w:ind w:left="1140" w:hanging="432"/>
        <w:spacing w:after="0" w:line="256"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Leading Platform: </w:t>
      </w:r>
      <w:r>
        <w:rPr>
          <w:rFonts w:ascii="Times New Roman" w:cs="Times New Roman" w:eastAsia="Times New Roman" w:hAnsi="Times New Roman"/>
          <w:sz w:val="18"/>
          <w:szCs w:val="18"/>
          <w:color w:val="auto"/>
        </w:rPr>
        <w:t>We believe that we are the largest platform that aggregates pricing for prescriptions. Our proprietary platform enables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 collect and normalize over 150 billion prescription pricing data points every day from sources spanning the healthcare industry, including PBMs, pharmacies, pharmaceutical manufacturers, assistance programs, Medicare prescription drug plans (Part D) and others. Our negotiated prices are accepted at over 70,000 pharmacies nationwide, nearly all retail pharmacies. We continually strive to increase the size and accuracy of our prescription pricing database.</w:t>
      </w:r>
    </w:p>
    <w:p>
      <w:pPr>
        <w:spacing w:after="0" w:line="84" w:lineRule="exact"/>
        <w:rPr>
          <w:rFonts w:ascii="Times New Roman" w:cs="Times New Roman" w:eastAsia="Times New Roman" w:hAnsi="Times New Roman"/>
          <w:sz w:val="18"/>
          <w:szCs w:val="18"/>
          <w:color w:val="auto"/>
        </w:rPr>
      </w:pPr>
    </w:p>
    <w:p>
      <w:pPr>
        <w:ind w:left="1140" w:right="20" w:hanging="432"/>
        <w:spacing w:after="0" w:line="251"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Trusted Brand: </w:t>
      </w:r>
      <w:r>
        <w:rPr>
          <w:rFonts w:ascii="Times New Roman" w:cs="Times New Roman" w:eastAsia="Times New Roman" w:hAnsi="Times New Roman"/>
          <w:sz w:val="18"/>
          <w:szCs w:val="18"/>
          <w:color w:val="auto"/>
        </w:rPr>
        <w:t>We have built a trusted brand based on nearly a decade of consumer-focused product development. We strive to be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consumer throughout their healthcare journey. We are guided by the principle of doing well for consumers and the healthcare industry as a whole, which we believe helps us build trust, engagement and brand loyalty. In fact, we show many prices on our platform for which we make no money, but we show them because they may be the best option for the consumer. Our patient advocacy team (what others may call customer service) had a customer satisfaction score of 99% as of April 2020 based on our consumer surveys. Our brand is also recognized and trusted by healthcare providers who often encourage the use of GoodRx by their patients. Based on a July 2020 survey we commissioned from Lab42 Research LLC, 68% of healthcare providers surveyed have recommended GoodRx to patients. Over 2 million prescribers have a patient who has used our platform, based on our internal data. Our NPS among healthcare professionals who use our platform was 86 as of February 2020. Our GoodRx app had a rating of 4.8 out of 5.0 stars in the Apple App Store and 4.7 out of 5.0 stars in the Google Play App Store, with over 700,000 combined reviews as of June 30, 2020. In both app stores, our HeyDoctor app had a rating of 5.0 out of 5.0 stars, with over 8,000 combined reviews as of June 30, 2020.</w:t>
      </w:r>
    </w:p>
    <w:p>
      <w:pPr>
        <w:spacing w:after="0" w:line="90" w:lineRule="exact"/>
        <w:rPr>
          <w:rFonts w:ascii="Times New Roman" w:cs="Times New Roman" w:eastAsia="Times New Roman" w:hAnsi="Times New Roman"/>
          <w:sz w:val="18"/>
          <w:szCs w:val="18"/>
          <w:color w:val="auto"/>
        </w:rPr>
      </w:pPr>
    </w:p>
    <w:p>
      <w:pPr>
        <w:ind w:left="1140" w:right="220" w:hanging="432"/>
        <w:spacing w:after="0" w:line="282"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Scaled and Growing Network: </w:t>
      </w:r>
      <w:r>
        <w:rPr>
          <w:rFonts w:ascii="Times New Roman" w:cs="Times New Roman" w:eastAsia="Times New Roman" w:hAnsi="Times New Roman"/>
          <w:sz w:val="18"/>
          <w:szCs w:val="18"/>
          <w:color w:val="auto"/>
        </w:rPr>
        <w:t>Our leading consumer-focused digital healthcare platform and brand have facilitated rapid growth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 base, which has helped us achieve significant scale. For</w:t>
      </w:r>
    </w:p>
    <w:p>
      <w:pPr>
        <w:spacing w:after="0" w:line="91" w:lineRule="exact"/>
        <w:rPr>
          <w:rFonts w:ascii="Times New Roman" w:cs="Times New Roman" w:eastAsia="Times New Roman" w:hAnsi="Times New Roman"/>
          <w:sz w:val="18"/>
          <w:szCs w:val="18"/>
          <w:color w:val="auto"/>
        </w:rPr>
      </w:pPr>
    </w:p>
    <w:p>
      <w:pPr>
        <w:ind w:left="5500" w:hanging="113"/>
        <w:spacing w:after="0"/>
        <w:tabs>
          <w:tab w:leader="none" w:pos="55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134 -</w:t>
      </w:r>
    </w:p>
    <w:p>
      <w:pPr>
        <w:sectPr>
          <w:pgSz w:w="11900" w:h="16838" w:orient="portrait"/>
          <w:cols w:equalWidth="0" w:num="1">
            <w:col w:w="11060"/>
          </w:cols>
          <w:pgMar w:left="320" w:top="454" w:right="51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140" w:right="40"/>
        <w:spacing w:after="0" w:line="255" w:lineRule="auto"/>
        <w:rPr>
          <w:sz w:val="20"/>
          <w:szCs w:val="20"/>
          <w:color w:val="auto"/>
        </w:rPr>
      </w:pPr>
      <w:r>
        <w:rPr>
          <w:rFonts w:ascii="Times New Roman" w:cs="Times New Roman" w:eastAsia="Times New Roman" w:hAnsi="Times New Roman"/>
          <w:sz w:val="18"/>
          <w:szCs w:val="18"/>
          <w:color w:val="auto"/>
        </w:rPr>
        <w:t>the second quarter of 2020, we had 4.4 million Monthly Active Consumers, and our GMV for 2019 was $2.5 billion. Our network extends to multiple PBMs and over 70,000 pharmacies where GoodRx codes can be used. As we have scaled our consumer base and healthcare partner networks, we have been able to increase the savings that we provide our consumers, in part by leveraging our growing consumer base to attract more partners and source better prices. Finally, our scale enables sophisticated data analytics that help us to continuously optimize our product, marketing and operations for the benefit of our consumers.</w:t>
      </w:r>
    </w:p>
    <w:p>
      <w:pPr>
        <w:spacing w:after="0" w:line="85" w:lineRule="exact"/>
        <w:rPr>
          <w:sz w:val="20"/>
          <w:szCs w:val="20"/>
          <w:color w:val="auto"/>
        </w:rPr>
      </w:pPr>
    </w:p>
    <w:p>
      <w:pPr>
        <w:ind w:left="1140" w:hanging="432"/>
        <w:spacing w:after="0" w:line="253"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Consumer-focus: </w:t>
      </w:r>
      <w:r>
        <w:rPr>
          <w:rFonts w:ascii="Times New Roman" w:cs="Times New Roman" w:eastAsia="Times New Roman" w:hAnsi="Times New Roman"/>
          <w:sz w:val="18"/>
          <w:szCs w:val="18"/>
          <w:color w:val="auto"/>
        </w:rPr>
        <w:t>We empower consumers with the tools and resources to navigate the complexity of the healthcare system. Our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delivers a consumer-first experience that is convenient and is easy to use and understand. Consumers only have to provide the name of their medication, and we do the rest. Results are presented in an easy to understand format that is designed to streamline and simplify the decision-making process. We aggregate a broad set of access and affordability options for the consumer, commonly showing options that we do not monetize, but we display because it is what may be right for the consumer. Our telehealth platform offers a similarly streamlined consumer experience that promotes ease of use and understanding. To ensure the best possible experience for consumers, our patient advocacy team provides guidance and support for our products and services.</w:t>
      </w:r>
    </w:p>
    <w:p>
      <w:pPr>
        <w:spacing w:after="0" w:line="88" w:lineRule="exact"/>
        <w:rPr>
          <w:rFonts w:ascii="Times New Roman" w:cs="Times New Roman" w:eastAsia="Times New Roman" w:hAnsi="Times New Roman"/>
          <w:sz w:val="18"/>
          <w:szCs w:val="18"/>
          <w:color w:val="auto"/>
        </w:rPr>
      </w:pPr>
    </w:p>
    <w:p>
      <w:pPr>
        <w:ind w:left="1140" w:hanging="432"/>
        <w:spacing w:after="0" w:line="254"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Extensible Platform: </w:t>
      </w:r>
      <w:r>
        <w:rPr>
          <w:rFonts w:ascii="Times New Roman" w:cs="Times New Roman" w:eastAsia="Times New Roman" w:hAnsi="Times New Roman"/>
          <w:sz w:val="18"/>
          <w:szCs w:val="18"/>
          <w:color w:val="auto"/>
        </w:rPr>
        <w:t>The large number of highly engaged consumers who trust our brand and platform provide a strong foundation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 new products that extend across the healthcare market. We have demonstrated our ability to develop new products such as our subscription offerings and pharmaceutical manufacturer solutions offering, and integrate acquired companies such as HeyDoctor. We plan to continue to expand and improve our platform to achieve our mission. Our large base of existing consumers allows us to extend our platform into new offerings and generate incremental revenue and consumer lifetime value without significant additional customer acquisition costs.</w:t>
      </w:r>
    </w:p>
    <w:p>
      <w:pPr>
        <w:spacing w:after="0" w:line="88" w:lineRule="exact"/>
        <w:rPr>
          <w:rFonts w:ascii="Times New Roman" w:cs="Times New Roman" w:eastAsia="Times New Roman" w:hAnsi="Times New Roman"/>
          <w:sz w:val="18"/>
          <w:szCs w:val="18"/>
          <w:color w:val="auto"/>
        </w:rPr>
      </w:pPr>
    </w:p>
    <w:p>
      <w:pPr>
        <w:ind w:left="1140" w:right="40" w:hanging="432"/>
        <w:spacing w:after="0" w:line="259"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Cash Generative Monetization Model: </w:t>
      </w:r>
      <w:r>
        <w:rPr>
          <w:rFonts w:ascii="Times New Roman" w:cs="Times New Roman" w:eastAsia="Times New Roman" w:hAnsi="Times New Roman"/>
          <w:sz w:val="18"/>
          <w:szCs w:val="18"/>
          <w:color w:val="auto"/>
        </w:rPr>
        <w:t>We believe our business model has facilitated the rapid growth and expansion of our platform.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been focused on capital efficiency and delivering on a cash generative monetization model since inception. We have a track record of generating cash flows, allowing us to reinvest in platform expansion and growth. In 2019, cash flows from operating activities was $83.3 million, and in the first half of 2020 cash flows from operating activities was $83.8 million.</w:t>
      </w:r>
    </w:p>
    <w:p>
      <w:pPr>
        <w:spacing w:after="0" w:line="2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Sales &amp; Marketing</w:t>
      </w:r>
    </w:p>
    <w:p>
      <w:pPr>
        <w:spacing w:after="0" w:line="118" w:lineRule="exact"/>
        <w:rPr>
          <w:sz w:val="20"/>
          <w:szCs w:val="20"/>
          <w:color w:val="auto"/>
        </w:rPr>
      </w:pPr>
    </w:p>
    <w:p>
      <w:pPr>
        <w:ind w:left="180" w:right="160" w:firstLine="436"/>
        <w:spacing w:after="0" w:line="257" w:lineRule="auto"/>
        <w:rPr>
          <w:sz w:val="20"/>
          <w:szCs w:val="20"/>
          <w:color w:val="auto"/>
        </w:rPr>
      </w:pPr>
      <w:r>
        <w:rPr>
          <w:rFonts w:ascii="Times New Roman" w:cs="Times New Roman" w:eastAsia="Times New Roman" w:hAnsi="Times New Roman"/>
          <w:sz w:val="18"/>
          <w:szCs w:val="18"/>
          <w:color w:val="auto"/>
        </w:rPr>
        <w:t>Consumers come to our platform organically and also through our sales and marketing initiatives. The GoodRx brand benefits from word-of-mouth recommendations to consumers from friends, healthcare professionals and pharmacists, as well as press coverage, which drives significant unpaid traffic to our apps and websites. For example, in 2019, our business, pricing and research was cited more than 1,800 times by major publications and newscasts, all unpaid placements.</w:t>
      </w:r>
    </w:p>
    <w:p>
      <w:pPr>
        <w:spacing w:after="0" w:line="182" w:lineRule="exact"/>
        <w:rPr>
          <w:sz w:val="20"/>
          <w:szCs w:val="20"/>
          <w:color w:val="auto"/>
        </w:rPr>
      </w:pPr>
    </w:p>
    <w:p>
      <w:pPr>
        <w:ind w:left="180" w:right="200" w:firstLine="436"/>
        <w:spacing w:after="0" w:line="277" w:lineRule="auto"/>
        <w:rPr>
          <w:sz w:val="20"/>
          <w:szCs w:val="20"/>
          <w:color w:val="auto"/>
        </w:rPr>
      </w:pPr>
      <w:r>
        <w:rPr>
          <w:rFonts w:ascii="Times New Roman" w:cs="Times New Roman" w:eastAsia="Times New Roman" w:hAnsi="Times New Roman"/>
          <w:sz w:val="18"/>
          <w:szCs w:val="18"/>
          <w:color w:val="auto"/>
        </w:rPr>
        <w:t>In addition to organic consumer acquisition, our sales and marketing efforts are designed to bring new consumers onto our platform for the first time and to re-engage existing consumers. We acquire new consumers through a variety of channels.</w:t>
      </w:r>
    </w:p>
    <w:p>
      <w:pPr>
        <w:spacing w:after="0" w:line="66" w:lineRule="exact"/>
        <w:rPr>
          <w:sz w:val="20"/>
          <w:szCs w:val="20"/>
          <w:color w:val="auto"/>
        </w:rPr>
      </w:pPr>
    </w:p>
    <w:p>
      <w:pPr>
        <w:ind w:left="1140" w:hanging="432"/>
        <w:spacing w:after="0"/>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Direct to Consumer Marketing</w:t>
      </w:r>
    </w:p>
    <w:p>
      <w:pPr>
        <w:spacing w:after="0" w:line="126" w:lineRule="exact"/>
        <w:rPr>
          <w:rFonts w:ascii="Times New Roman" w:cs="Times New Roman" w:eastAsia="Times New Roman" w:hAnsi="Times New Roman"/>
          <w:sz w:val="18"/>
          <w:szCs w:val="18"/>
          <w:color w:val="auto"/>
        </w:rPr>
      </w:pPr>
    </w:p>
    <w:p>
      <w:pPr>
        <w:ind w:left="1580" w:right="440" w:hanging="324"/>
        <w:spacing w:after="0" w:line="282" w:lineRule="auto"/>
        <w:tabs>
          <w:tab w:leader="none" w:pos="15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TV: </w:t>
      </w:r>
      <w:r>
        <w:rPr>
          <w:rFonts w:ascii="Times New Roman" w:cs="Times New Roman" w:eastAsia="Times New Roman" w:hAnsi="Times New Roman"/>
          <w:sz w:val="18"/>
          <w:szCs w:val="18"/>
          <w:color w:val="auto"/>
        </w:rPr>
        <w:t>We advertise both on traditional linear television as well as through digital streaming. We buy media through agencies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 targeting through internal analytics and external partners.</w:t>
      </w:r>
    </w:p>
    <w:p>
      <w:pPr>
        <w:spacing w:after="0" w:line="61" w:lineRule="exact"/>
        <w:rPr>
          <w:rFonts w:ascii="Times New Roman" w:cs="Times New Roman" w:eastAsia="Times New Roman" w:hAnsi="Times New Roman"/>
          <w:sz w:val="18"/>
          <w:szCs w:val="18"/>
          <w:color w:val="auto"/>
        </w:rPr>
      </w:pPr>
    </w:p>
    <w:p>
      <w:pPr>
        <w:ind w:left="1580" w:hanging="324"/>
        <w:spacing w:after="0" w:line="282" w:lineRule="auto"/>
        <w:tabs>
          <w:tab w:leader="none" w:pos="15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Paid Search: </w:t>
      </w:r>
      <w:r>
        <w:rPr>
          <w:rFonts w:ascii="Times New Roman" w:cs="Times New Roman" w:eastAsia="Times New Roman" w:hAnsi="Times New Roman"/>
          <w:sz w:val="18"/>
          <w:szCs w:val="18"/>
          <w:color w:val="auto"/>
        </w:rPr>
        <w:t>We buy search advertising primarily through Google and Bing. We use both external vendors and internal analytics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bid optimization and channel strategy.</w:t>
      </w:r>
    </w:p>
    <w:p>
      <w:pPr>
        <w:spacing w:after="0" w:line="61" w:lineRule="exact"/>
        <w:rPr>
          <w:rFonts w:ascii="Times New Roman" w:cs="Times New Roman" w:eastAsia="Times New Roman" w:hAnsi="Times New Roman"/>
          <w:sz w:val="18"/>
          <w:szCs w:val="18"/>
          <w:color w:val="auto"/>
        </w:rPr>
      </w:pPr>
    </w:p>
    <w:p>
      <w:pPr>
        <w:ind w:left="1580" w:hanging="324"/>
        <w:spacing w:after="0"/>
        <w:tabs>
          <w:tab w:leader="none" w:pos="15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Digital: </w:t>
      </w:r>
      <w:r>
        <w:rPr>
          <w:rFonts w:ascii="Times New Roman" w:cs="Times New Roman" w:eastAsia="Times New Roman" w:hAnsi="Times New Roman"/>
          <w:sz w:val="18"/>
          <w:szCs w:val="18"/>
          <w:color w:val="auto"/>
        </w:rPr>
        <w:t>We execute display, paid social, and mobile advertising campaigns.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Marketing through Partners</w:t>
      </w:r>
    </w:p>
    <w:p>
      <w:pPr>
        <w:spacing w:after="0" w:line="126" w:lineRule="exact"/>
        <w:rPr>
          <w:rFonts w:ascii="Times New Roman" w:cs="Times New Roman" w:eastAsia="Times New Roman" w:hAnsi="Times New Roman"/>
          <w:sz w:val="18"/>
          <w:szCs w:val="18"/>
          <w:color w:val="auto"/>
        </w:rPr>
      </w:pPr>
    </w:p>
    <w:p>
      <w:pPr>
        <w:ind w:left="1580" w:right="40" w:hanging="324"/>
        <w:spacing w:after="0" w:line="282" w:lineRule="auto"/>
        <w:tabs>
          <w:tab w:leader="none" w:pos="15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Healthcare Professional Marketing: </w:t>
      </w:r>
      <w:r>
        <w:rPr>
          <w:rFonts w:ascii="Times New Roman" w:cs="Times New Roman" w:eastAsia="Times New Roman" w:hAnsi="Times New Roman"/>
          <w:sz w:val="18"/>
          <w:szCs w:val="18"/>
          <w:color w:val="auto"/>
        </w:rPr>
        <w:t>We market through healthcare professionals by providing in-office materials, enabling them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distribute information regarding our offerings to their</w:t>
      </w:r>
    </w:p>
    <w:p>
      <w:pPr>
        <w:spacing w:after="0" w:line="91" w:lineRule="exact"/>
        <w:rPr>
          <w:rFonts w:ascii="Times New Roman" w:cs="Times New Roman" w:eastAsia="Times New Roman" w:hAnsi="Times New Roman"/>
          <w:sz w:val="18"/>
          <w:szCs w:val="18"/>
          <w:color w:val="auto"/>
        </w:rPr>
      </w:pPr>
    </w:p>
    <w:p>
      <w:pPr>
        <w:ind w:left="5500" w:hanging="113"/>
        <w:spacing w:after="0"/>
        <w:tabs>
          <w:tab w:leader="none" w:pos="550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135 -</w:t>
      </w:r>
    </w:p>
    <w:p>
      <w:pPr>
        <w:sectPr>
          <w:pgSz w:w="11900" w:h="16838" w:orient="portrait"/>
          <w:cols w:equalWidth="0" w:num="1">
            <w:col w:w="11040"/>
          </w:cols>
          <w:pgMar w:left="320" w:top="454" w:right="5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580"/>
        <w:spacing w:after="0" w:line="255" w:lineRule="auto"/>
        <w:rPr>
          <w:sz w:val="20"/>
          <w:szCs w:val="20"/>
          <w:color w:val="auto"/>
        </w:rPr>
      </w:pPr>
      <w:r>
        <w:rPr>
          <w:rFonts w:ascii="Times New Roman" w:cs="Times New Roman" w:eastAsia="Times New Roman" w:hAnsi="Times New Roman"/>
          <w:sz w:val="18"/>
          <w:szCs w:val="18"/>
          <w:color w:val="auto"/>
        </w:rPr>
        <w:t>patients. We have also built GoodRx Pro, an app designed specifically for healthcare professionals to facilitate electronic prescriptions. This app is integrated with our prescription offering to enable physicians to quickly find the form, dosage and quantity of medication that they intend to prescribe and seamlessly send pricing that is available on GoodRx to their patients. The GoodRx Pro app is available on the Apple App Store and Google Play App Store and has an average rating of 4.8 out of 5.0, with over 10,000 combined reviews as of June 30, 2020.</w:t>
      </w:r>
    </w:p>
    <w:p>
      <w:pPr>
        <w:spacing w:after="0" w:line="85" w:lineRule="exact"/>
        <w:rPr>
          <w:sz w:val="20"/>
          <w:szCs w:val="20"/>
          <w:color w:val="auto"/>
        </w:rPr>
      </w:pPr>
    </w:p>
    <w:p>
      <w:pPr>
        <w:ind w:left="1580" w:right="60" w:hanging="324"/>
        <w:spacing w:after="0" w:line="265" w:lineRule="auto"/>
        <w:tabs>
          <w:tab w:leader="none" w:pos="15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EHRs: </w:t>
      </w:r>
      <w:r>
        <w:rPr>
          <w:rFonts w:ascii="Times New Roman" w:cs="Times New Roman" w:eastAsia="Times New Roman" w:hAnsi="Times New Roman"/>
          <w:sz w:val="18"/>
          <w:szCs w:val="18"/>
          <w:color w:val="auto"/>
        </w:rPr>
        <w:t>We work with several of the largest electronic health record providers, or EHRs, which integrate pricing from our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their prescribing workflows so that healthcare professionals can provide prices from our platform to their patients at the point of prescribing.</w:t>
      </w:r>
    </w:p>
    <w:p>
      <w:pPr>
        <w:spacing w:after="0" w:line="75" w:lineRule="exact"/>
        <w:rPr>
          <w:rFonts w:ascii="Times New Roman" w:cs="Times New Roman" w:eastAsia="Times New Roman" w:hAnsi="Times New Roman"/>
          <w:sz w:val="18"/>
          <w:szCs w:val="18"/>
          <w:color w:val="auto"/>
        </w:rPr>
      </w:pPr>
    </w:p>
    <w:p>
      <w:pPr>
        <w:ind w:left="1580" w:right="480" w:hanging="324"/>
        <w:spacing w:after="0" w:line="312" w:lineRule="auto"/>
        <w:tabs>
          <w:tab w:leader="none" w:pos="158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Affiliates: </w:t>
      </w:r>
      <w:r>
        <w:rPr>
          <w:rFonts w:ascii="Times New Roman" w:cs="Times New Roman" w:eastAsia="Times New Roman" w:hAnsi="Times New Roman"/>
          <w:sz w:val="17"/>
          <w:szCs w:val="17"/>
          <w:color w:val="auto"/>
        </w:rPr>
        <w:t>We partner with a variety of organizations to distribute our discounts and solutions to a broader target audience.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example, we are the exclusive provider of prescription pricing to the American Automobile Association membership base.</w:t>
      </w:r>
    </w:p>
    <w:p>
      <w:pPr>
        <w:spacing w:after="0" w:line="39" w:lineRule="exact"/>
        <w:rPr>
          <w:rFonts w:ascii="Times New Roman" w:cs="Times New Roman" w:eastAsia="Times New Roman" w:hAnsi="Times New Roman"/>
          <w:sz w:val="17"/>
          <w:szCs w:val="17"/>
          <w:color w:val="auto"/>
        </w:rPr>
      </w:pPr>
    </w:p>
    <w:p>
      <w:pPr>
        <w:ind w:left="1140" w:hanging="432"/>
        <w:spacing w:after="0"/>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Content Creation</w:t>
      </w:r>
    </w:p>
    <w:p>
      <w:pPr>
        <w:spacing w:after="0" w:line="126" w:lineRule="exact"/>
        <w:rPr>
          <w:rFonts w:ascii="Times New Roman" w:cs="Times New Roman" w:eastAsia="Times New Roman" w:hAnsi="Times New Roman"/>
          <w:sz w:val="18"/>
          <w:szCs w:val="18"/>
          <w:color w:val="auto"/>
        </w:rPr>
      </w:pPr>
    </w:p>
    <w:p>
      <w:pPr>
        <w:ind w:left="1580" w:right="160" w:hanging="324"/>
        <w:spacing w:after="0" w:line="252" w:lineRule="auto"/>
        <w:tabs>
          <w:tab w:leader="none" w:pos="15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Essential Source of Consumer Healthcare Insights: </w:t>
      </w:r>
      <w:r>
        <w:rPr>
          <w:rFonts w:ascii="Times New Roman" w:cs="Times New Roman" w:eastAsia="Times New Roman" w:hAnsi="Times New Roman"/>
          <w:sz w:val="18"/>
          <w:szCs w:val="18"/>
          <w:color w:val="auto"/>
        </w:rPr>
        <w:t>Our market research and content creation teams seek to make GoodRx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essential consumer platform for relevant healthcare information, education and updates. Since 2017, media organizations and academic researchers have mentioned and discussed our business more than 4,500 times, and we are frequently cited as a resource for healthcare intelligence, medication pricing and prescribing trends. Consumers can come to our apps and websites and find information regarding insurance, medications, and common health topics, and we seek to offer resources that educate consumers as to these topics and our various offerings. Relevant healthcare content increases traffic to the GoodRx apps and websites, providing us with more opportunities to convert visitors to active consumers. Our GoodRx medication and condition editorial content had an average of over 2.5 million monthly visitors in the first half of 2020.</w:t>
      </w:r>
    </w:p>
    <w:p>
      <w:pPr>
        <w:spacing w:after="0" w:line="189" w:lineRule="exact"/>
        <w:rPr>
          <w:sz w:val="20"/>
          <w:szCs w:val="20"/>
          <w:color w:val="auto"/>
        </w:rPr>
      </w:pPr>
    </w:p>
    <w:p>
      <w:pPr>
        <w:ind w:left="180" w:right="40" w:firstLine="436"/>
        <w:spacing w:after="0" w:line="277" w:lineRule="auto"/>
        <w:rPr>
          <w:sz w:val="20"/>
          <w:szCs w:val="20"/>
          <w:color w:val="auto"/>
        </w:rPr>
      </w:pPr>
      <w:r>
        <w:rPr>
          <w:rFonts w:ascii="Times New Roman" w:cs="Times New Roman" w:eastAsia="Times New Roman" w:hAnsi="Times New Roman"/>
          <w:sz w:val="18"/>
          <w:szCs w:val="18"/>
          <w:color w:val="auto"/>
        </w:rPr>
        <w:t>We believe that we still have significant opportunities to improve our unaided awareness, to build our brand, as well as to scale existing marketing channels, and unlock new ones.</w:t>
      </w:r>
    </w:p>
    <w:p>
      <w:pPr>
        <w:spacing w:after="0" w:line="1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also deploy a variety of consumer retention tools on our platform. These include:</w:t>
      </w:r>
    </w:p>
    <w:p>
      <w:pPr>
        <w:spacing w:after="0" w:line="123" w:lineRule="exact"/>
        <w:rPr>
          <w:sz w:val="20"/>
          <w:szCs w:val="20"/>
          <w:color w:val="auto"/>
        </w:rPr>
      </w:pPr>
    </w:p>
    <w:p>
      <w:pPr>
        <w:ind w:left="1140" w:right="200" w:hanging="432"/>
        <w:spacing w:after="0" w:line="265" w:lineRule="auto"/>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Savings Information Retained in Pharmacy Database: </w:t>
      </w:r>
      <w:r>
        <w:rPr>
          <w:rFonts w:ascii="Times New Roman" w:cs="Times New Roman" w:eastAsia="Times New Roman" w:hAnsi="Times New Roman"/>
          <w:sz w:val="18"/>
          <w:szCs w:val="18"/>
          <w:color w:val="auto"/>
        </w:rPr>
        <w:t>When a consumer uses a GoodRx code, the code is saved to the consumer’s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profile at the pharmacy. From then on, the discounted price typically applies to future refills and new prescriptions without the consumer having to re-present the GoodRx code.</w:t>
      </w:r>
    </w:p>
    <w:p>
      <w:pPr>
        <w:spacing w:after="0" w:line="75" w:lineRule="exact"/>
        <w:rPr>
          <w:rFonts w:ascii="Times New Roman" w:cs="Times New Roman" w:eastAsia="Times New Roman" w:hAnsi="Times New Roman"/>
          <w:sz w:val="18"/>
          <w:szCs w:val="18"/>
          <w:color w:val="auto"/>
        </w:rPr>
      </w:pPr>
    </w:p>
    <w:p>
      <w:pPr>
        <w:ind w:left="1140" w:right="80" w:hanging="432"/>
        <w:spacing w:after="0" w:line="265" w:lineRule="auto"/>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Consumer Lifecycle Management: </w:t>
      </w:r>
      <w:r>
        <w:rPr>
          <w:rFonts w:ascii="Times New Roman" w:cs="Times New Roman" w:eastAsia="Times New Roman" w:hAnsi="Times New Roman"/>
          <w:sz w:val="18"/>
          <w:szCs w:val="18"/>
          <w:color w:val="auto"/>
        </w:rPr>
        <w:t>We engage with consumers to provide them with value-added information that improves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using our platform. Types of engagement include savings alerts, medication information alerts, refill reminders and links to our other offerings such as telehealth visits when a prescription is about to expire.</w:t>
      </w:r>
    </w:p>
    <w:p>
      <w:pPr>
        <w:spacing w:after="0" w:line="75" w:lineRule="exact"/>
        <w:rPr>
          <w:rFonts w:ascii="Times New Roman" w:cs="Times New Roman" w:eastAsia="Times New Roman" w:hAnsi="Times New Roman"/>
          <w:sz w:val="18"/>
          <w:szCs w:val="18"/>
          <w:color w:val="auto"/>
        </w:rPr>
      </w:pPr>
    </w:p>
    <w:p>
      <w:pPr>
        <w:ind w:left="1140" w:right="60" w:hanging="432"/>
        <w:spacing w:after="0" w:line="252" w:lineRule="auto"/>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Consumer Support &amp; Patient Advocacy: </w:t>
      </w:r>
      <w:r>
        <w:rPr>
          <w:rFonts w:ascii="Times New Roman" w:cs="Times New Roman" w:eastAsia="Times New Roman" w:hAnsi="Times New Roman"/>
          <w:sz w:val="18"/>
          <w:szCs w:val="18"/>
          <w:color w:val="auto"/>
        </w:rPr>
        <w:t>Consumers often need additional, higher-touch support to understand the cost and coverage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for their medication. We provide strong consumer support and patient advocacy services to help consumers understand how best to afford their medication. In April 2020, we accepted over 60,000 consumer calls, had an average wait time of less than 20 seconds and had a customer satisfaction score of 99% based on our consumer surveys. We use a combined insourced and outsourced model, and all consumer support professionals are located within the United States. Our team is trained to provide support to consumers related to consumers’ specific healthcare questions, such as insurance coverage for brand medication. We believe that our consumer support and patient advocacy team is an asset that we can leverage, specifically in supporting new areas of growth for our business by directing consumers to our new offerings.</w:t>
      </w:r>
    </w:p>
    <w:p>
      <w:pPr>
        <w:spacing w:after="0" w:line="122" w:lineRule="exact"/>
        <w:rPr>
          <w:rFonts w:ascii="Times New Roman" w:cs="Times New Roman" w:eastAsia="Times New Roman" w:hAnsi="Times New Roman"/>
          <w:sz w:val="18"/>
          <w:szCs w:val="18"/>
          <w:color w:val="auto"/>
        </w:rPr>
      </w:pPr>
    </w:p>
    <w:p>
      <w:pPr>
        <w:ind w:left="5500" w:hanging="113"/>
        <w:spacing w:after="0"/>
        <w:tabs>
          <w:tab w:leader="none" w:pos="55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136 -</w:t>
      </w:r>
    </w:p>
    <w:p>
      <w:pPr>
        <w:sectPr>
          <w:pgSz w:w="11900" w:h="16838" w:orient="portrait"/>
          <w:cols w:equalWidth="0" w:num="1">
            <w:col w:w="11080"/>
          </w:cols>
          <w:pgMar w:left="320" w:top="454" w:right="49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27" w:lineRule="exact"/>
        <w:rPr>
          <w:sz w:val="20"/>
          <w:szCs w:val="20"/>
          <w:color w:val="auto"/>
        </w:rPr>
      </w:pPr>
    </w:p>
    <w:p>
      <w:pPr>
        <w:jc w:val="both"/>
        <w:ind w:left="1140" w:right="180" w:hanging="432"/>
        <w:spacing w:after="0" w:line="265" w:lineRule="auto"/>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Pricing Engine: </w:t>
      </w:r>
      <w:r>
        <w:rPr>
          <w:rFonts w:ascii="Times New Roman" w:cs="Times New Roman" w:eastAsia="Times New Roman" w:hAnsi="Times New Roman"/>
          <w:sz w:val="18"/>
          <w:szCs w:val="18"/>
          <w:color w:val="auto"/>
        </w:rPr>
        <w:t>Our price ingestion technology enables us to link with multiple sources spanning the healthcare industry.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 we have proprietary patented technology related to collecting and normalizing prices from multiple PBMs and presenting them using a single consumer interface.</w:t>
      </w:r>
    </w:p>
    <w:p>
      <w:pPr>
        <w:spacing w:after="0" w:line="75" w:lineRule="exact"/>
        <w:rPr>
          <w:rFonts w:ascii="Times New Roman" w:cs="Times New Roman" w:eastAsia="Times New Roman" w:hAnsi="Times New Roman"/>
          <w:sz w:val="18"/>
          <w:szCs w:val="18"/>
          <w:color w:val="auto"/>
        </w:rPr>
      </w:pPr>
    </w:p>
    <w:p>
      <w:pPr>
        <w:ind w:left="1140" w:right="300" w:hanging="432"/>
        <w:spacing w:after="0" w:line="265" w:lineRule="auto"/>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Constant Data Refresh: </w:t>
      </w:r>
      <w:r>
        <w:rPr>
          <w:rFonts w:ascii="Times New Roman" w:cs="Times New Roman" w:eastAsia="Times New Roman" w:hAnsi="Times New Roman"/>
          <w:sz w:val="18"/>
          <w:szCs w:val="18"/>
          <w:color w:val="auto"/>
        </w:rPr>
        <w:t>Displaying our prescription- and location-specific list of prices to each consumer in near real-time requires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rapid processing of a significant amount of data, the use of complex predictive models, and sophisticated software programming and design.</w:t>
      </w:r>
    </w:p>
    <w:p>
      <w:pPr>
        <w:spacing w:after="0" w:line="75" w:lineRule="exact"/>
        <w:rPr>
          <w:rFonts w:ascii="Times New Roman" w:cs="Times New Roman" w:eastAsia="Times New Roman" w:hAnsi="Times New Roman"/>
          <w:sz w:val="18"/>
          <w:szCs w:val="18"/>
          <w:color w:val="auto"/>
        </w:rPr>
      </w:pPr>
    </w:p>
    <w:p>
      <w:pPr>
        <w:ind w:left="1140" w:right="400" w:hanging="432"/>
        <w:spacing w:after="0" w:line="256" w:lineRule="auto"/>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Living Database: </w:t>
      </w:r>
      <w:r>
        <w:rPr>
          <w:rFonts w:ascii="Times New Roman" w:cs="Times New Roman" w:eastAsia="Times New Roman" w:hAnsi="Times New Roman"/>
          <w:sz w:val="18"/>
          <w:szCs w:val="18"/>
          <w:color w:val="auto"/>
        </w:rPr>
        <w:t>Since inception, our platform has processed over $8 billion of GMV, with $0.7 billion, $1.1 billion, $1.8 billion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$2.5 billion processed in 2016, 2017, 2018 and 2019, respectively. With every prescription filled, our dataset becomes more comprehensive and accurate. We use our proprietary algorithms to create actionable insights and continuously improve our consumer experience. Our database is central to the value that we provide to our consumers through accurate pricing and improved recommendations. We refer to our data as “living”, meaning that it is dynamic and continually being updated or refined.</w:t>
      </w:r>
    </w:p>
    <w:p>
      <w:pPr>
        <w:spacing w:after="0" w:line="84" w:lineRule="exact"/>
        <w:rPr>
          <w:rFonts w:ascii="Times New Roman" w:cs="Times New Roman" w:eastAsia="Times New Roman" w:hAnsi="Times New Roman"/>
          <w:sz w:val="18"/>
          <w:szCs w:val="18"/>
          <w:color w:val="auto"/>
        </w:rPr>
      </w:pPr>
    </w:p>
    <w:p>
      <w:pPr>
        <w:ind w:left="1140" w:right="100" w:hanging="432"/>
        <w:spacing w:after="0" w:line="256" w:lineRule="auto"/>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Artificial Intelligence / Machine Learning: </w:t>
      </w:r>
      <w:r>
        <w:rPr>
          <w:rFonts w:ascii="Times New Roman" w:cs="Times New Roman" w:eastAsia="Times New Roman" w:hAnsi="Times New Roman"/>
          <w:sz w:val="18"/>
          <w:szCs w:val="18"/>
          <w:color w:val="auto"/>
        </w:rPr>
        <w:t>Our engine is also able to learn from and react to changes in prescribing habits or to ensure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consumers are selecting the accurate dosing or form of a given medication. For example, our engine will automatically show the most common dose of a given medication. We also take into account pharmacy-level dispensing patterns that may impact the price of a medication, such as when two pharmacy locations that are part of the same pharmacy chain dispense the same medication, but source the medication from different manufacturers.</w:t>
      </w:r>
    </w:p>
    <w:p>
      <w:pPr>
        <w:spacing w:after="0" w:line="84" w:lineRule="exact"/>
        <w:rPr>
          <w:rFonts w:ascii="Times New Roman" w:cs="Times New Roman" w:eastAsia="Times New Roman" w:hAnsi="Times New Roman"/>
          <w:sz w:val="18"/>
          <w:szCs w:val="18"/>
          <w:color w:val="auto"/>
        </w:rPr>
      </w:pPr>
    </w:p>
    <w:p>
      <w:pPr>
        <w:ind w:left="1140" w:right="340" w:hanging="432"/>
        <w:spacing w:after="0" w:line="265" w:lineRule="auto"/>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Proprietary Telehealth EHR: </w:t>
      </w:r>
      <w:r>
        <w:rPr>
          <w:rFonts w:ascii="Times New Roman" w:cs="Times New Roman" w:eastAsia="Times New Roman" w:hAnsi="Times New Roman"/>
          <w:sz w:val="18"/>
          <w:szCs w:val="18"/>
          <w:color w:val="auto"/>
        </w:rPr>
        <w:t>We have built a proprietary EHR to support HeyDoctor. This EHR is used by physicians to conduct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online patient visits, with built-in messaging and video capabilities, as well as the ability to send consumers electronic prescriptions, prescription pricing, and mail order options.</w:t>
      </w:r>
    </w:p>
    <w:p>
      <w:pPr>
        <w:spacing w:after="0" w:line="75" w:lineRule="exact"/>
        <w:rPr>
          <w:rFonts w:ascii="Times New Roman" w:cs="Times New Roman" w:eastAsia="Times New Roman" w:hAnsi="Times New Roman"/>
          <w:sz w:val="18"/>
          <w:szCs w:val="18"/>
          <w:color w:val="auto"/>
        </w:rPr>
      </w:pPr>
    </w:p>
    <w:p>
      <w:pPr>
        <w:ind w:left="1140" w:right="160" w:hanging="432"/>
        <w:spacing w:after="0" w:line="312" w:lineRule="auto"/>
        <w:tabs>
          <w:tab w:leader="none" w:pos="11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Scalable: </w:t>
      </w:r>
      <w:r>
        <w:rPr>
          <w:rFonts w:ascii="Times New Roman" w:cs="Times New Roman" w:eastAsia="Times New Roman" w:hAnsi="Times New Roman"/>
          <w:sz w:val="17"/>
          <w:szCs w:val="17"/>
          <w:color w:val="auto"/>
        </w:rPr>
        <w:t>Our digital platform is cloud native, scalable and reliable. We leverage major third-party cloud and data service providers, such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Amazon Web Services and the Google Cloud Platform. We have built a modular system of services on top of this infrastructure.</w:t>
      </w:r>
    </w:p>
    <w:p>
      <w:pPr>
        <w:spacing w:after="0" w:line="39" w:lineRule="exact"/>
        <w:rPr>
          <w:rFonts w:ascii="Times New Roman" w:cs="Times New Roman" w:eastAsia="Times New Roman" w:hAnsi="Times New Roman"/>
          <w:sz w:val="17"/>
          <w:szCs w:val="17"/>
          <w:color w:val="auto"/>
        </w:rPr>
      </w:pPr>
    </w:p>
    <w:p>
      <w:pPr>
        <w:ind w:left="1140" w:hanging="432"/>
        <w:spacing w:after="0" w:line="254" w:lineRule="auto"/>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Secure: </w:t>
      </w:r>
      <w:r>
        <w:rPr>
          <w:rFonts w:ascii="Times New Roman" w:cs="Times New Roman" w:eastAsia="Times New Roman" w:hAnsi="Times New Roman"/>
          <w:sz w:val="18"/>
          <w:szCs w:val="18"/>
          <w:color w:val="auto"/>
        </w:rPr>
        <w:t>Trust is critical to our relationship with both our consumers and our partners and we take security and privacy very seriously.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 security procedures and policies informed by various industry-standard frameworks such as NIST SP 800-53, ISO 27002, HIPAA and PCI DSS. Our operations are audited annually as part of a SOC2 audit, based on principles developed by the American Institute of Certified Public Accountants and we have obtained SOC2 certification with respect to our prescription offering and subscription offerings. In addition, our security is tested through our bug-bounty program. We continue to expand our team and solutions to address emerging risks and changes in the threat landscape.</w:t>
      </w:r>
    </w:p>
    <w:p>
      <w:pPr>
        <w:spacing w:after="0" w:line="2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key elements of our growth strategy include:</w:t>
      </w:r>
    </w:p>
    <w:p>
      <w:pPr>
        <w:spacing w:after="0" w:line="123" w:lineRule="exact"/>
        <w:rPr>
          <w:sz w:val="20"/>
          <w:szCs w:val="20"/>
          <w:color w:val="auto"/>
        </w:rPr>
      </w:pPr>
    </w:p>
    <w:p>
      <w:pPr>
        <w:jc w:val="both"/>
        <w:ind w:left="1140" w:right="20" w:hanging="432"/>
        <w:spacing w:after="0" w:line="259" w:lineRule="auto"/>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Attract New Consumers: </w:t>
      </w:r>
      <w:r>
        <w:rPr>
          <w:rFonts w:ascii="Times New Roman" w:cs="Times New Roman" w:eastAsia="Times New Roman" w:hAnsi="Times New Roman"/>
          <w:sz w:val="18"/>
          <w:szCs w:val="18"/>
          <w:color w:val="auto"/>
        </w:rPr>
        <w:t>We believe that we have a significant opportunity to serve all Americans. By growing awareness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existing offerings and through the extension of our platform into many of the other areas of healthcare that lack price transparency and consumer empowerment, we believe that we can address an increasingly larger portion of the healthcare market in the United States, which is projected to reach $4.0 trillion in 2020.</w:t>
      </w:r>
    </w:p>
    <w:p>
      <w:pPr>
        <w:spacing w:after="0" w:line="81" w:lineRule="exact"/>
        <w:rPr>
          <w:rFonts w:ascii="Times New Roman" w:cs="Times New Roman" w:eastAsia="Times New Roman" w:hAnsi="Times New Roman"/>
          <w:sz w:val="18"/>
          <w:szCs w:val="18"/>
          <w:color w:val="auto"/>
        </w:rPr>
      </w:pPr>
    </w:p>
    <w:p>
      <w:pPr>
        <w:ind w:left="1140" w:right="140" w:hanging="432"/>
        <w:spacing w:after="0" w:line="287" w:lineRule="auto"/>
        <w:tabs>
          <w:tab w:leader="none" w:pos="11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Continue to Facilitate Existing GoodRx Consumers’ Adoption of Multiple GoodRx Offerings: </w:t>
      </w:r>
      <w:r>
        <w:rPr>
          <w:rFonts w:ascii="Times New Roman" w:cs="Times New Roman" w:eastAsia="Times New Roman" w:hAnsi="Times New Roman"/>
          <w:sz w:val="17"/>
          <w:szCs w:val="17"/>
          <w:color w:val="auto"/>
        </w:rPr>
        <w:t>We aim to increase the number of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monetization channels used by our existing consumers. We believe that this will result in higher consumer satisfaction and be accretive to our consumer lifetime value and to our margins in the medium to long term, without significant additional consumer acquisition costs.</w:t>
      </w:r>
    </w:p>
    <w:p>
      <w:pPr>
        <w:spacing w:after="0" w:line="90" w:lineRule="exact"/>
        <w:rPr>
          <w:rFonts w:ascii="Times New Roman" w:cs="Times New Roman" w:eastAsia="Times New Roman" w:hAnsi="Times New Roman"/>
          <w:sz w:val="17"/>
          <w:szCs w:val="17"/>
          <w:color w:val="auto"/>
        </w:rPr>
      </w:pPr>
    </w:p>
    <w:p>
      <w:pPr>
        <w:ind w:left="5500" w:hanging="113"/>
        <w:spacing w:after="0"/>
        <w:tabs>
          <w:tab w:leader="none" w:pos="55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137 -</w:t>
      </w:r>
    </w:p>
    <w:p>
      <w:pPr>
        <w:sectPr>
          <w:pgSz w:w="11900" w:h="16838" w:orient="portrait"/>
          <w:cols w:equalWidth="0" w:num="1">
            <w:col w:w="11080"/>
          </w:cols>
          <w:pgMar w:left="320" w:top="453" w:right="49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140" w:hanging="432"/>
        <w:spacing w:after="0" w:line="272" w:lineRule="auto"/>
        <w:tabs>
          <w:tab w:leader="none" w:pos="11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Continue to Build the GoodRx Brand: </w:t>
      </w:r>
      <w:r>
        <w:rPr>
          <w:rFonts w:ascii="Times New Roman" w:cs="Times New Roman" w:eastAsia="Times New Roman" w:hAnsi="Times New Roman"/>
          <w:sz w:val="17"/>
          <w:szCs w:val="17"/>
          <w:color w:val="auto"/>
        </w:rPr>
        <w:t>We believe that there are significant opportunities to increase awareness and educate healthcare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consumers regarding prescription pricing, as well as our platform and solutions. Based on a July 2020 survey we commissioned from Lab42 Research LLC, we estimate that 70% of consumers do not know that the price of a prescription can vary widely across pharmacies. We estimate that our unaided awareness, or the percentage of consumers that are aware of our platform and brand without being prompted, was approximately 17% as of May 2020. As we continue to invest in marketing, we anticipate that many of the consumers who do not fully understand prescription pricing, or that are not aware of tools such as our platform, will begin using our platform.</w:t>
      </w:r>
    </w:p>
    <w:p>
      <w:pPr>
        <w:spacing w:after="0" w:line="73" w:lineRule="exact"/>
        <w:rPr>
          <w:rFonts w:ascii="Times New Roman" w:cs="Times New Roman" w:eastAsia="Times New Roman" w:hAnsi="Times New Roman"/>
          <w:sz w:val="17"/>
          <w:szCs w:val="17"/>
          <w:color w:val="auto"/>
        </w:rPr>
      </w:pPr>
    </w:p>
    <w:p>
      <w:pPr>
        <w:jc w:val="both"/>
        <w:ind w:left="1140" w:right="500" w:hanging="432"/>
        <w:spacing w:after="0" w:line="265" w:lineRule="auto"/>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 in Product Offerings: </w:t>
      </w:r>
      <w:r>
        <w:rPr>
          <w:rFonts w:ascii="Times New Roman" w:cs="Times New Roman" w:eastAsia="Times New Roman" w:hAnsi="Times New Roman"/>
          <w:sz w:val="18"/>
          <w:szCs w:val="18"/>
          <w:color w:val="auto"/>
        </w:rPr>
        <w:t>We plan to continue to invest in and scale our range of product offerings to better address the needs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consumers, provide them with better pricing, and improve their overall healthcare journey. We have a multi-prong approach for this strategy which includes:</w:t>
      </w:r>
    </w:p>
    <w:p>
      <w:pPr>
        <w:spacing w:after="0" w:line="75" w:lineRule="exact"/>
        <w:rPr>
          <w:rFonts w:ascii="Times New Roman" w:cs="Times New Roman" w:eastAsia="Times New Roman" w:hAnsi="Times New Roman"/>
          <w:sz w:val="18"/>
          <w:szCs w:val="18"/>
          <w:color w:val="auto"/>
        </w:rPr>
      </w:pPr>
    </w:p>
    <w:p>
      <w:pPr>
        <w:ind w:left="1580" w:right="120" w:hanging="324"/>
        <w:spacing w:after="0" w:line="265" w:lineRule="auto"/>
        <w:tabs>
          <w:tab w:leader="none" w:pos="15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Subscription Offerings: </w:t>
      </w:r>
      <w:r>
        <w:rPr>
          <w:rFonts w:ascii="Times New Roman" w:cs="Times New Roman" w:eastAsia="Times New Roman" w:hAnsi="Times New Roman"/>
          <w:sz w:val="18"/>
          <w:szCs w:val="18"/>
          <w:color w:val="auto"/>
        </w:rPr>
        <w:t>The usage of Gold and Kroger Savings has increased significantly. We believe these offerings have higher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lifetime value than our prescription transactions offering. We will continue to increase the value proposition for consumers by bundling various existing and new offerings in affordable and consumer-friendly subscription packages.</w:t>
      </w:r>
    </w:p>
    <w:p>
      <w:pPr>
        <w:spacing w:after="0" w:line="75" w:lineRule="exact"/>
        <w:rPr>
          <w:rFonts w:ascii="Times New Roman" w:cs="Times New Roman" w:eastAsia="Times New Roman" w:hAnsi="Times New Roman"/>
          <w:sz w:val="18"/>
          <w:szCs w:val="18"/>
          <w:color w:val="auto"/>
        </w:rPr>
      </w:pPr>
    </w:p>
    <w:p>
      <w:pPr>
        <w:ind w:left="1580" w:right="20" w:hanging="324"/>
        <w:spacing w:after="0" w:line="252" w:lineRule="auto"/>
        <w:tabs>
          <w:tab w:leader="none" w:pos="15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Pharmaceutical Manufacturer Solutions Offering: </w:t>
      </w:r>
      <w:r>
        <w:rPr>
          <w:rFonts w:ascii="Times New Roman" w:cs="Times New Roman" w:eastAsia="Times New Roman" w:hAnsi="Times New Roman"/>
          <w:sz w:val="18"/>
          <w:szCs w:val="18"/>
          <w:color w:val="auto"/>
        </w:rPr>
        <w:t>We believe our trusted brand, large volume of high intent consumers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easy-to-use consumer experience make our offering highly attractive to pharmaceutical manufacturers. The solutions offered by pharmaceutical manufacturers on our platform can increase the likelihood that consumers will start to take or continue to take their prescribed medication. Our consumer base already desires access to this offering as demonstrated by the 20% of consumer searches that are targeted at brand medications, presenting an attractive opportunity to convert these searches into incremental revenue and consumer lifetime value at a low incremental cost to us. We plan to continue to expand the number of pharmaceutical manufacturers with which we work, as well as enhance our existing offerings and introduce new integrated technology solutions that will allow manufacturers to interact with our consumer base more effectively.</w:t>
      </w:r>
    </w:p>
    <w:p>
      <w:pPr>
        <w:spacing w:after="0" w:line="91" w:lineRule="exact"/>
        <w:rPr>
          <w:rFonts w:ascii="Times New Roman" w:cs="Times New Roman" w:eastAsia="Times New Roman" w:hAnsi="Times New Roman"/>
          <w:sz w:val="18"/>
          <w:szCs w:val="18"/>
          <w:color w:val="auto"/>
        </w:rPr>
      </w:pPr>
    </w:p>
    <w:p>
      <w:pPr>
        <w:ind w:left="1580" w:right="300" w:hanging="324"/>
        <w:spacing w:after="0" w:line="259" w:lineRule="auto"/>
        <w:tabs>
          <w:tab w:leader="none" w:pos="15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Telehealth Offerings: </w:t>
      </w:r>
      <w:r>
        <w:rPr>
          <w:rFonts w:ascii="Times New Roman" w:cs="Times New Roman" w:eastAsia="Times New Roman" w:hAnsi="Times New Roman"/>
          <w:sz w:val="18"/>
          <w:szCs w:val="18"/>
          <w:color w:val="auto"/>
        </w:rPr>
        <w:t>We believe our telehealth offerings will become more integrated with, and will be a growth driver for,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offerings, including our prescription offering and mail order prescriptions through a third-party provider. We plan to significantly invest in our telehealth offerings, as we see this as an opportunity to add another key consumer entry point into our platform.</w:t>
      </w:r>
    </w:p>
    <w:p>
      <w:pPr>
        <w:spacing w:after="0" w:line="81" w:lineRule="exact"/>
        <w:rPr>
          <w:rFonts w:ascii="Times New Roman" w:cs="Times New Roman" w:eastAsia="Times New Roman" w:hAnsi="Times New Roman"/>
          <w:sz w:val="18"/>
          <w:szCs w:val="18"/>
          <w:color w:val="auto"/>
        </w:rPr>
      </w:pPr>
    </w:p>
    <w:p>
      <w:pPr>
        <w:ind w:left="1140" w:right="40" w:hanging="432"/>
        <w:spacing w:after="0" w:line="256" w:lineRule="auto"/>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Future Expansion Opportunities: </w:t>
      </w:r>
      <w:r>
        <w:rPr>
          <w:rFonts w:ascii="Times New Roman" w:cs="Times New Roman" w:eastAsia="Times New Roman" w:hAnsi="Times New Roman"/>
          <w:sz w:val="18"/>
          <w:szCs w:val="18"/>
          <w:color w:val="auto"/>
        </w:rPr>
        <w:t>We believe there are many other areas of healthcare that could benefit from the transparency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accessibility provided by our platform. While we are currently focused on scaling our existing offerings, we see attractive opportunities to deploy our expertise in markets such as clinical trials, in person doctor visits and prescription delivery, among others. As we continue to grow our brand awareness and consumer base, selling additional products and services into our large acquired base will drive an attractive incremental margin opportunity.</w:t>
      </w:r>
    </w:p>
    <w:p>
      <w:pPr>
        <w:spacing w:after="0" w:line="84" w:lineRule="exact"/>
        <w:rPr>
          <w:rFonts w:ascii="Times New Roman" w:cs="Times New Roman" w:eastAsia="Times New Roman" w:hAnsi="Times New Roman"/>
          <w:sz w:val="18"/>
          <w:szCs w:val="18"/>
          <w:color w:val="auto"/>
        </w:rPr>
      </w:pPr>
    </w:p>
    <w:p>
      <w:pPr>
        <w:ind w:left="1140" w:right="100" w:hanging="432"/>
        <w:spacing w:after="0" w:line="259" w:lineRule="auto"/>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Strategic Partnerships and Acquisitions: </w:t>
      </w:r>
      <w:r>
        <w:rPr>
          <w:rFonts w:ascii="Times New Roman" w:cs="Times New Roman" w:eastAsia="Times New Roman" w:hAnsi="Times New Roman"/>
          <w:sz w:val="18"/>
          <w:szCs w:val="18"/>
          <w:color w:val="auto"/>
        </w:rPr>
        <w:t>We are a valuable partner to a variety of healthcare constituents. We have completed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strategic acquisitions in the last two years, including HeyDoctor in 2019 and Scriptcycle in 2020. As part of our business strategy, we will continue to pursue strategic opportunities, including commercial relationships and acquisitions, to strengthen our market position and enhance our capabilities.</w:t>
      </w:r>
    </w:p>
    <w:p>
      <w:pPr>
        <w:spacing w:after="0" w:line="2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8" w:lineRule="exact"/>
        <w:rPr>
          <w:sz w:val="20"/>
          <w:szCs w:val="20"/>
          <w:color w:val="auto"/>
        </w:rPr>
      </w:pPr>
    </w:p>
    <w:p>
      <w:pPr>
        <w:ind w:left="180" w:right="180" w:firstLine="436"/>
        <w:spacing w:after="0" w:line="285" w:lineRule="auto"/>
        <w:rPr>
          <w:sz w:val="20"/>
          <w:szCs w:val="20"/>
          <w:color w:val="auto"/>
        </w:rPr>
      </w:pPr>
      <w:r>
        <w:rPr>
          <w:rFonts w:ascii="Times New Roman" w:cs="Times New Roman" w:eastAsia="Times New Roman" w:hAnsi="Times New Roman"/>
          <w:sz w:val="17"/>
          <w:szCs w:val="17"/>
          <w:color w:val="auto"/>
        </w:rPr>
        <w:t>Although we have built and scaled a differentiated consumer internet platform, we face a variety of types of competition. We believe that our primary barrier to adoption is awareness. Americans have historically not had to be active consumers of healthcare since benefit plans were more generous and open than they are today. Many consumers are not aware that prices for the same prescription vary between pharmacies or that there are</w:t>
      </w:r>
    </w:p>
    <w:p>
      <w:pPr>
        <w:spacing w:after="0" w:line="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20"/>
          </w:cols>
          <w:pgMar w:left="320" w:top="454" w:right="5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40"/>
        <w:spacing w:after="0" w:line="257" w:lineRule="auto"/>
        <w:rPr>
          <w:sz w:val="20"/>
          <w:szCs w:val="20"/>
          <w:color w:val="auto"/>
        </w:rPr>
      </w:pPr>
      <w:r>
        <w:rPr>
          <w:rFonts w:ascii="Times New Roman" w:cs="Times New Roman" w:eastAsia="Times New Roman" w:hAnsi="Times New Roman"/>
          <w:sz w:val="18"/>
          <w:szCs w:val="18"/>
          <w:color w:val="auto"/>
        </w:rPr>
        <w:t>competitive cash prices available that may be lower than insurance prices. Similarly, most consumers are not aware of the range of direct-to-consumer telehealth options available at low cash prices, and think that they must wait days or weeks to see a doctor in-person. We have had to raise consumer awareness about healthcare consumerism and we believe that we will need to continue to be a market leader in raising consumer and healthcare provider awareness for our services and products.</w:t>
      </w:r>
    </w:p>
    <w:p>
      <w:pPr>
        <w:spacing w:after="0" w:line="182" w:lineRule="exact"/>
        <w:rPr>
          <w:sz w:val="20"/>
          <w:szCs w:val="20"/>
          <w:color w:val="auto"/>
        </w:rPr>
      </w:pPr>
    </w:p>
    <w:p>
      <w:pPr>
        <w:ind w:left="180" w:right="100" w:firstLine="436"/>
        <w:spacing w:after="0" w:line="262" w:lineRule="auto"/>
        <w:rPr>
          <w:sz w:val="20"/>
          <w:szCs w:val="20"/>
          <w:color w:val="auto"/>
        </w:rPr>
      </w:pPr>
      <w:r>
        <w:rPr>
          <w:rFonts w:ascii="Times New Roman" w:cs="Times New Roman" w:eastAsia="Times New Roman" w:hAnsi="Times New Roman"/>
          <w:sz w:val="18"/>
          <w:szCs w:val="18"/>
          <w:color w:val="auto"/>
        </w:rPr>
        <w:t>We compete with companies that provide prescription savings, telehealth, and solutions to pharmaceutical manufacturers. Generally, we believe that we are able to compete effectively against these organizations based on our brand, scale, pricing and consumer experience. Our competitors vary in size and breadth of their offerings.</w:t>
      </w:r>
    </w:p>
    <w:p>
      <w:pPr>
        <w:spacing w:after="0" w:line="84" w:lineRule="exact"/>
        <w:rPr>
          <w:sz w:val="20"/>
          <w:szCs w:val="20"/>
          <w:color w:val="auto"/>
        </w:rPr>
      </w:pPr>
    </w:p>
    <w:p>
      <w:pPr>
        <w:ind w:left="1140" w:hanging="432"/>
        <w:spacing w:after="0"/>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prescriptions, our competition is fragmented and consists of competitors that are smaller than us in scale.</w:t>
      </w:r>
    </w:p>
    <w:p>
      <w:pPr>
        <w:spacing w:after="0" w:line="126" w:lineRule="exact"/>
        <w:rPr>
          <w:rFonts w:ascii="Times New Roman" w:cs="Times New Roman" w:eastAsia="Times New Roman" w:hAnsi="Times New Roman"/>
          <w:sz w:val="18"/>
          <w:szCs w:val="18"/>
          <w:color w:val="auto"/>
        </w:rPr>
      </w:pPr>
    </w:p>
    <w:p>
      <w:pPr>
        <w:ind w:left="1140" w:right="140" w:hanging="432"/>
        <w:spacing w:after="0" w:line="262" w:lineRule="auto"/>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pharmaceutical manufacturer solutions offering competes for advertising and market access budget allocation against platforms on which manufacturers can reach consumers, including health-related websites and mobile apps, and services supporting patient access. We believe that our trusted brand and our platform allows us to engage patients about the cost of their brand medications.</w:t>
      </w:r>
    </w:p>
    <w:p>
      <w:pPr>
        <w:spacing w:after="0" w:line="83" w:lineRule="exact"/>
        <w:rPr>
          <w:rFonts w:ascii="Times New Roman" w:cs="Times New Roman" w:eastAsia="Times New Roman" w:hAnsi="Times New Roman"/>
          <w:sz w:val="18"/>
          <w:szCs w:val="18"/>
          <w:color w:val="auto"/>
        </w:rPr>
      </w:pPr>
    </w:p>
    <w:p>
      <w:pPr>
        <w:ind w:left="1140" w:right="80" w:hanging="432"/>
        <w:spacing w:after="0" w:line="257" w:lineRule="auto"/>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telehealth, we compete with other providers of telehealth services that are larger than us, and which usually provide telehealth services on behalf of employers and insurance plans, such as Teladoc, Amwell, MDLIVE, and Doctor on Demand. We believe that our direct-to-consumer business model and low cash price points (in addition to our brand and scale) help differentiate our telehealth offerings from these competitors.</w:t>
      </w: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8" w:lineRule="exact"/>
        <w:rPr>
          <w:sz w:val="20"/>
          <w:szCs w:val="20"/>
          <w:color w:val="auto"/>
        </w:rPr>
      </w:pPr>
    </w:p>
    <w:p>
      <w:pPr>
        <w:ind w:left="180" w:right="20" w:firstLine="436"/>
        <w:spacing w:after="0" w:line="251"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products and technology platform, defend and enforce our intellectual property rights, preserve the confidentiality of our trade secrets, and operate without infringing, misappropriating or otherwise violating valid and enforceable intellectual property rights of others. We protect our intellectual property, including our brand, through a combination of trademarks, patents, trade secrets, contractual provisions that restrict partners from infringing on our intellectual property, intellectual property assignment agreements, licensing agreements, confidentiality procedures, non-disclosure agreements, and employee non-disclosure and invention assignment agreements to establish and protect our proprietary rights. Though we rely in part upon these legal and contractual protections, we believe that factors such as our position as the largest healthcare-focused internet platform for prescription prices and discounts, our scale and the network effects enabled by these factors, as well as the skills and ingenuity of our employees and the functionality and frequent enhancements to our platform are larger contributors to our success.</w:t>
      </w:r>
    </w:p>
    <w:p>
      <w:pPr>
        <w:spacing w:after="0" w:line="189" w:lineRule="exact"/>
        <w:rPr>
          <w:sz w:val="20"/>
          <w:szCs w:val="20"/>
          <w:color w:val="auto"/>
        </w:rPr>
      </w:pPr>
    </w:p>
    <w:p>
      <w:pPr>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As of June 30, 2020, we owned three issued patents and four pending patent applications in the United States. One issued patent relates to our ability to combine prices from multiple PBMs together in a single consumer interface. Our issued patents begin expiring in 2034, excluding any patent term adjustment. As of June 30, 2020, we held 9 registered trademarks in the United States, including trademarks for our brand, GoodRx, and for the use of the color yellow in the prescription discounts space. In addition, we have registered domain names for websites that we use in our business, such as www.goodrx.com and www.heydoctor.com.</w:t>
      </w:r>
    </w:p>
    <w:p>
      <w:pPr>
        <w:spacing w:after="0" w:line="183"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color w:val="auto"/>
        </w:rPr>
        <w:t>We continually review our development efforts to assess the existence and patentability of new intellectual property and we intend to pursue additional intellectual property protection to the extent we believe it would advance our business objectives. Notwithstanding these efforts, there can be no assurance that we will adequately protect our intellectual property or that it will provide any competitive advantage. We cannot provide any assurance that any patents will be issued from our pending or any future applications or that any issued patents will adequately protect our products and technology. Our intellectual property rights may be invalidated, circumvented or challenged. In addition, it may be difficult to protect our trade secrets. While we have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80"/>
          </w:cols>
          <w:pgMar w:left="320" w:top="453" w:right="49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320"/>
        <w:spacing w:after="0" w:line="285" w:lineRule="auto"/>
        <w:rPr>
          <w:sz w:val="20"/>
          <w:szCs w:val="20"/>
          <w:color w:val="auto"/>
        </w:rPr>
      </w:pPr>
      <w:r>
        <w:rPr>
          <w:rFonts w:ascii="Times New Roman" w:cs="Times New Roman" w:eastAsia="Times New Roman" w:hAnsi="Times New Roman"/>
          <w:sz w:val="17"/>
          <w:szCs w:val="17"/>
          <w:color w:val="auto"/>
        </w:rPr>
        <w:t>confidence in the measures we take to protect and preserve our trade secrets, they may be inadequate and can be breached, and we may not have adequate remedies for violations of such measures. Furthermore, our trade secrets may otherwise become known or be independently discovered by competitors. For more information regarding risks related to intellectual property, please see “Risk Factors—Risks Related to Intellectual Property.”</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Data Protection</w:t>
      </w:r>
    </w:p>
    <w:p>
      <w:pPr>
        <w:spacing w:after="0" w:line="118" w:lineRule="exact"/>
        <w:rPr>
          <w:sz w:val="20"/>
          <w:szCs w:val="20"/>
          <w:color w:val="auto"/>
        </w:rPr>
      </w:pPr>
    </w:p>
    <w:p>
      <w:pPr>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The data we collect and process is an integral part of our products and services, allowing us to ensure our prices are accurate, provide an engaging consumer experience, surface the most relevant prices and reach opted-in consumers with relevant information. We do not sell personal information as part of our business model.</w:t>
      </w:r>
    </w:p>
    <w:p>
      <w:pPr>
        <w:spacing w:after="0" w:line="177"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We collect and may use personal information to help run our business (including for analytical purposes) and to communicate and otherwise reach our consumers. In some instances, we may use third party service providers to assist us in the above.</w:t>
      </w:r>
    </w:p>
    <w:p>
      <w:pPr>
        <w:spacing w:after="0" w:line="163" w:lineRule="exact"/>
        <w:rPr>
          <w:sz w:val="20"/>
          <w:szCs w:val="20"/>
          <w:color w:val="auto"/>
        </w:rPr>
      </w:pPr>
    </w:p>
    <w:p>
      <w:pPr>
        <w:ind w:left="180" w:right="260" w:firstLine="436"/>
        <w:spacing w:after="0" w:line="257" w:lineRule="auto"/>
        <w:rPr>
          <w:sz w:val="20"/>
          <w:szCs w:val="20"/>
          <w:color w:val="auto"/>
        </w:rPr>
      </w:pPr>
      <w:r>
        <w:rPr>
          <w:rFonts w:ascii="Times New Roman" w:cs="Times New Roman" w:eastAsia="Times New Roman" w:hAnsi="Times New Roman"/>
          <w:sz w:val="18"/>
          <w:szCs w:val="18"/>
          <w:color w:val="auto"/>
        </w:rPr>
        <w:t>We endeavor to treat our consumers’ data with respect and maintain consumer trust. We provide our consumers with options designed to allow them to control their data, such as allowing our consumers to opt out of any marketing requests, opt out of the use of marketing cookies, pixels and technologies on our platform, and request deletion of their data. Our privacy and security teams are devoted to processing and fulfilling consumer requests regarding access to and deletion of their data.</w:t>
      </w:r>
    </w:p>
    <w:p>
      <w:pPr>
        <w:spacing w:after="0" w:line="182" w:lineRule="exact"/>
        <w:rPr>
          <w:sz w:val="20"/>
          <w:szCs w:val="20"/>
          <w:color w:val="auto"/>
        </w:rPr>
      </w:pPr>
    </w:p>
    <w:p>
      <w:pPr>
        <w:ind w:left="180" w:right="120" w:firstLine="436"/>
        <w:spacing w:after="0" w:line="255" w:lineRule="auto"/>
        <w:rPr>
          <w:sz w:val="20"/>
          <w:szCs w:val="20"/>
          <w:color w:val="auto"/>
        </w:rPr>
      </w:pPr>
      <w:r>
        <w:rPr>
          <w:rFonts w:ascii="Times New Roman" w:cs="Times New Roman" w:eastAsia="Times New Roman" w:hAnsi="Times New Roman"/>
          <w:sz w:val="18"/>
          <w:szCs w:val="18"/>
          <w:color w:val="auto"/>
        </w:rPr>
        <w:t>Our respect for laws and regulations regarding the collection and processing of personal data underlies our strategy to improve our customer experience and build trust. To read more about our approach to privacy laws and the regulations, please see “—Government Regulation” and “Risk Factors—Risks Related to Our Business—Actual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2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Philanthropy</w:t>
      </w:r>
    </w:p>
    <w:p>
      <w:pPr>
        <w:spacing w:after="0" w:line="118" w:lineRule="exact"/>
        <w:rPr>
          <w:sz w:val="20"/>
          <w:szCs w:val="20"/>
          <w:color w:val="auto"/>
        </w:rPr>
      </w:pPr>
    </w:p>
    <w:p>
      <w:pPr>
        <w:ind w:left="180" w:right="260" w:firstLine="436"/>
        <w:spacing w:after="0" w:line="257" w:lineRule="auto"/>
        <w:rPr>
          <w:sz w:val="20"/>
          <w:szCs w:val="20"/>
          <w:color w:val="auto"/>
        </w:rPr>
      </w:pPr>
      <w:r>
        <w:rPr>
          <w:rFonts w:ascii="Times New Roman" w:cs="Times New Roman" w:eastAsia="Times New Roman" w:hAnsi="Times New Roman"/>
          <w:sz w:val="18"/>
          <w:szCs w:val="18"/>
          <w:color w:val="auto"/>
        </w:rPr>
        <w:t>Philanthropy is not a separate initiative at GoodRx; helping others is woven throughout everything we do. Since inception, our aim has been to help Americans get the healthcare they need at a price they can afford, and our team of medical health professionals, public health experts and passionate people ensures that we never lose sight of that goal. We are fortunate to be in a position where helping others also supports our business, which in turn allows us to help even more people in more profound ways. It is a virtuous cycle.</w:t>
      </w:r>
    </w:p>
    <w:p>
      <w:pPr>
        <w:spacing w:after="0" w:line="182" w:lineRule="exact"/>
        <w:rPr>
          <w:sz w:val="20"/>
          <w:szCs w:val="20"/>
          <w:color w:val="auto"/>
        </w:rPr>
      </w:pPr>
    </w:p>
    <w:p>
      <w:pPr>
        <w:ind w:left="180" w:right="140" w:firstLine="436"/>
        <w:spacing w:after="0" w:line="262" w:lineRule="auto"/>
        <w:rPr>
          <w:sz w:val="20"/>
          <w:szCs w:val="20"/>
          <w:color w:val="auto"/>
        </w:rPr>
      </w:pPr>
      <w:r>
        <w:rPr>
          <w:rFonts w:ascii="Times New Roman" w:cs="Times New Roman" w:eastAsia="Times New Roman" w:hAnsi="Times New Roman"/>
          <w:sz w:val="18"/>
          <w:szCs w:val="18"/>
          <w:color w:val="auto"/>
        </w:rPr>
        <w:t>We are especially focused on the massive disadvantages in care that plague communities of color in America. Across the board, minorities score worse on healthcare access and outcomes. This is simply unacceptable. We use our marketing resources, physician relationships and industry connections to make healthcare more affordable and accessible.</w:t>
      </w:r>
    </w:p>
    <w:p>
      <w:pPr>
        <w:spacing w:after="0" w:line="177" w:lineRule="exact"/>
        <w:rPr>
          <w:sz w:val="20"/>
          <w:szCs w:val="20"/>
          <w:color w:val="auto"/>
        </w:rPr>
      </w:pPr>
    </w:p>
    <w:p>
      <w:pPr>
        <w:ind w:left="180" w:right="40" w:firstLine="436"/>
        <w:spacing w:after="0" w:line="257" w:lineRule="auto"/>
        <w:rPr>
          <w:sz w:val="20"/>
          <w:szCs w:val="20"/>
          <w:color w:val="auto"/>
        </w:rPr>
      </w:pPr>
      <w:r>
        <w:rPr>
          <w:rFonts w:ascii="Times New Roman" w:cs="Times New Roman" w:eastAsia="Times New Roman" w:hAnsi="Times New Roman"/>
          <w:sz w:val="18"/>
          <w:szCs w:val="18"/>
          <w:color w:val="auto"/>
        </w:rPr>
        <w:t>Throughout our history, we have provided charitable support to communities, individuals, students, clinics and non-profits in furtherance of that goal. We have sent employees to hurricane-damaged Houston to provide direct support, provided scholarships for pharmacy professionals and delivered food to low-income populations, among many other projects. We frequently provide direct financial support to individuals, families and organizations who simply need help.</w:t>
      </w:r>
    </w:p>
    <w:p>
      <w:pPr>
        <w:spacing w:after="0" w:line="182" w:lineRule="exact"/>
        <w:rPr>
          <w:sz w:val="20"/>
          <w:szCs w:val="20"/>
          <w:color w:val="auto"/>
        </w:rPr>
      </w:pPr>
    </w:p>
    <w:p>
      <w:pPr>
        <w:ind w:left="180" w:right="80" w:firstLine="436"/>
        <w:spacing w:after="0" w:line="255" w:lineRule="auto"/>
        <w:rPr>
          <w:sz w:val="20"/>
          <w:szCs w:val="20"/>
          <w:color w:val="auto"/>
        </w:rPr>
      </w:pPr>
      <w:r>
        <w:rPr>
          <w:rFonts w:ascii="Times New Roman" w:cs="Times New Roman" w:eastAsia="Times New Roman" w:hAnsi="Times New Roman"/>
          <w:sz w:val="18"/>
          <w:szCs w:val="18"/>
          <w:color w:val="auto"/>
        </w:rPr>
        <w:t>In 2020, we launched GoodRxHelps, a free medication program, that expects to partner with healthcare professionals and clinics across America. This program purchases and provides more than 500 different medications to patients through nationwide clinic partnerships. As part of our initial public offering, we are reserving over 1 million shares of our Class A common stock for issuance to fund and support GoodRxHelps to help provide more assistance to more people in need. GoodRxHelps aims to help tens of thousands of individuals every year, with a specific focus on serving minority communities.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40"/>
          </w:cols>
          <w:pgMar w:left="320" w:top="454" w:right="5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Our People and Culture</w:t>
      </w:r>
    </w:p>
    <w:p>
      <w:pPr>
        <w:spacing w:after="0" w:line="118" w:lineRule="exact"/>
        <w:rPr>
          <w:sz w:val="20"/>
          <w:szCs w:val="20"/>
          <w:color w:val="auto"/>
        </w:rPr>
      </w:pPr>
    </w:p>
    <w:p>
      <w:pPr>
        <w:ind w:left="180" w:right="120" w:firstLine="436"/>
        <w:spacing w:after="0" w:line="262" w:lineRule="auto"/>
        <w:rPr>
          <w:sz w:val="20"/>
          <w:szCs w:val="20"/>
          <w:color w:val="auto"/>
        </w:rPr>
      </w:pPr>
      <w:r>
        <w:rPr>
          <w:rFonts w:ascii="Times New Roman" w:cs="Times New Roman" w:eastAsia="Times New Roman" w:hAnsi="Times New Roman"/>
          <w:sz w:val="18"/>
          <w:szCs w:val="18"/>
          <w:color w:val="auto"/>
        </w:rPr>
        <w:t>We pride ourselves on hiring people who not only have the skills required to perform their respective roles, but also share in the mission to help Americans get the healthcare they need at a price they can afford. We have an excellent track record of selectivity and retention. In 2019, we hired only 0.6% of applicants. In 2019, the Los Angeles Business Journal rated GoodRx as one of the Best Places to Work.</w:t>
      </w:r>
    </w:p>
    <w:p>
      <w:pPr>
        <w:spacing w:after="0" w:line="177" w:lineRule="exact"/>
        <w:rPr>
          <w:sz w:val="20"/>
          <w:szCs w:val="20"/>
          <w:color w:val="auto"/>
        </w:rPr>
      </w:pPr>
    </w:p>
    <w:p>
      <w:pPr>
        <w:ind w:left="180" w:right="160" w:firstLine="436"/>
        <w:spacing w:after="0" w:line="277" w:lineRule="auto"/>
        <w:rPr>
          <w:sz w:val="20"/>
          <w:szCs w:val="20"/>
          <w:color w:val="auto"/>
        </w:rPr>
      </w:pPr>
      <w:r>
        <w:rPr>
          <w:rFonts w:ascii="Times New Roman" w:cs="Times New Roman" w:eastAsia="Times New Roman" w:hAnsi="Times New Roman"/>
          <w:sz w:val="18"/>
          <w:szCs w:val="18"/>
          <w:color w:val="auto"/>
        </w:rPr>
        <w:t>We prioritize diversity and inclusivity in our workplace. We focus on diversity in both hiring and promotion, and are working on initiatives from minority internships to external audits of our hiring and promotion practices.</w:t>
      </w:r>
    </w:p>
    <w:p>
      <w:pPr>
        <w:spacing w:after="0" w:line="1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June 30, 2020, GoodRx employed 338 full-time employees, 248 of which were based at our headquarters in Santa Monica, California.</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GoodRx has a strong employee referral program, which is a leading source of new hires.</w:t>
      </w:r>
    </w:p>
    <w:p>
      <w:pPr>
        <w:spacing w:after="0" w:line="202" w:lineRule="exact"/>
        <w:rPr>
          <w:sz w:val="20"/>
          <w:szCs w:val="20"/>
          <w:color w:val="auto"/>
        </w:rPr>
      </w:pPr>
    </w:p>
    <w:p>
      <w:pPr>
        <w:ind w:left="180" w:right="220" w:firstLine="436"/>
        <w:spacing w:after="0" w:line="257" w:lineRule="auto"/>
        <w:rPr>
          <w:sz w:val="20"/>
          <w:szCs w:val="20"/>
          <w:color w:val="auto"/>
        </w:rPr>
      </w:pPr>
      <w:r>
        <w:rPr>
          <w:rFonts w:ascii="Times New Roman" w:cs="Times New Roman" w:eastAsia="Times New Roman" w:hAnsi="Times New Roman"/>
          <w:sz w:val="18"/>
          <w:szCs w:val="18"/>
          <w:color w:val="auto"/>
        </w:rPr>
        <w:t>In addition to providing challenging and engaging work, we also provide robust benefits, including health insurance for employees and dependents, which include options that are fully funded by GoodRx, 401k match, fertility benefits, paid parental leave and discretionary vacation. We foster a tight-knit corporate culture through company events, team building offsites, weekly happy hours, game and movie nights, and pet-friendly offices. The biggest perk of all is knowing that the work performed has a meaningful impact on our consumers.</w:t>
      </w: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18" w:lineRule="exact"/>
        <w:rPr>
          <w:sz w:val="20"/>
          <w:szCs w:val="20"/>
          <w:color w:val="auto"/>
        </w:rPr>
      </w:pPr>
    </w:p>
    <w:p>
      <w:pPr>
        <w:ind w:left="180" w:firstLine="436"/>
        <w:spacing w:after="0" w:line="273" w:lineRule="auto"/>
        <w:rPr>
          <w:sz w:val="20"/>
          <w:szCs w:val="20"/>
          <w:color w:val="auto"/>
        </w:rPr>
      </w:pPr>
      <w:r>
        <w:rPr>
          <w:rFonts w:ascii="Times New Roman" w:cs="Times New Roman" w:eastAsia="Times New Roman" w:hAnsi="Times New Roman"/>
          <w:sz w:val="17"/>
          <w:szCs w:val="17"/>
          <w:color w:val="auto"/>
        </w:rPr>
        <w:t>Our corporate headquarters is located in Santa Monica, California, where we lease approximately 29,000 square feet of space across a set of leases with similar terms expiring between the fourth quarter of 2020 and the first quarter of 2023, which the majority expiring in the first quarter of 2022. We have plans to move to a new 74,000 square foot facility in Santa Monica by the fourth quarter 2020, with the lease expiring in 2031. We also maintain offices in San Francisco, California, Charleston, South Carolina, St. Louis, Missouri, and New York, New York. We believe that these facilities are sufficient for our current needs and that additional facilities will be available to accommodate the expansion of our business should they be needed.</w:t>
      </w: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118" w:lineRule="exact"/>
        <w:rPr>
          <w:sz w:val="20"/>
          <w:szCs w:val="20"/>
          <w:color w:val="auto"/>
        </w:rPr>
      </w:pPr>
    </w:p>
    <w:p>
      <w:pPr>
        <w:ind w:left="180" w:firstLine="436"/>
        <w:spacing w:after="0" w:line="257" w:lineRule="auto"/>
        <w:rPr>
          <w:sz w:val="20"/>
          <w:szCs w:val="20"/>
          <w:color w:val="auto"/>
        </w:rPr>
      </w:pPr>
      <w:r>
        <w:rPr>
          <w:rFonts w:ascii="Times New Roman" w:cs="Times New Roman" w:eastAsia="Times New Roman" w:hAnsi="Times New Roman"/>
          <w:sz w:val="18"/>
          <w:szCs w:val="18"/>
          <w:color w:val="auto"/>
        </w:rPr>
        <w:t>The data we collect and process is an integral part of our products and services, allowing us to ensure our prices are accurate, surface the most relevant prices and reach opted-in consumers with savings information. We collect and may use personal information to help run our business (including for analytical purposes) and to communicate and otherwise reach our consumers. In some instances, we may use third party service providers to assist us in the above.</w:t>
      </w:r>
    </w:p>
    <w:p>
      <w:pPr>
        <w:spacing w:after="0" w:line="182" w:lineRule="exact"/>
        <w:rPr>
          <w:sz w:val="20"/>
          <w:szCs w:val="20"/>
          <w:color w:val="auto"/>
        </w:rPr>
      </w:pPr>
    </w:p>
    <w:p>
      <w:pPr>
        <w:ind w:left="180" w:right="340" w:firstLine="436"/>
        <w:spacing w:after="0" w:line="262" w:lineRule="auto"/>
        <w:rPr>
          <w:sz w:val="20"/>
          <w:szCs w:val="20"/>
          <w:color w:val="auto"/>
        </w:rPr>
      </w:pPr>
      <w:r>
        <w:rPr>
          <w:rFonts w:ascii="Times New Roman" w:cs="Times New Roman" w:eastAsia="Times New Roman" w:hAnsi="Times New Roman"/>
          <w:sz w:val="18"/>
          <w:szCs w:val="18"/>
          <w:color w:val="auto"/>
        </w:rPr>
        <w:t>We endeavor to treat our consumers’ data with respect and maintain consumer trust. We provide consumers options designed to allow them to control the use and disclosure of their data, such as allowing consumers to opt out of any marketing requests, opt out the use of marketing cookies, pixels and technologies on our platform, and request deletion of their data.</w:t>
      </w:r>
    </w:p>
    <w:p>
      <w:pPr>
        <w:spacing w:after="0" w:line="177" w:lineRule="exact"/>
        <w:rPr>
          <w:sz w:val="20"/>
          <w:szCs w:val="20"/>
          <w:color w:val="auto"/>
        </w:rPr>
      </w:pPr>
    </w:p>
    <w:p>
      <w:pPr>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Since we receive, use, transmit, disclose and store personally identifiable information, including health-related information, we are subject to numerous state and federal laws and regulations that address privacy, data protection and the collection, storing, sharing, use, transfer, disclosure and protection of certain types of data. Such regulations include the CAN-SPAM Act, the Telephone Consumer Protection Act of 1991, HIPAA, Section 5(a) of the Federal Trade Commission Act, and, as of January 1, 2020, the CCPA.</w:t>
      </w:r>
    </w:p>
    <w:p>
      <w:pPr>
        <w:spacing w:after="0" w:line="182" w:lineRule="exact"/>
        <w:rPr>
          <w:sz w:val="20"/>
          <w:szCs w:val="20"/>
          <w:color w:val="auto"/>
        </w:rPr>
      </w:pPr>
    </w:p>
    <w:p>
      <w:pPr>
        <w:ind w:left="180" w:right="300" w:firstLine="436"/>
        <w:spacing w:after="0" w:line="277" w:lineRule="auto"/>
        <w:rPr>
          <w:sz w:val="20"/>
          <w:szCs w:val="20"/>
          <w:color w:val="auto"/>
        </w:rPr>
      </w:pPr>
      <w:r>
        <w:rPr>
          <w:rFonts w:ascii="Times New Roman" w:cs="Times New Roman" w:eastAsia="Times New Roman" w:hAnsi="Times New Roman"/>
          <w:sz w:val="18"/>
          <w:szCs w:val="18"/>
          <w:color w:val="auto"/>
        </w:rPr>
        <w:t>Various federal and state legislative and regulatory bodies, or self-regulatory organizations, may expand current laws or regulations, enact new laws or regulations or issue revised rules or guidance regarding privacy,</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60"/>
          </w:cols>
          <w:pgMar w:left="320" w:top="454" w:right="51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100"/>
        <w:spacing w:after="0" w:line="267" w:lineRule="auto"/>
        <w:rPr>
          <w:sz w:val="20"/>
          <w:szCs w:val="20"/>
          <w:color w:val="auto"/>
        </w:rPr>
      </w:pPr>
      <w:r>
        <w:rPr>
          <w:rFonts w:ascii="Times New Roman" w:cs="Times New Roman" w:eastAsia="Times New Roman" w:hAnsi="Times New Roman"/>
          <w:sz w:val="17"/>
          <w:szCs w:val="17"/>
          <w:color w:val="auto"/>
        </w:rPr>
        <w:t>data protection, consumer protection, and advertising. In June 2018, California enacted the California Consumer Privacy Act (CCPA), which went into effect on January 1, 2020. The CCPA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Additionally, a new California ballot initiative, the California Privacy Rights Act, appears to have garnered enough signatures to be included on the November 2020 ballot in California, and if voted into law by California residents, would impose additional data protection obligations on companies doing business in California, including additional consumer rights processes and opt-outs for certain uses of sensitive data. It would also create a new California data protection agency specifically tasked to enforce the law, which would likely result in increased regulatory scrutiny of California businesses in the areas of data protection and security. Further, many similar laws have been proposed at the federal level and in other states. For instance, the state of Nevada recently enacted a law that went into force on October 1, 2019 and requires companies to honor consumers’ requests to no longer sell their data.</w:t>
      </w:r>
    </w:p>
    <w:p>
      <w:pPr>
        <w:spacing w:after="0" w:line="176" w:lineRule="exact"/>
        <w:rPr>
          <w:sz w:val="20"/>
          <w:szCs w:val="20"/>
          <w:color w:val="auto"/>
        </w:rPr>
      </w:pPr>
    </w:p>
    <w:p>
      <w:pPr>
        <w:ind w:left="180" w:firstLine="436"/>
        <w:spacing w:after="0" w:line="252" w:lineRule="auto"/>
        <w:rPr>
          <w:sz w:val="20"/>
          <w:szCs w:val="20"/>
          <w:color w:val="auto"/>
        </w:rPr>
      </w:pPr>
      <w:r>
        <w:rPr>
          <w:rFonts w:ascii="Times New Roman" w:cs="Times New Roman" w:eastAsia="Times New Roman" w:hAnsi="Times New Roman"/>
          <w:sz w:val="18"/>
          <w:szCs w:val="18"/>
          <w:color w:val="auto"/>
        </w:rPr>
        <w:t>Additionally, the Federal Trade Commission, or FTC, and many state attorneys general are interpreting existing federal and state consumer protection laws to impose evolving standards for the online collection, use, dissemination and security of health-related and other personal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5(a) of the FTC Act.</w:t>
      </w:r>
    </w:p>
    <w:p>
      <w:pPr>
        <w:spacing w:after="0" w:line="185" w:lineRule="exact"/>
        <w:rPr>
          <w:sz w:val="20"/>
          <w:szCs w:val="20"/>
          <w:color w:val="auto"/>
        </w:rPr>
      </w:pPr>
    </w:p>
    <w:p>
      <w:pPr>
        <w:ind w:left="180" w:right="80" w:firstLine="436"/>
        <w:spacing w:after="0" w:line="253" w:lineRule="auto"/>
        <w:rPr>
          <w:sz w:val="20"/>
          <w:szCs w:val="20"/>
          <w:color w:val="auto"/>
        </w:rPr>
      </w:pPr>
      <w:r>
        <w:rPr>
          <w:rFonts w:ascii="Times New Roman" w:cs="Times New Roman" w:eastAsia="Times New Roman" w:hAnsi="Times New Roman"/>
          <w:sz w:val="18"/>
          <w:szCs w:val="18"/>
          <w:color w:val="auto"/>
        </w:rPr>
        <w:t>In addition, HIPAA, which we believe does not currently apply to most of our business as currently operated, imposes on entities within its jurisdiction, among other things, certain standards relating to the privacy, security, transmission and breach reporting of individually identifiable health information.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State Licensing Requirements</w:t>
      </w:r>
    </w:p>
    <w:p>
      <w:pPr>
        <w:spacing w:after="0" w:line="118" w:lineRule="exact"/>
        <w:rPr>
          <w:sz w:val="20"/>
          <w:szCs w:val="20"/>
          <w:color w:val="auto"/>
        </w:rPr>
      </w:pPr>
    </w:p>
    <w:p>
      <w:pPr>
        <w:ind w:left="180" w:right="160" w:firstLine="436"/>
        <w:spacing w:after="0" w:line="253" w:lineRule="auto"/>
        <w:rPr>
          <w:sz w:val="20"/>
          <w:szCs w:val="20"/>
          <w:color w:val="auto"/>
        </w:rPr>
      </w:pPr>
      <w:r>
        <w:rPr>
          <w:rFonts w:ascii="Times New Roman" w:cs="Times New Roman" w:eastAsia="Times New Roman" w:hAnsi="Times New Roman"/>
          <w:sz w:val="18"/>
          <w:szCs w:val="18"/>
          <w:color w:val="auto"/>
        </w:rPr>
        <w:t>Certain states have enacted laws regulating companies that offer and market discount medical plans, including prescription drug plans, subscription membership programs or discount cards, such as our prescription offering, Gold, Kroger Savings, and any other subscription products we may develop in the future, including with respect to our telehealth business. These state laws are intended to protect consumers from fraudulent, unfair or deceptive marketing, sales and enrollment practices by such plans. It is possible that other states may enact new requirements or interpret existing requirements to include our programs. Failure to obtain the required licenses, certifications or registrations to offer and market these subscription discount programs may result in civil penalties, receipt of cease and desist orders, or a restructuring of our operations.</w:t>
      </w:r>
    </w:p>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State Corporate Practice of Medicine and Fee Splitting Laws</w:t>
      </w:r>
    </w:p>
    <w:p>
      <w:pPr>
        <w:spacing w:after="0" w:line="118" w:lineRule="exact"/>
        <w:rPr>
          <w:sz w:val="20"/>
          <w:szCs w:val="20"/>
          <w:color w:val="auto"/>
        </w:rPr>
      </w:pPr>
    </w:p>
    <w:p>
      <w:pPr>
        <w:ind w:left="180" w:right="60" w:firstLine="436"/>
        <w:spacing w:after="0" w:line="257" w:lineRule="auto"/>
        <w:rPr>
          <w:sz w:val="20"/>
          <w:szCs w:val="20"/>
          <w:color w:val="auto"/>
        </w:rPr>
      </w:pPr>
      <w:r>
        <w:rPr>
          <w:rFonts w:ascii="Times New Roman" w:cs="Times New Roman" w:eastAsia="Times New Roman" w:hAnsi="Times New Roman"/>
          <w:sz w:val="18"/>
          <w:szCs w:val="18"/>
          <w:color w:val="auto"/>
        </w:rPr>
        <w:t>With respect to our telehealth platform, HeyDoctor contracts with physician-owned professional entities to deliver our telehealth offerings to their patients in the United States. We enter into management services agreements with these physician-owned professional entities pursuant to which we provide them with billing, scheduling and a wide range of other services, and they pay us for those services. In addition, our platform enables HeyDoctor consumers to opt in to use our prescription offering and/or fill their prescriptions through a</w:t>
      </w:r>
    </w:p>
    <w:p>
      <w:pPr>
        <w:spacing w:after="0" w:line="1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60"/>
          </w:cols>
          <w:pgMar w:left="320" w:top="453" w:right="51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20"/>
        <w:spacing w:after="0" w:line="273" w:lineRule="auto"/>
        <w:rPr>
          <w:sz w:val="20"/>
          <w:szCs w:val="20"/>
          <w:color w:val="auto"/>
        </w:rPr>
      </w:pPr>
      <w:r>
        <w:rPr>
          <w:rFonts w:ascii="Times New Roman" w:cs="Times New Roman" w:eastAsia="Times New Roman" w:hAnsi="Times New Roman"/>
          <w:sz w:val="17"/>
          <w:szCs w:val="17"/>
          <w:color w:val="auto"/>
        </w:rPr>
        <w:t>third-party mail-order pharmacy. These relationships are subject to various state laws, which are intended to prevent unlicensed persons from interfering with or influencing the physician’s professional judgment, and prohibiting the sharing of professional services income with non-professional or business interests. These laws vary from state to state and are subject to broad interpretation and enforcement by state regulators. A determination of non-compliance could lead to adverse judicial or administrative action against us and/or our providers, civil or criminal penalties, receipt of cease and desist orders from state regulators, loss of provider licenses, or a restructuring of our arrangements with our affiliated professional entities.</w:t>
      </w: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Healthcare Fraud and Abuse Laws</w:t>
      </w:r>
    </w:p>
    <w:p>
      <w:pPr>
        <w:spacing w:after="0" w:line="118" w:lineRule="exact"/>
        <w:rPr>
          <w:sz w:val="20"/>
          <w:szCs w:val="20"/>
          <w:color w:val="auto"/>
        </w:rPr>
      </w:pPr>
    </w:p>
    <w:p>
      <w:pPr>
        <w:ind w:left="180" w:firstLine="436"/>
        <w:spacing w:after="0" w:line="257" w:lineRule="auto"/>
        <w:rPr>
          <w:sz w:val="20"/>
          <w:szCs w:val="20"/>
          <w:color w:val="auto"/>
        </w:rPr>
      </w:pPr>
      <w:r>
        <w:rPr>
          <w:rFonts w:ascii="Times New Roman" w:cs="Times New Roman" w:eastAsia="Times New Roman" w:hAnsi="Times New Roman"/>
          <w:sz w:val="18"/>
          <w:szCs w:val="18"/>
          <w:color w:val="auto"/>
        </w:rPr>
        <w:t>Although the consumers who use our offerings do so outside of any medication or other health benefits covered under their health insurance, including any commercial or government healthcare program, we may nonetheless be subject to a number of federal and state healthcare regulatory laws that restrict business practices in the healthcare industry. These laws include, but are not limited to, federal and state anti-kickback, false claims, and other healthcare fraud and abuse laws.</w:t>
      </w:r>
    </w:p>
    <w:p>
      <w:pPr>
        <w:spacing w:after="0" w:line="182" w:lineRule="exact"/>
        <w:rPr>
          <w:sz w:val="20"/>
          <w:szCs w:val="20"/>
          <w:color w:val="auto"/>
        </w:rPr>
      </w:pPr>
    </w:p>
    <w:p>
      <w:pPr>
        <w:ind w:left="180" w:right="60" w:firstLine="436"/>
        <w:spacing w:after="0" w:line="253" w:lineRule="auto"/>
        <w:rPr>
          <w:sz w:val="20"/>
          <w:szCs w:val="20"/>
          <w:color w:val="auto"/>
        </w:rPr>
      </w:pPr>
      <w:r>
        <w:rPr>
          <w:rFonts w:ascii="Times New Roman" w:cs="Times New Roman" w:eastAsia="Times New Roman" w:hAnsi="Times New Roman"/>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A person or entity does not need to have actual knowledge of the statute or specific intent to violate it in order to have committed a violation. The majority of states also have anti-kickback laws, which establish similar prohibitions, and in some cases may apply to items or services reimbursed by any third party payor, including commercial insurers and self-pay patients.</w:t>
      </w:r>
    </w:p>
    <w:p>
      <w:pPr>
        <w:spacing w:after="0" w:line="187" w:lineRule="exact"/>
        <w:rPr>
          <w:sz w:val="20"/>
          <w:szCs w:val="20"/>
          <w:color w:val="auto"/>
        </w:rPr>
      </w:pPr>
    </w:p>
    <w:p>
      <w:pPr>
        <w:ind w:left="180" w:firstLine="436"/>
        <w:spacing w:after="0" w:line="252" w:lineRule="auto"/>
        <w:rPr>
          <w:sz w:val="20"/>
          <w:szCs w:val="20"/>
          <w:color w:val="auto"/>
        </w:rPr>
      </w:pPr>
      <w:r>
        <w:rPr>
          <w:rFonts w:ascii="Times New Roman" w:cs="Times New Roman" w:eastAsia="Times New Roman" w:hAnsi="Times New Roman"/>
          <w:sz w:val="18"/>
          <w:szCs w:val="18"/>
          <w:color w:val="auto"/>
        </w:rPr>
        <w:t>The federal false claims, including the civil False Claims Act,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Moreover, a claim including items or services resulting from a violation of the U.S. federal Anti-Kickback Statute constitutes a false or fraudulent claim for purposes of the federal civil False Claims Act.</w:t>
      </w:r>
    </w:p>
    <w:p>
      <w:pPr>
        <w:spacing w:after="0" w:line="189" w:lineRule="exact"/>
        <w:rPr>
          <w:sz w:val="20"/>
          <w:szCs w:val="20"/>
          <w:color w:val="auto"/>
        </w:rPr>
      </w:pPr>
    </w:p>
    <w:p>
      <w:pPr>
        <w:ind w:left="180" w:right="80" w:firstLine="436"/>
        <w:spacing w:after="0" w:line="257" w:lineRule="auto"/>
        <w:rPr>
          <w:sz w:val="20"/>
          <w:szCs w:val="20"/>
          <w:color w:val="auto"/>
        </w:rPr>
      </w:pPr>
      <w:r>
        <w:rPr>
          <w:rFonts w:ascii="Times New Roman" w:cs="Times New Roman" w:eastAsia="Times New Roman" w:hAnsi="Times New Roman"/>
          <w:sz w:val="18"/>
          <w:szCs w:val="18"/>
          <w:color w:val="auto"/>
        </w:rPr>
        <w:t>In addition, the civil monetary penalties statute,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182" w:lineRule="exact"/>
        <w:rPr>
          <w:sz w:val="20"/>
          <w:szCs w:val="20"/>
          <w:color w:val="auto"/>
        </w:rPr>
      </w:pPr>
    </w:p>
    <w:p>
      <w:pPr>
        <w:ind w:left="180" w:right="80" w:firstLine="436"/>
        <w:spacing w:after="0" w:line="271" w:lineRule="auto"/>
        <w:rPr>
          <w:sz w:val="20"/>
          <w:szCs w:val="20"/>
          <w:color w:val="auto"/>
        </w:rPr>
      </w:pPr>
      <w:r>
        <w:rPr>
          <w:rFonts w:ascii="Times New Roman" w:cs="Times New Roman" w:eastAsia="Times New Roman" w:hAnsi="Times New Roman"/>
          <w:sz w:val="17"/>
          <w:szCs w:val="17"/>
          <w:color w:val="auto"/>
        </w:rPr>
        <w:t>The federal Health Insurance Portability and Accountability Act of 1996 created additional federal criminal statutes that prohibit, among other actions, knowingly and willfully executing, or attempting to execute, a scheme to defraud any healthcare benefit program, including private third 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40"/>
          </w:cols>
          <w:pgMar w:left="320" w:top="454" w:right="5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180" w:firstLine="436"/>
        <w:spacing w:after="0" w:line="277" w:lineRule="auto"/>
        <w:rPr>
          <w:sz w:val="20"/>
          <w:szCs w:val="20"/>
          <w:color w:val="auto"/>
        </w:rPr>
      </w:pPr>
      <w:r>
        <w:rPr>
          <w:rFonts w:ascii="Times New Roman" w:cs="Times New Roman" w:eastAsia="Times New Roman" w:hAnsi="Times New Roman"/>
          <w:sz w:val="17"/>
          <w:szCs w:val="17"/>
          <w:color w:val="auto"/>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spacing w:after="0" w:line="2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18" w:lineRule="exact"/>
        <w:rPr>
          <w:sz w:val="20"/>
          <w:szCs w:val="20"/>
          <w:color w:val="auto"/>
        </w:rPr>
      </w:pPr>
    </w:p>
    <w:p>
      <w:pPr>
        <w:jc w:val="both"/>
        <w:ind w:left="180" w:right="40" w:firstLine="436"/>
        <w:spacing w:after="0" w:line="267" w:lineRule="auto"/>
        <w:rPr>
          <w:sz w:val="20"/>
          <w:szCs w:val="20"/>
          <w:color w:val="auto"/>
        </w:rPr>
      </w:pPr>
      <w:r>
        <w:rPr>
          <w:rFonts w:ascii="Times New Roman" w:cs="Times New Roman" w:eastAsia="Times New Roman" w:hAnsi="Times New Roman"/>
          <w:sz w:val="17"/>
          <w:szCs w:val="17"/>
          <w:color w:val="auto"/>
        </w:rPr>
        <w:t>A primary trend in the U.S. healthcare industry is cost containment. In the United States, there have been, and likely will continue to be, a number of federal and state legislative and regulatory changes and proposed changes regarding the healthcare system directed at containing or lowering the cost of healthcare, including the costs of medication. For example, in March 2010, the Affordable Care Act was enacted, which, among other things imposed mandatory discounts for certain Medicare Part D beneficiaries as a condition for manufacturers’ outpatient medication coverage under Medicare Part D; and subjected pharmaceutical manufacturers to new annual fees based on pharmaceutical manufacturers’ share of sales to federal healthcare programs.</w:t>
      </w:r>
    </w:p>
    <w:p>
      <w:pPr>
        <w:ind w:left="180" w:right="320"/>
        <w:spacing w:after="0" w:line="255"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Affordable Care Act, and we expect there will be additional challenges and amendments to the Affordable Care Act in the future.</w:t>
      </w:r>
    </w:p>
    <w:p>
      <w:pPr>
        <w:spacing w:after="0" w:line="182"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color w:val="auto"/>
        </w:rPr>
        <w:t>In addition, there has been heightened governmental and regulatory scrutiny over the manner in which manufacturers set prices for their marketed products. For example, the Trump administration has released proposals that call for increasing pharmaceutical manufacturer competition, increasing the negotiating power of certain federal healthcare programs, capping Medicare Part D beneficiary out-of-pocket pharmacy expenses, and placing limits on pharmaceutical price increases. Such federal and state healthcare reform measures could impact the amounts that federal and state governments and other third-party payors will pay for healthcare products and services or require us to restructure our existing arrangements with PBMs and pharmaceutical manufacturers, any of which could adversely affect our business, financial condition and results of operations.</w:t>
      </w:r>
    </w:p>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8" w:lineRule="exact"/>
        <w:rPr>
          <w:sz w:val="20"/>
          <w:szCs w:val="20"/>
          <w:color w:val="auto"/>
        </w:rPr>
      </w:pPr>
    </w:p>
    <w:p>
      <w:pPr>
        <w:ind w:left="180" w:right="340" w:firstLine="436"/>
        <w:spacing w:after="0" w:line="308" w:lineRule="auto"/>
        <w:rPr>
          <w:sz w:val="20"/>
          <w:szCs w:val="20"/>
          <w:color w:val="auto"/>
        </w:rPr>
      </w:pPr>
      <w:r>
        <w:rPr>
          <w:rFonts w:ascii="Times New Roman" w:cs="Times New Roman" w:eastAsia="Times New Roman" w:hAnsi="Times New Roman"/>
          <w:sz w:val="17"/>
          <w:szCs w:val="17"/>
          <w:color w:val="auto"/>
        </w:rPr>
        <w:t>We are from time to time subject to, and are presently involved in, litigation and other legal proceedings. We believe that there are no pending lawsuits or claims that, individually or in the aggregate, may have a material effect on our business, financial condition or operating results.</w:t>
      </w:r>
    </w:p>
    <w:p>
      <w:pPr>
        <w:spacing w:after="0" w:line="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60"/>
          </w:cols>
          <w:pgMar w:left="320" w:top="454" w:right="51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prospectus.</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85"/>
        </w:trPr>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Age</w:t>
            </w:r>
          </w:p>
        </w:tc>
        <w:tc>
          <w:tcPr>
            <w:tcW w:w="57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7"/>
        </w:trPr>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Hirsch</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40" w:type="dxa"/>
            <w:vAlign w:val="bottom"/>
            <w:tcBorders>
              <w:top w:val="single" w:sz="8" w:color="CCEEFF"/>
            </w:tcBorders>
            <w:shd w:val="clear" w:color="auto" w:fill="CCEEFF"/>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Co-Chief Executive Officer and Director</w:t>
            </w:r>
          </w:p>
        </w:tc>
      </w:tr>
      <w:tr>
        <w:trPr>
          <w:trHeight w:val="2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Trevor Bezdek </w:t>
            </w:r>
            <w:r>
              <w:rPr>
                <w:rFonts w:ascii="Times New Roman" w:cs="Times New Roman" w:eastAsia="Times New Roman" w:hAnsi="Times New Roman"/>
                <w:sz w:val="15"/>
                <w:szCs w:val="15"/>
                <w:color w:val="auto"/>
              </w:rPr>
              <w:t>(1)(4)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Co-Chief Executive Officer and Director</w:t>
            </w:r>
          </w:p>
        </w:tc>
      </w:tr>
      <w:tr>
        <w:trPr>
          <w:trHeight w:val="214"/>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Karsten Voermann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Slutsky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President, Consumer</w:t>
            </w:r>
          </w:p>
        </w:tc>
      </w:tr>
      <w:tr>
        <w:trPr>
          <w:trHeight w:val="214"/>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Babak Azad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Chief Marketing Officer and SVP, Marketing &amp; Communications</w:t>
            </w:r>
          </w:p>
        </w:tc>
      </w:tr>
      <w:tr>
        <w:trPr>
          <w:trHeight w:val="2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Bansi Nagji</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President, Healthcare</w:t>
            </w:r>
          </w:p>
        </w:tc>
      </w:tr>
      <w:tr>
        <w:trPr>
          <w:trHeight w:val="214"/>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Christopher Adams </w:t>
            </w:r>
            <w:r>
              <w:rPr>
                <w:rFonts w:ascii="Times New Roman" w:cs="Times New Roman" w:eastAsia="Times New Roman" w:hAnsi="Times New Roman"/>
                <w:sz w:val="15"/>
                <w:szCs w:val="15"/>
                <w:color w:val="auto"/>
              </w:rPr>
              <w:t>(1)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Julie Bradley </w:t>
            </w:r>
            <w:r>
              <w:rPr>
                <w:rFonts w:ascii="Times New Roman" w:cs="Times New Roman" w:eastAsia="Times New Roman" w:hAnsi="Times New Roman"/>
                <w:sz w:val="15"/>
                <w:szCs w:val="15"/>
                <w:color w:val="auto"/>
              </w:rPr>
              <w:t>(2)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Dipanjan Deb </w:t>
            </w:r>
            <w:r>
              <w:rPr>
                <w:rFonts w:ascii="Times New Roman" w:cs="Times New Roman" w:eastAsia="Times New Roman" w:hAnsi="Times New Roman"/>
                <w:sz w:val="15"/>
                <w:szCs w:val="15"/>
                <w:color w:val="auto"/>
              </w:rPr>
              <w:t>(3)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Adam Karol </w:t>
            </w:r>
            <w:r>
              <w:rPr>
                <w:rFonts w:ascii="Times New Roman" w:cs="Times New Roman" w:eastAsia="Times New Roman" w:hAnsi="Times New Roman"/>
                <w:sz w:val="15"/>
                <w:szCs w:val="15"/>
                <w:color w:val="auto"/>
              </w:rPr>
              <w:t>(2)(4)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Jacqueline Kosecoff </w:t>
            </w:r>
            <w:r>
              <w:rPr>
                <w:rFonts w:ascii="Times New Roman" w:cs="Times New Roman" w:eastAsia="Times New Roman" w:hAnsi="Times New Roman"/>
                <w:sz w:val="15"/>
                <w:szCs w:val="15"/>
                <w:color w:val="auto"/>
              </w:rPr>
              <w:t>(3)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Stephen LeSieur </w:t>
            </w:r>
            <w:r>
              <w:rPr>
                <w:rFonts w:ascii="Times New Roman" w:cs="Times New Roman" w:eastAsia="Times New Roman" w:hAnsi="Times New Roman"/>
                <w:sz w:val="15"/>
                <w:szCs w:val="15"/>
                <w:color w:val="auto"/>
              </w:rPr>
              <w:t>(4)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Gregory Mondre </w:t>
            </w:r>
            <w:r>
              <w:rPr>
                <w:rFonts w:ascii="Times New Roman" w:cs="Times New Roman" w:eastAsia="Times New Roman" w:hAnsi="Times New Roman"/>
                <w:sz w:val="15"/>
                <w:szCs w:val="15"/>
                <w:color w:val="auto"/>
              </w:rPr>
              <w:t>(1)(3)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33"/>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Agnes Rey-Giraud </w:t>
            </w:r>
            <w:r>
              <w:rPr>
                <w:rFonts w:ascii="Times New Roman" w:cs="Times New Roman" w:eastAsia="Times New Roman" w:hAnsi="Times New Roman"/>
                <w:sz w:val="15"/>
                <w:szCs w:val="15"/>
                <w:color w:val="auto"/>
              </w:rPr>
              <w:t>(2)(4)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73025</wp:posOffset>
            </wp:positionV>
            <wp:extent cx="7550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34" w:lineRule="exact"/>
        <w:rPr>
          <w:sz w:val="20"/>
          <w:szCs w:val="20"/>
          <w:color w:val="auto"/>
        </w:rPr>
      </w:pPr>
    </w:p>
    <w:p>
      <w:pPr>
        <w:ind w:left="600" w:hanging="426"/>
        <w:spacing w:after="0"/>
        <w:tabs>
          <w:tab w:leader="none" w:pos="6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Corporate Governance Committee.</w:t>
      </w:r>
    </w:p>
    <w:p>
      <w:pPr>
        <w:spacing w:after="0" w:line="24" w:lineRule="exact"/>
        <w:rPr>
          <w:rFonts w:ascii="Times New Roman" w:cs="Times New Roman" w:eastAsia="Times New Roman" w:hAnsi="Times New Roman"/>
          <w:sz w:val="16"/>
          <w:szCs w:val="16"/>
          <w:color w:val="auto"/>
        </w:rPr>
      </w:pPr>
    </w:p>
    <w:p>
      <w:pPr>
        <w:ind w:left="600" w:hanging="426"/>
        <w:spacing w:after="0"/>
        <w:tabs>
          <w:tab w:leader="none" w:pos="6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w:t>
      </w:r>
    </w:p>
    <w:p>
      <w:pPr>
        <w:spacing w:after="0" w:line="16" w:lineRule="exact"/>
        <w:rPr>
          <w:rFonts w:ascii="Times New Roman" w:cs="Times New Roman" w:eastAsia="Times New Roman" w:hAnsi="Times New Roman"/>
          <w:sz w:val="16"/>
          <w:szCs w:val="16"/>
          <w:color w:val="auto"/>
        </w:rPr>
      </w:pPr>
    </w:p>
    <w:p>
      <w:pPr>
        <w:ind w:left="600" w:hanging="426"/>
        <w:spacing w:after="0"/>
        <w:tabs>
          <w:tab w:leader="none" w:pos="6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w:t>
      </w:r>
    </w:p>
    <w:p>
      <w:pPr>
        <w:spacing w:after="0" w:line="16" w:lineRule="exact"/>
        <w:rPr>
          <w:rFonts w:ascii="Times New Roman" w:cs="Times New Roman" w:eastAsia="Times New Roman" w:hAnsi="Times New Roman"/>
          <w:sz w:val="16"/>
          <w:szCs w:val="16"/>
          <w:color w:val="auto"/>
        </w:rPr>
      </w:pPr>
    </w:p>
    <w:p>
      <w:pPr>
        <w:ind w:left="600" w:hanging="426"/>
        <w:spacing w:after="0"/>
        <w:tabs>
          <w:tab w:leader="none" w:pos="6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Compliance Committee.</w:t>
      </w:r>
    </w:p>
    <w:p>
      <w:pPr>
        <w:spacing w:after="0" w:line="106" w:lineRule="exact"/>
        <w:rPr>
          <w:sz w:val="20"/>
          <w:szCs w:val="20"/>
          <w:color w:val="auto"/>
        </w:rPr>
      </w:pPr>
    </w:p>
    <w:p>
      <w:pPr>
        <w:ind w:left="180" w:right="10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Douglas Hirsch </w:t>
      </w:r>
      <w:r>
        <w:rPr>
          <w:rFonts w:ascii="Times New Roman" w:cs="Times New Roman" w:eastAsia="Times New Roman" w:hAnsi="Times New Roman"/>
          <w:sz w:val="18"/>
          <w:szCs w:val="18"/>
          <w:color w:val="auto"/>
        </w:rPr>
        <w:t>is one of our co-founders and has served as a Chief Executive Officer and as a member of our board of directors since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founding in September 2011. From January 2015, Mr. Hirsch served as our Co-Chief Executive Officer. Prior to our founding, Mr. Hirsch served as Chief Executive Officer at DailyStrength, Inc., a social network focused on health and wellness. Mr. Hirsch was an early employee at Yahoo!, where he conceived and managed the earliest online communities including GeoCities and Yahoo! Groups. He then served as the general manager of Yahoo! Entertainment, before moving on to becoming Vice President of Product at Facebook. Mr. Hirsch holds a B.A. in Political Science from Tufts University. We believe Mr. Hirsch is qualified to serve on our board of directors because of the historical knowledge, operational expertise, leadership, and continuity that he brings to our board of directors as our co-founder and Co-Chief Executive Officer.</w:t>
      </w:r>
    </w:p>
    <w:p>
      <w:pPr>
        <w:spacing w:after="0" w:line="182" w:lineRule="exact"/>
        <w:rPr>
          <w:sz w:val="20"/>
          <w:szCs w:val="20"/>
          <w:color w:val="auto"/>
        </w:rPr>
      </w:pPr>
    </w:p>
    <w:p>
      <w:pPr>
        <w:ind w:left="180" w:right="120" w:firstLine="436"/>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Trevor Bezdek </w:t>
      </w:r>
      <w:r>
        <w:rPr>
          <w:rFonts w:ascii="Times New Roman" w:cs="Times New Roman" w:eastAsia="Times New Roman" w:hAnsi="Times New Roman"/>
          <w:sz w:val="17"/>
          <w:szCs w:val="17"/>
          <w:color w:val="auto"/>
        </w:rPr>
        <w:t>is one of our co-founders and has served as our Co-Chief Executive Officer since January 2015 and as a member of our board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since our founding in September 2011. Mr. Bezdek also serves as President and Chief Executive Officer of two of our wholly-owned subsidiaries. Previously, Mr. Bezdek served as Managing Partner at Tryarc, LLC, a technology firm delivering technology strategy and implementation services, and co-founded Biowire, building information tools for researchers. Mr. Bezdek holds a B.S. in Biological Sciences from Stanford University. We believe Mr. Bezdek is qualified to serve as a member of our board of directors because of his extensive experience in the healthcare, prescription medication and technology industries, in addition to the continuity he brings as one of our co-founders and Co-Chief Executive Officers.</w:t>
      </w:r>
    </w:p>
    <w:p>
      <w:pPr>
        <w:spacing w:after="0" w:line="167" w:lineRule="exact"/>
        <w:rPr>
          <w:sz w:val="20"/>
          <w:szCs w:val="20"/>
          <w:color w:val="auto"/>
        </w:rPr>
      </w:pPr>
    </w:p>
    <w:p>
      <w:pPr>
        <w:ind w:left="180" w:right="4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Karsten Voermann </w:t>
      </w:r>
      <w:r>
        <w:rPr>
          <w:rFonts w:ascii="Times New Roman" w:cs="Times New Roman" w:eastAsia="Times New Roman" w:hAnsi="Times New Roman"/>
          <w:sz w:val="18"/>
          <w:szCs w:val="18"/>
          <w:color w:val="auto"/>
        </w:rPr>
        <w:t>has served as our Chief Financial Officer since March 2020. From May 2018 to February 2020, Mr. Voermann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of Mercer Advisors, an investment advisory services firm, and from July 2015 to May 2018, Mr. Voermann served as Chief Financial Officer of Ibotta, an app-based provider of consumer discounts on consumer packaged goods and other items, and has over 20 years of financial experience with public and private companies. Mr. Voermann holds an H.B.A. in Business from the University of Western Ontario and an M.B.A. from Harvard Business School.</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80"/>
          </w:cols>
          <w:pgMar w:left="320" w:top="454" w:right="49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both"/>
        <w:ind w:left="180" w:right="80" w:firstLine="43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Slutsky </w:t>
      </w:r>
      <w:r>
        <w:rPr>
          <w:rFonts w:ascii="Times New Roman" w:cs="Times New Roman" w:eastAsia="Times New Roman" w:hAnsi="Times New Roman"/>
          <w:sz w:val="18"/>
          <w:szCs w:val="18"/>
          <w:color w:val="auto"/>
        </w:rPr>
        <w:t>has served as our President, Consumer since October 2019 and has been at the Company since February 2012 and was our third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From 2011 to 2012, Mr. Slutsky served as a Senior Marketing Manager at RentTheRunway, an internet clothing company, and from 2008 to 2011, Mr. Slutsky served as a Director of Loeb Enterprises, a venture capital company, where he launched digital marketing for Loeb Enterprises’ early pharmacy discount program. Mr. Slutsky holds a B.A. in Political Science from Amherst College.</w:t>
      </w:r>
    </w:p>
    <w:p>
      <w:pPr>
        <w:spacing w:after="0" w:line="175" w:lineRule="exact"/>
        <w:rPr>
          <w:sz w:val="20"/>
          <w:szCs w:val="20"/>
          <w:color w:val="auto"/>
        </w:rPr>
      </w:pPr>
    </w:p>
    <w:p>
      <w:pPr>
        <w:ind w:left="180" w:right="10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Babak Azad </w:t>
      </w:r>
      <w:r>
        <w:rPr>
          <w:rFonts w:ascii="Times New Roman" w:cs="Times New Roman" w:eastAsia="Times New Roman" w:hAnsi="Times New Roman"/>
          <w:sz w:val="18"/>
          <w:szCs w:val="18"/>
          <w:color w:val="auto"/>
        </w:rPr>
        <w:t>has served as our Chief Marketing Officer and SVP, Marketing &amp; Communications since October 2019. Mr. Azad is the Founder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Round 2 Ventures, LLC, a marketing consulting business, focused on marketing activities of various clients, including GoodRx from June 2017 to October 2019. Prior to this, Mr. Azad served as a Senior Vice President of Media and Customer Acquisition for Beachbody, LLC, a developer of health and fitness related products, from February 2007 to April 2015. Mr. Azad holds a B.S. in Mathematics from MIT and an M.B.A. from the Stanford Graduate School of Business.</w:t>
      </w:r>
    </w:p>
    <w:p>
      <w:pPr>
        <w:spacing w:after="0" w:line="178" w:lineRule="exact"/>
        <w:rPr>
          <w:sz w:val="20"/>
          <w:szCs w:val="20"/>
          <w:color w:val="auto"/>
        </w:rPr>
      </w:pPr>
    </w:p>
    <w:p>
      <w:pPr>
        <w:ind w:left="180" w:right="20" w:firstLine="43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Bansi Nagji </w:t>
      </w:r>
      <w:r>
        <w:rPr>
          <w:rFonts w:ascii="Times New Roman" w:cs="Times New Roman" w:eastAsia="Times New Roman" w:hAnsi="Times New Roman"/>
          <w:sz w:val="18"/>
          <w:szCs w:val="18"/>
          <w:color w:val="auto"/>
        </w:rPr>
        <w:t>has served as our President, Healthcare since June 2020. Previously, Mr. Nagji served for more than 5 years as the Executive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and Chief Strategy and Business Development Officer at McKesson Corporation, a global leader in healthcare supply chain management solutions and retail pharmacy. Prior to McKesson Corporation, Mr. Nagji served from January 2013 to February 2015 as a Principal of Deloitte Consulting, LLP, a consulting firm, and as the Global Leader of Monitor Deloitte. Mr. Nagji previously worked for almost 20 years at Monitor Group, a global strategy consulting firm, and served as a senior partner and President of the firm when it merged with Deloitte. Currently, Mr. Nagji serves on the board of directors of Change Healthcare, Inc., where he also sits on the Compensation Committee and Nominating and Corporate Governance Committee. He has previously served as a director of several private companies, including Deloitte LLP from 2013 to 2015. Mr. Nagji received B.A. and M.A. degrees from Cambridge University and an M.B.A. with Distinction from INSEAD.</w:t>
      </w:r>
    </w:p>
    <w:p>
      <w:pPr>
        <w:spacing w:after="0" w:line="185" w:lineRule="exact"/>
        <w:rPr>
          <w:sz w:val="20"/>
          <w:szCs w:val="20"/>
          <w:color w:val="auto"/>
        </w:rPr>
      </w:pPr>
    </w:p>
    <w:p>
      <w:pPr>
        <w:ind w:left="180" w:right="6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Adams </w:t>
      </w:r>
      <w:r>
        <w:rPr>
          <w:rFonts w:ascii="Times New Roman" w:cs="Times New Roman" w:eastAsia="Times New Roman" w:hAnsi="Times New Roman"/>
          <w:sz w:val="18"/>
          <w:szCs w:val="18"/>
          <w:color w:val="auto"/>
        </w:rPr>
        <w:t>has served as a member of our board of directors since October 2015. Mr. Adams is a Partner at Francisco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L.P., or Francisco Partners, a private equity firm, where he has served since August 2008. Prior to this, Mr. Adams was an associate at American Securities Capital Partners, a private equity firm, and a management consultant at Bain &amp; Company. Mr. Adams also serves on the board of directors of several private companies. Mr. Adams holds a B.S. in Computer Engineering from the Georgia Institute of Technology and an M.B.A. from the Stanford Graduate School of Business. We believe that Mr. Adams is qualified to serve as a member of our board of directors because of his extensive experience in the private equity industry analyzing, investing in, and serving on the board of directors of several healthcare and technology companies.</w:t>
      </w:r>
    </w:p>
    <w:p>
      <w:pPr>
        <w:spacing w:after="0" w:line="182" w:lineRule="exact"/>
        <w:rPr>
          <w:sz w:val="20"/>
          <w:szCs w:val="20"/>
          <w:color w:val="auto"/>
        </w:rPr>
      </w:pPr>
    </w:p>
    <w:p>
      <w:pPr>
        <w:ind w:left="180" w:firstLine="43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Julie Bradley </w:t>
      </w:r>
      <w:r>
        <w:rPr>
          <w:rFonts w:ascii="Times New Roman" w:cs="Times New Roman" w:eastAsia="Times New Roman" w:hAnsi="Times New Roman"/>
          <w:sz w:val="18"/>
          <w:szCs w:val="18"/>
          <w:color w:val="auto"/>
        </w:rPr>
        <w:t>has served as a member of our board of directors since August 2020. Ms. Bradley previously served as the Chief Financial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Tripadvisor, Inc., a public company that operates an online travel planning website and mobile app, from October 2011 to November 2015. Currently, Ms. Bradley serves on the board of directors of Wayfair Inc., since September 2012, where she is the member of the Audit Committee and Nominating and Governance Committee, and Blue Apron Holdings, Inc., since September 2015, where she serves on the Audit Committee and Compensation Committee. Ms. Bradley previously served on the board of directors of Constant Contact, Inc. from June 2015 to February 2016, where she served on the Audit Committee, Compensation Committee and Merger and Acquisition Committee. Ms. Bradley additionally serves on the board of directors for a private company. Ms. Bradley received a B.A. in Economics from Wheaton College. We believe Ms. Bradley is qualified to serve on our board of directors due to her financial expertise and experience serving on the board of directors of numerous technology-based companies.</w:t>
      </w:r>
    </w:p>
    <w:p>
      <w:pPr>
        <w:spacing w:after="0" w:line="185" w:lineRule="exact"/>
        <w:rPr>
          <w:sz w:val="20"/>
          <w:szCs w:val="20"/>
          <w:color w:val="auto"/>
        </w:rPr>
      </w:pPr>
    </w:p>
    <w:p>
      <w:pPr>
        <w:ind w:left="180" w:right="40" w:firstLine="43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Dipanjan Deb </w:t>
      </w:r>
      <w:r>
        <w:rPr>
          <w:rFonts w:ascii="Times New Roman" w:cs="Times New Roman" w:eastAsia="Times New Roman" w:hAnsi="Times New Roman"/>
          <w:sz w:val="18"/>
          <w:szCs w:val="18"/>
          <w:color w:val="auto"/>
        </w:rPr>
        <w:t>has served as a member of our board of directors since October 2015. Mr. Deb is a founder of Francisco Partners and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Managing Partner/Chief Executive Officer of Francisco Partners since September 2005. Mr. Deb has also served as a Partner of Francisco Partners since its founding in August 1999. Prior to founding Francisco Partners, Mr. Deb was a principal at TPG Capital, a private equity firm, a</w:t>
      </w:r>
    </w:p>
    <w:p>
      <w:pPr>
        <w:spacing w:after="0" w:line="1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40"/>
          </w:cols>
          <w:pgMar w:left="320" w:top="454" w:right="5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spacing w:after="0" w:line="253" w:lineRule="auto"/>
        <w:rPr>
          <w:sz w:val="20"/>
          <w:szCs w:val="20"/>
          <w:color w:val="auto"/>
        </w:rPr>
      </w:pPr>
      <w:r>
        <w:rPr>
          <w:rFonts w:ascii="Times New Roman" w:cs="Times New Roman" w:eastAsia="Times New Roman" w:hAnsi="Times New Roman"/>
          <w:sz w:val="18"/>
          <w:szCs w:val="18"/>
          <w:color w:val="auto"/>
        </w:rPr>
        <w:t>Director of Semiconductor Banking at Robertson, Stephens &amp; Company and a management consultant at McKinsey &amp; Company. Mr. Deb has served on the board of directors of numerous public companies including most recently Ichor Systems, Inc. from February 2012 to May 2018, and currently serves on the board of directors of several private companies. Mr. Deb holds a B.S. in Electrical Engineering and Computer Science from the University of California, Berkeley and an M.B.A. from the Stanford Graduate School of Business. We believe that Mr. Deb is qualified to serve as a member of our board of directors because of his experience in the private equity and venture capital industries analyzing, investing in and serving on the boards of directors of manufacturing and technology companies.</w:t>
      </w:r>
    </w:p>
    <w:p>
      <w:pPr>
        <w:spacing w:after="0" w:line="183" w:lineRule="exact"/>
        <w:rPr>
          <w:sz w:val="20"/>
          <w:szCs w:val="20"/>
          <w:color w:val="auto"/>
        </w:rPr>
      </w:pPr>
    </w:p>
    <w:p>
      <w:pPr>
        <w:ind w:left="180" w:right="80" w:firstLine="43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Adam Karol </w:t>
      </w:r>
      <w:r>
        <w:rPr>
          <w:rFonts w:ascii="Times New Roman" w:cs="Times New Roman" w:eastAsia="Times New Roman" w:hAnsi="Times New Roman"/>
          <w:sz w:val="18"/>
          <w:szCs w:val="18"/>
          <w:color w:val="auto"/>
        </w:rPr>
        <w:t>has served as a member of our board of directors since October 2018. Mr. Karol is a Managing Director at Silver Lake. He joined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Silver Lake in 2009 as a Principal and then served as a Director from 2013 to December 2018. Prior to Silver Lake, Mr. Karol worked at Silver Point Capital, L.P., an asset management firm, and at Perry Capital, a multi-strategy investment firm. Mr. Karol serves on the board of directors for A Place for Mom, Inc. Mr. Karol holds a B.S. in Finance and Management Information Systems from Boston College and an M.B.A. from The Wharton School of the University of Pennsylvania. We believe Mr. Karol is qualified to serve on our board of directors because he has significant experience in private equity investing and expertise in technology investing.</w:t>
      </w:r>
    </w:p>
    <w:p>
      <w:pPr>
        <w:spacing w:after="0" w:line="182" w:lineRule="exact"/>
        <w:rPr>
          <w:sz w:val="20"/>
          <w:szCs w:val="20"/>
          <w:color w:val="auto"/>
        </w:rPr>
      </w:pPr>
    </w:p>
    <w:p>
      <w:pPr>
        <w:ind w:left="180" w:firstLine="436"/>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Jacqueline Kosecoff </w:t>
      </w:r>
      <w:r>
        <w:rPr>
          <w:rFonts w:ascii="Times New Roman" w:cs="Times New Roman" w:eastAsia="Times New Roman" w:hAnsi="Times New Roman"/>
          <w:sz w:val="18"/>
          <w:szCs w:val="18"/>
          <w:color w:val="auto"/>
        </w:rPr>
        <w:t>has served as a member of our board of directors since May 2016. Dr. Kosecoff is a Managing Partner at Moriah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where she has served since 2012. Dr. Kosecoff has also served as a Senior Advisor at Warburg Pincus since March 2012. Dr. Kosecoff has had an extensive career in healthcare including serving as Executive Vice President of PacifiCare where she had responsibility for its PBM, Medicare Part D Drug Program, and Behavioral Health, Dental and Vision companies. At UnitedHealth Group, Dr. Kosecoff was CEO of OptumRx, with responsibility for UnitedHealth’s PBM, Specialty Pharmacy and Consumer Health Products. Currently, Dr. Kosecoff serves on the board of directors of Houlihan Lokey, where she also serves on Houlihan Lokey’s Audit Committee and Nominating and Governance Committee, Sealed Air Corporation where she chairs the Compensation Committee and also serves on the Nominating and Governance Committee, STERIS Corporation, where she chairs the Organization and Compensation Committee and also serves on the Nominating and Governance Committee, TriNet, and several private companies. Dr. Kosecoff holds a B.A. in Mathematics from the University of California, Los Angeles, an M.S. in Applied Mathematics from Brown University and a Ph.D. with a concentration in Research Methods from the University of California, Los Angeles, School of Education. We believe Dr. Kosecoff is qualified to serve on our board of directors because of her extensive experience serving on the board of directors of several public and private companies and her experience and knowledge in the healthcare sector, including healthcare services and technology.</w:t>
      </w:r>
    </w:p>
    <w:p>
      <w:pPr>
        <w:spacing w:after="0" w:line="191" w:lineRule="exact"/>
        <w:rPr>
          <w:sz w:val="20"/>
          <w:szCs w:val="20"/>
          <w:color w:val="auto"/>
        </w:rPr>
      </w:pPr>
    </w:p>
    <w:p>
      <w:pPr>
        <w:ind w:left="180" w:right="60" w:firstLine="43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LeSieur </w:t>
      </w:r>
      <w:r>
        <w:rPr>
          <w:rFonts w:ascii="Times New Roman" w:cs="Times New Roman" w:eastAsia="Times New Roman" w:hAnsi="Times New Roman"/>
          <w:sz w:val="18"/>
          <w:szCs w:val="18"/>
          <w:color w:val="auto"/>
        </w:rPr>
        <w:t>has served as a member of our board of directors since October 2015. Mr. LeSieur is a Managing Director at Spectrum Equity,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growth stage private equity firm, where he has served since 2005 and co-leads the firm’s healthcare technology investing efforts. Prior to Spectrum, Mr. LeSieur was an associate at Trident Capital. Mr. LeSieur serves and has served on the board of directors of several private healthcare and software companies. Mr. LeSieur holds a B.A. in Economics from Princeton University and an M.B.A. from the Tuck School of Business at Dartmouth College. We believe Mr. LeSieur is qualified to serve on our board of directors because of his extensive experience in private equity investing and serving on the boards of directors of numerous healthcare and technology-based companies.</w:t>
      </w:r>
    </w:p>
    <w:p>
      <w:pPr>
        <w:spacing w:after="0" w:line="182" w:lineRule="exact"/>
        <w:rPr>
          <w:sz w:val="20"/>
          <w:szCs w:val="20"/>
          <w:color w:val="auto"/>
        </w:rPr>
      </w:pPr>
    </w:p>
    <w:p>
      <w:pPr>
        <w:ind w:left="180" w:right="60" w:firstLine="436"/>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Gregory Mondre </w:t>
      </w:r>
      <w:r>
        <w:rPr>
          <w:rFonts w:ascii="Times New Roman" w:cs="Times New Roman" w:eastAsia="Times New Roman" w:hAnsi="Times New Roman"/>
          <w:sz w:val="17"/>
          <w:szCs w:val="17"/>
          <w:color w:val="auto"/>
        </w:rPr>
        <w:t>has served as a member of our board of directors since October 2018. Mr. Mondre is Co-Chief Executive Officer at Silver Lake.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He joined Silver Lake in 1999 and most recently served as a Managing Partner and Managing Director of the firm from January 2013 to December</w:t>
      </w:r>
    </w:p>
    <w:p>
      <w:pPr>
        <w:spacing w:after="0" w:line="1" w:lineRule="exact"/>
        <w:rPr>
          <w:sz w:val="20"/>
          <w:szCs w:val="20"/>
          <w:color w:val="auto"/>
        </w:rPr>
      </w:pPr>
    </w:p>
    <w:p>
      <w:pPr>
        <w:ind w:left="180"/>
        <w:spacing w:after="0" w:line="250" w:lineRule="auto"/>
        <w:rPr>
          <w:sz w:val="20"/>
          <w:szCs w:val="20"/>
          <w:color w:val="auto"/>
        </w:rPr>
      </w:pPr>
      <w:r>
        <w:rPr>
          <w:rFonts w:ascii="Times New Roman" w:cs="Times New Roman" w:eastAsia="Times New Roman" w:hAnsi="Times New Roman"/>
          <w:sz w:val="18"/>
          <w:szCs w:val="18"/>
          <w:color w:val="auto"/>
        </w:rPr>
        <w:t>2019. Mr. Mondre currently serves on the board of directors of Expedia Group, Inc., a position he has held since May 2020, and of Motorola Solutions, a position he has held since August 2015 and where he also serves on the Audit and Governance and Nominating Committees. He previously served as a director of GoDaddy Inc. from May 2014 to February 2020, and of Sabre Corporation from March 2007 to December 2018. Mr. Mondre holds a B.S. degree in Economics from The Wharton School of the University of Pennsylvania. We believe Mr. Mondre is qualified</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60"/>
          </w:cols>
          <w:pgMar w:left="320" w:top="454" w:right="51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180"/>
        <w:spacing w:after="0" w:line="277" w:lineRule="auto"/>
        <w:rPr>
          <w:sz w:val="20"/>
          <w:szCs w:val="20"/>
          <w:color w:val="auto"/>
        </w:rPr>
      </w:pPr>
      <w:r>
        <w:rPr>
          <w:rFonts w:ascii="Times New Roman" w:cs="Times New Roman" w:eastAsia="Times New Roman" w:hAnsi="Times New Roman"/>
          <w:sz w:val="18"/>
          <w:szCs w:val="18"/>
          <w:color w:val="auto"/>
        </w:rPr>
        <w:t>to serve on our board of directors because of his significant experience in private equity investing and expertise in technology and technology-enabled industries.</w:t>
      </w:r>
    </w:p>
    <w:p>
      <w:pPr>
        <w:spacing w:after="0" w:line="159" w:lineRule="exact"/>
        <w:rPr>
          <w:sz w:val="20"/>
          <w:szCs w:val="20"/>
          <w:color w:val="auto"/>
        </w:rPr>
      </w:pPr>
    </w:p>
    <w:p>
      <w:pPr>
        <w:ind w:left="180" w:firstLine="43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Agnes Rey-Giraud </w:t>
      </w:r>
      <w:r>
        <w:rPr>
          <w:rFonts w:ascii="Times New Roman" w:cs="Times New Roman" w:eastAsia="Times New Roman" w:hAnsi="Times New Roman"/>
          <w:sz w:val="18"/>
          <w:szCs w:val="18"/>
          <w:color w:val="auto"/>
        </w:rPr>
        <w:t>has served as a member of our board of directors since June 2016. Ms. Rey-Giraud is the Founder, Chairman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Acera Surgical Inc., a bioscience company, where she has served since its founding in January 2013. Ms. Rey-Giraud previously served as an Executive Vice President and the President of Operations at Express Scripts, a pharmacy benefit management organization, from May 1999 to May 2011. Ms. Rey-Giraud also serves on the board of directors for several private companies. Ms. Rey-Giraud holds a B.S. and M.S. in Mechanical Engineering from Ecole Nationale d’Ingenieurs de Saint Etienne (ENISE), France, a MMa in Operations Management from Ecole de Management de Lyon (EM Lyon), France and an M.B.A. from the University of Chicago. We believe Ms. Rey-Giraud is qualified to serve on our board of directors because of her experience and expertise in the PBM industry as an executive of a large publicly traded company and her experience serving on the board of directors of several companies.</w:t>
      </w:r>
    </w:p>
    <w:p>
      <w:pPr>
        <w:spacing w:after="0" w:line="2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3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18" w:lineRule="exact"/>
        <w:rPr>
          <w:sz w:val="20"/>
          <w:szCs w:val="20"/>
          <w:color w:val="auto"/>
        </w:rPr>
      </w:pPr>
    </w:p>
    <w:p>
      <w:pPr>
        <w:ind w:left="180" w:firstLine="436"/>
        <w:spacing w:after="0" w:line="266" w:lineRule="auto"/>
        <w:rPr>
          <w:sz w:val="20"/>
          <w:szCs w:val="20"/>
          <w:color w:val="auto"/>
        </w:rPr>
      </w:pPr>
      <w:r>
        <w:rPr>
          <w:rFonts w:ascii="Times New Roman" w:cs="Times New Roman" w:eastAsia="Times New Roman" w:hAnsi="Times New Roman"/>
          <w:sz w:val="17"/>
          <w:szCs w:val="17"/>
          <w:color w:val="auto"/>
        </w:rPr>
        <w:t>Our board of directors is currently composed of 10 members with no vacancies. In accordance with our fifth amended and restated certificate of incorporation and our current amended and restated bylaws, each as in effect prior to the completion of this offering and the amended and restated stockholders agreement, Douglas Hirsch, Trevor Bezdek, Christopher Adams, Dipanjan Deb, Adam Karol, Jacqueline Kosecoff, Stephen LeSieur, Gregory Mondre and Agnes Rey-Giraud have been designated to serve as members of our board of directors. Julie Bradley was appointed to our board of directors in August 2020. Pursuant to the amended and restated stockholders agreement, the stockholders who are party to the agreement have agreed to vote their respective shares to elect (i) two directors designated by SLP Geology Aggregator, L.P., currently Mr. Karol and Mr. Mondre, (ii) three directors designated by Francisco Partners IV, L.P., Francisco Partners IV-A, L.P., Spectrum Equity VII, L.P., Spectrum VII Investment Managers’ Fund, L.P., Spectrum VII Co-Investment Fund, L.P., with Francisco Partners IV, L.P. and Francisco Partners IV-A, L.P. entitled to designate one of these three directors each and Spectrum Equity VII, L.P. entitled to designate one director, currently Mr. Deb, Mr. Adams and Mr. LeSieur, (iii) two directors designated by Idea Men, LLC, currently Mr. Hirsch and Mr. Bezdek, and (iv) two directors that are not affiliated with any entity party to the amended and restated stockholders agreement designated by unanimous written consent of the board of directors, currently Ms. Rey-Giraud and Dr. Kosecoff.</w:t>
      </w:r>
    </w:p>
    <w:p>
      <w:pPr>
        <w:spacing w:after="0" w:line="182" w:lineRule="exact"/>
        <w:rPr>
          <w:sz w:val="20"/>
          <w:szCs w:val="20"/>
          <w:color w:val="auto"/>
        </w:rPr>
      </w:pPr>
    </w:p>
    <w:p>
      <w:pPr>
        <w:ind w:left="180" w:firstLine="436"/>
        <w:spacing w:after="0" w:line="270" w:lineRule="auto"/>
        <w:rPr>
          <w:sz w:val="20"/>
          <w:szCs w:val="20"/>
          <w:color w:val="auto"/>
        </w:rPr>
      </w:pPr>
      <w:r>
        <w:rPr>
          <w:rFonts w:ascii="Times New Roman" w:cs="Times New Roman" w:eastAsia="Times New Roman" w:hAnsi="Times New Roman"/>
          <w:sz w:val="17"/>
          <w:szCs w:val="17"/>
          <w:color w:val="auto"/>
        </w:rPr>
        <w:t>The provisions of our fifth amended and restated certificate of incorporation, our current amended and restated bylaws and the amended and restated stockholders agreement will no longer be in effect upon the closing of this offering, provided that, in connection with this offering, certain parties to the amended and restated stockholders agreement may request to enter into a voting agreement, pursuant to which the parties will agree to vote in favor of any directors nominated by such parties. In connection with this offering, we intend to enter into a new stockholders agreement with SLP Geology Aggregator, L.P., Francisco Partners IV, L.P., Francisco Partners IV-A, L.P., Spectrum Equity VII, L.P., Spectrum VII Investment Managers’ Fund, L.P., Spectrum VII Co-Investment Fund, L.P. and Idea Men, LLC granting them certain board designation rights so long as they maintain a certain percentage of ownership of our outstanding common stock. See “Certain Relationships and Related Person Transactions—Stockholders Agreements.”</w:t>
      </w:r>
    </w:p>
    <w:p>
      <w:pPr>
        <w:spacing w:after="0" w:line="170" w:lineRule="exact"/>
        <w:rPr>
          <w:sz w:val="20"/>
          <w:szCs w:val="20"/>
          <w:color w:val="auto"/>
        </w:rPr>
      </w:pPr>
    </w:p>
    <w:p>
      <w:pPr>
        <w:ind w:left="180" w:right="780" w:firstLine="436"/>
        <w:spacing w:after="0" w:line="277" w:lineRule="auto"/>
        <w:rPr>
          <w:sz w:val="20"/>
          <w:szCs w:val="20"/>
          <w:color w:val="auto"/>
        </w:rPr>
      </w:pPr>
      <w:r>
        <w:rPr>
          <w:rFonts w:ascii="Times New Roman" w:cs="Times New Roman" w:eastAsia="Times New Roman" w:hAnsi="Times New Roman"/>
          <w:sz w:val="18"/>
          <w:szCs w:val="18"/>
          <w:color w:val="auto"/>
        </w:rPr>
        <w:t>Each of our current directors will continue to serve until the election and qualification of his or her successor, or his or her earlier death, resignation or removal.</w:t>
      </w:r>
    </w:p>
    <w:p>
      <w:pPr>
        <w:spacing w:after="0" w:line="163" w:lineRule="exact"/>
        <w:rPr>
          <w:sz w:val="20"/>
          <w:szCs w:val="20"/>
          <w:color w:val="auto"/>
        </w:rPr>
      </w:pPr>
    </w:p>
    <w:p>
      <w:pPr>
        <w:ind w:left="180" w:right="280" w:firstLine="436"/>
        <w:spacing w:after="0" w:line="277"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which will be in effect upon the closing of this offering, our board of directors will be divided into three classes of directors. At each annual</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60"/>
          </w:cols>
          <w:pgMar w:left="320" w:top="454" w:right="51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180"/>
        <w:spacing w:after="0" w:line="262" w:lineRule="auto"/>
        <w:rPr>
          <w:sz w:val="20"/>
          <w:szCs w:val="20"/>
          <w:color w:val="auto"/>
        </w:rPr>
      </w:pPr>
      <w:r>
        <w:rPr>
          <w:rFonts w:ascii="Times New Roman" w:cs="Times New Roman" w:eastAsia="Times New Roman" w:hAnsi="Times New Roman"/>
          <w:sz w:val="18"/>
          <w:szCs w:val="18"/>
          <w:color w:val="auto"/>
        </w:rPr>
        <w:t>meeting of stockholders, a class of directors will be elected for a three-year term to succeed the class whose terms are then expiring, to serve from the time of election and qualification until the third annual meeting following their election or until their earlier death, resignation or removal. Upon the closing of this offering, our directors will be divided among the three classes as follows:</w:t>
      </w:r>
    </w:p>
    <w:p>
      <w:pPr>
        <w:spacing w:after="0" w:line="177" w:lineRule="exact"/>
        <w:rPr>
          <w:sz w:val="20"/>
          <w:szCs w:val="20"/>
          <w:color w:val="auto"/>
        </w:rPr>
      </w:pPr>
    </w:p>
    <w:p>
      <w:pPr>
        <w:ind w:left="180" w:right="120" w:firstLine="436"/>
        <w:spacing w:after="0" w:line="277" w:lineRule="auto"/>
        <w:rPr>
          <w:sz w:val="20"/>
          <w:szCs w:val="20"/>
          <w:color w:val="auto"/>
        </w:rPr>
      </w:pPr>
      <w:r>
        <w:rPr>
          <w:rFonts w:ascii="Times New Roman" w:cs="Times New Roman" w:eastAsia="Times New Roman" w:hAnsi="Times New Roman"/>
          <w:sz w:val="18"/>
          <w:szCs w:val="18"/>
          <w:color w:val="auto"/>
        </w:rPr>
        <w:t>The Class I directors will be Jacqueline Kosecoff, Agnes Rey-Giraud and Douglas Hirsch, and their terms will expire at our first annual meeting of stockholders following this offering.</w:t>
      </w:r>
    </w:p>
    <w:p>
      <w:pPr>
        <w:spacing w:after="0" w:line="163" w:lineRule="exact"/>
        <w:rPr>
          <w:sz w:val="20"/>
          <w:szCs w:val="20"/>
          <w:color w:val="auto"/>
        </w:rPr>
      </w:pPr>
    </w:p>
    <w:p>
      <w:pPr>
        <w:ind w:left="180" w:right="240" w:firstLine="436"/>
        <w:spacing w:after="0" w:line="277" w:lineRule="auto"/>
        <w:rPr>
          <w:sz w:val="20"/>
          <w:szCs w:val="20"/>
          <w:color w:val="auto"/>
        </w:rPr>
      </w:pPr>
      <w:r>
        <w:rPr>
          <w:rFonts w:ascii="Times New Roman" w:cs="Times New Roman" w:eastAsia="Times New Roman" w:hAnsi="Times New Roman"/>
          <w:sz w:val="18"/>
          <w:szCs w:val="18"/>
          <w:color w:val="auto"/>
        </w:rPr>
        <w:t>The Class II directors will be Trevor Bezdek, Christopher Adams and Adam Karol, and their terms will expire at our second annual meeting of stockholders following this offering.</w:t>
      </w:r>
    </w:p>
    <w:p>
      <w:pPr>
        <w:spacing w:after="0" w:line="163" w:lineRule="exact"/>
        <w:rPr>
          <w:sz w:val="20"/>
          <w:szCs w:val="20"/>
          <w:color w:val="auto"/>
        </w:rPr>
      </w:pPr>
    </w:p>
    <w:p>
      <w:pPr>
        <w:ind w:left="180" w:right="80" w:firstLine="436"/>
        <w:spacing w:after="0" w:line="277" w:lineRule="auto"/>
        <w:rPr>
          <w:sz w:val="20"/>
          <w:szCs w:val="20"/>
          <w:color w:val="auto"/>
        </w:rPr>
      </w:pPr>
      <w:r>
        <w:rPr>
          <w:rFonts w:ascii="Times New Roman" w:cs="Times New Roman" w:eastAsia="Times New Roman" w:hAnsi="Times New Roman"/>
          <w:sz w:val="18"/>
          <w:szCs w:val="18"/>
          <w:color w:val="auto"/>
        </w:rPr>
        <w:t>The Class III directors will be Julie Bradley, Dipanjan Deb, Stephen LeSieur and Gregory Mondre, and their terms will expire at our third annual meeting of stockholders following this offering.</w:t>
      </w:r>
    </w:p>
    <w:p>
      <w:pPr>
        <w:spacing w:after="0" w:line="163" w:lineRule="exact"/>
        <w:rPr>
          <w:sz w:val="20"/>
          <w:szCs w:val="20"/>
          <w:color w:val="auto"/>
        </w:rPr>
      </w:pPr>
    </w:p>
    <w:p>
      <w:pPr>
        <w:ind w:left="180" w:right="20" w:firstLine="436"/>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the authorized number of directors may be changed only by resolution of our board of directors or as provided in the stockholders agreement. See “Certain Relationships and Related Person Transactions—Stockholders Agreements.”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See the section of this prospectus captioned “Description of Capital Stock—Anti-Takeover Provisions” for a discussion of these and other anti-takeover provisions found in our amended and restated certificate of incorporation and amended and restated bylaws, which will become effective immediately prior to the closing of this offering.</w:t>
      </w:r>
    </w:p>
    <w:p>
      <w:pPr>
        <w:spacing w:after="0" w:line="2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18"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color w:val="auto"/>
        </w:rPr>
        <w:t>We will be a “controlled company” under the rules of The Nasdaq Stock Market. As a result, we qualify for exemptions from, and have elected not to comply with, certain corporate governance requirements under the rules, including the requirements that within one year of the completion of this offering we have a board that is composed of majority of “independent directors,” as defined under the rules, and a compensation committee and a nominating and corporate governance committee that are composed entirely of independent directors. Even though we will be a controlled company, we are required to comply with the rules of the SEC and The Nasdaq Stock Market relating to the membership, qualifications and operations of the audit committee, as discussed below.</w:t>
      </w:r>
    </w:p>
    <w:p>
      <w:pPr>
        <w:spacing w:after="0" w:line="187" w:lineRule="exact"/>
        <w:rPr>
          <w:sz w:val="20"/>
          <w:szCs w:val="20"/>
          <w:color w:val="auto"/>
        </w:rPr>
      </w:pPr>
    </w:p>
    <w:p>
      <w:pPr>
        <w:ind w:left="180" w:right="20" w:firstLine="436"/>
        <w:spacing w:after="0" w:line="251" w:lineRule="auto"/>
        <w:rPr>
          <w:sz w:val="20"/>
          <w:szCs w:val="20"/>
          <w:color w:val="auto"/>
        </w:rPr>
      </w:pPr>
      <w:r>
        <w:rPr>
          <w:rFonts w:ascii="Times New Roman" w:cs="Times New Roman" w:eastAsia="Times New Roman" w:hAnsi="Times New Roman"/>
          <w:sz w:val="18"/>
          <w:szCs w:val="18"/>
          <w:color w:val="auto"/>
        </w:rPr>
        <w:t>The rules of The Nasdaq Stock Market define a “controlled company” as a company of which more than 50% of the voting power for the election of directors is held by an individual, a group or another company. After the closing of this offering and the private placement, the parties to our stockholders agreement, described in “Certain Relationships and Related Person Transactions—Stockholders Agreements,” will beneficially own approximately 91.4% of the combined voting power of our Class A and Class B common stock (or 91.3% if the underwriters exercise their option to purchase additional shares in full). Accordingly, we will qualify as a “controlled company” and will be able to rely on the controlled company exemption from the director independence requirements of The Nasdaq Stock Market relating to the board of directors, compensation committee and nominating and corporate governance committee. If we cease to be a controlled company and the Class A common stock continues to be listed on the Nasdaq Global Select Market, we will be required to comply with these requirements by the date our status as a controlled company changes or within specified transition periods applicable to certain provisions, as the case may be.</w:t>
      </w:r>
    </w:p>
    <w:p>
      <w:pPr>
        <w:spacing w:after="0" w:line="189" w:lineRule="exact"/>
        <w:rPr>
          <w:sz w:val="20"/>
          <w:szCs w:val="20"/>
          <w:color w:val="auto"/>
        </w:rPr>
      </w:pPr>
    </w:p>
    <w:p>
      <w:pPr>
        <w:ind w:left="180" w:firstLine="436"/>
        <w:spacing w:after="0" w:line="262" w:lineRule="auto"/>
        <w:rPr>
          <w:sz w:val="20"/>
          <w:szCs w:val="20"/>
          <w:color w:val="auto"/>
        </w:rPr>
      </w:pPr>
      <w:r>
        <w:rPr>
          <w:rFonts w:ascii="Times New Roman" w:cs="Times New Roman" w:eastAsia="Times New Roman" w:hAnsi="Times New Roman"/>
          <w:sz w:val="18"/>
          <w:szCs w:val="18"/>
          <w:color w:val="auto"/>
        </w:rPr>
        <w:t>In connection with this offering, 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w:t>
      </w:r>
    </w:p>
    <w:p>
      <w:pPr>
        <w:spacing w:after="0" w:line="1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20"/>
          </w:cols>
          <w:pgMar w:left="320" w:top="454" w:right="5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spacing w:after="0" w:line="262" w:lineRule="auto"/>
        <w:rPr>
          <w:sz w:val="20"/>
          <w:szCs w:val="20"/>
          <w:color w:val="auto"/>
        </w:rPr>
      </w:pPr>
      <w:r>
        <w:rPr>
          <w:rFonts w:ascii="Times New Roman" w:cs="Times New Roman" w:eastAsia="Times New Roman" w:hAnsi="Times New Roman"/>
          <w:sz w:val="18"/>
          <w:szCs w:val="18"/>
          <w:color w:val="auto"/>
        </w:rPr>
        <w:t>our board of directors determined that Christopher Adams, Julie Bradley, Dipanjan Deb, Adam Karol, Jacqueline Kosecoff, Stephen LeSieur, Gregory Mondre and Agnes Rey-Giraud are “independent directors” as defined under the applicable rules and regulations of the SEC and the listing requirements and rules of The Nasdaq Stock Market, representing eight of our ten directors.</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18" w:lineRule="exact"/>
        <w:rPr>
          <w:sz w:val="20"/>
          <w:szCs w:val="20"/>
          <w:color w:val="auto"/>
        </w:rPr>
      </w:pPr>
    </w:p>
    <w:p>
      <w:pPr>
        <w:ind w:left="180" w:right="300" w:firstLine="436"/>
        <w:spacing w:after="0" w:line="262" w:lineRule="auto"/>
        <w:rPr>
          <w:sz w:val="20"/>
          <w:szCs w:val="20"/>
          <w:color w:val="auto"/>
        </w:rPr>
      </w:pPr>
      <w:r>
        <w:rPr>
          <w:rFonts w:ascii="Times New Roman" w:cs="Times New Roman" w:eastAsia="Times New Roman" w:hAnsi="Times New Roman"/>
          <w:sz w:val="18"/>
          <w:szCs w:val="18"/>
          <w:color w:val="auto"/>
        </w:rPr>
        <w:t>Our board of directors has an audit committee, a compensation committee, nominating and corporate governance committee and a compliance committee, each of which has the composition and the responsibilities described below. In addition, from time to time, special committees may be established under the direction of our board of directors when necessary to address specific issues.</w:t>
      </w:r>
    </w:p>
    <w:p>
      <w:pPr>
        <w:spacing w:after="0" w:line="177" w:lineRule="exact"/>
        <w:rPr>
          <w:sz w:val="20"/>
          <w:szCs w:val="20"/>
          <w:color w:val="auto"/>
        </w:rPr>
      </w:pPr>
    </w:p>
    <w:p>
      <w:pPr>
        <w:ind w:left="180" w:right="180" w:firstLine="436"/>
        <w:spacing w:after="0" w:line="255" w:lineRule="auto"/>
        <w:rPr>
          <w:sz w:val="20"/>
          <w:szCs w:val="20"/>
          <w:color w:val="auto"/>
        </w:rPr>
      </w:pPr>
      <w:r>
        <w:rPr>
          <w:rFonts w:ascii="Times New Roman" w:cs="Times New Roman" w:eastAsia="Times New Roman" w:hAnsi="Times New Roman"/>
          <w:sz w:val="18"/>
          <w:szCs w:val="18"/>
          <w:color w:val="auto"/>
        </w:rPr>
        <w:t>Each of the audit committee, the compensation committee, nominating and corporate governance committee and compliance committee will operate under a written charter that will be approved by our board of directors in connection with this offering. A copy of each of the audit committee, compensation committee, nominating and corporate governance committee and compliance committee charters will be available on our corporate website. The reference to our website address in this prospectus does not include or incorporate by reference the information on our website into this prospectus.</w:t>
      </w:r>
    </w:p>
    <w:p>
      <w:pPr>
        <w:spacing w:after="0" w:line="2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18" w:lineRule="exact"/>
        <w:rPr>
          <w:sz w:val="20"/>
          <w:szCs w:val="20"/>
          <w:color w:val="auto"/>
        </w:rPr>
      </w:pPr>
    </w:p>
    <w:p>
      <w:pPr>
        <w:ind w:left="180" w:right="560" w:firstLine="436"/>
        <w:spacing w:after="0" w:line="277"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and assists our board of directors in monitoring our financial systems. Our audit committee will be responsible for, among other things:</w:t>
      </w:r>
    </w:p>
    <w:p>
      <w:pPr>
        <w:spacing w:after="0" w:line="70" w:lineRule="exact"/>
        <w:rPr>
          <w:sz w:val="20"/>
          <w:szCs w:val="20"/>
          <w:color w:val="auto"/>
        </w:rPr>
      </w:pPr>
    </w:p>
    <w:p>
      <w:pPr>
        <w:ind w:left="1140" w:hanging="432"/>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our independent registered public accounting firm;</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their independence;</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the scope and results of their audit;</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126" w:lineRule="exact"/>
        <w:rPr>
          <w:rFonts w:ascii="Times New Roman" w:cs="Times New Roman" w:eastAsia="Times New Roman" w:hAnsi="Times New Roman"/>
          <w:sz w:val="18"/>
          <w:szCs w:val="18"/>
          <w:color w:val="auto"/>
        </w:rPr>
      </w:pPr>
    </w:p>
    <w:p>
      <w:pPr>
        <w:ind w:left="1140" w:right="380" w:hanging="432"/>
        <w:spacing w:after="0" w:line="277" w:lineRule="auto"/>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financial and accounting controls and compliance with legal and regulatory requirements; and</w:t>
      </w:r>
    </w:p>
    <w:p>
      <w:pPr>
        <w:spacing w:after="0" w:line="126" w:lineRule="exact"/>
        <w:rPr>
          <w:rFonts w:ascii="Times New Roman" w:cs="Times New Roman" w:eastAsia="Times New Roman" w:hAnsi="Times New Roman"/>
          <w:sz w:val="18"/>
          <w:szCs w:val="18"/>
          <w:color w:val="auto"/>
        </w:rPr>
      </w:pPr>
    </w:p>
    <w:p>
      <w:pPr>
        <w:ind w:left="1140" w:right="320" w:hanging="432"/>
        <w:spacing w:after="0" w:line="277" w:lineRule="auto"/>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anonymous submission of concerns regarding questionable accounting, internal controls or auditing matters.</w:t>
      </w:r>
    </w:p>
    <w:p>
      <w:pPr>
        <w:spacing w:after="0" w:line="163"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color w:val="auto"/>
        </w:rPr>
        <w:t>Effective immediately prior to the effectiveness of the registration statement of which this prospectus forms a part, our audit committee will consist of Julie Bradley, Adam Karol and Agnes Rey-Giraud, with Julie Bradley serving as chair. We intend to rely on the phase-in rules of Rule 10A-3 under the Exchange Act and The Nasdaq Stock Market with respect to the requirement that the audit committee be composed entirely of members of our board of directors who satisfy the standards of independence established for independent directors under The Nasdaq Stock Market rules and the additional independence standards applicable to audit committee members established pursuant to Rule 10A-3 under the Exchange Act, as determined by our board of directors. Our board of directors has determined that each of Julie Bradley and Agnes Rey-Giraud are independent directors under</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60"/>
          </w:cols>
          <w:pgMar w:left="320" w:top="454" w:right="51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spacing w:after="0" w:line="257" w:lineRule="auto"/>
        <w:rPr>
          <w:sz w:val="20"/>
          <w:szCs w:val="20"/>
          <w:color w:val="auto"/>
        </w:rPr>
      </w:pPr>
      <w:r>
        <w:rPr>
          <w:rFonts w:ascii="Times New Roman" w:cs="Times New Roman" w:eastAsia="Times New Roman" w:hAnsi="Times New Roman"/>
          <w:sz w:val="18"/>
          <w:szCs w:val="18"/>
          <w:color w:val="auto"/>
        </w:rPr>
        <w:t>The Nasdaq Stock Market rules and the additional independence standards applicable to audit committee members established pursuant to Rule 10A-3 under the Exchange Act. Our board of directors has also determined that each of Julie Bradley, Adam Karol and Agnes Rey-Giraud meets the “financial literacy” requirement for audit committee members under The Nasdaq Stock Market rules and Julie Bradley is an “audit committee financial expert” within the meaning of the SEC rules.</w:t>
      </w: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8" w:lineRule="exact"/>
        <w:rPr>
          <w:sz w:val="20"/>
          <w:szCs w:val="20"/>
          <w:color w:val="auto"/>
        </w:rPr>
      </w:pPr>
    </w:p>
    <w:p>
      <w:pPr>
        <w:ind w:left="180" w:right="40" w:firstLine="436"/>
        <w:spacing w:after="0" w:line="277" w:lineRule="auto"/>
        <w:rPr>
          <w:sz w:val="20"/>
          <w:szCs w:val="20"/>
          <w:color w:val="auto"/>
        </w:rPr>
      </w:pPr>
      <w:r>
        <w:rPr>
          <w:rFonts w:ascii="Times New Roman" w:cs="Times New Roman" w:eastAsia="Times New Roman" w:hAnsi="Times New Roman"/>
          <w:sz w:val="18"/>
          <w:szCs w:val="18"/>
          <w:color w:val="auto"/>
        </w:rPr>
        <w:t>Our compensation committee oversees our compensation policies, plans and benefits programs. Our compensation committee will be responsible for, among other things:</w:t>
      </w:r>
    </w:p>
    <w:p>
      <w:pPr>
        <w:spacing w:after="0" w:line="70" w:lineRule="exact"/>
        <w:rPr>
          <w:sz w:val="20"/>
          <w:szCs w:val="20"/>
          <w:color w:val="auto"/>
        </w:rPr>
      </w:pPr>
    </w:p>
    <w:p>
      <w:pPr>
        <w:ind w:left="1140" w:right="120" w:hanging="432"/>
        <w:spacing w:after="0" w:line="262" w:lineRule="auto"/>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the compensation of our Co-Chief Executive Officers, evaluating the performance of each Co-Chief Executive Officer in light of these goals and objectives and setting or making recommendations to the Board regarding the compensation of each Co-Chief Executive Officer;</w:t>
      </w:r>
    </w:p>
    <w:p>
      <w:pPr>
        <w:spacing w:after="0" w:line="83"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setting or making recommendations to our board of directors regarding the compensation of our other executive officers;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the compensation of our directors;</w:t>
      </w:r>
    </w:p>
    <w:p>
      <w:pPr>
        <w:spacing w:after="0" w:line="126" w:lineRule="exact"/>
        <w:rPr>
          <w:rFonts w:ascii="Times New Roman" w:cs="Times New Roman" w:eastAsia="Times New Roman" w:hAnsi="Times New Roman"/>
          <w:sz w:val="18"/>
          <w:szCs w:val="18"/>
          <w:color w:val="auto"/>
        </w:rPr>
      </w:pPr>
    </w:p>
    <w:p>
      <w:pPr>
        <w:ind w:left="1140" w:right="240" w:hanging="432"/>
        <w:spacing w:after="0" w:line="277" w:lineRule="auto"/>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of directors regarding our incentive compensation and equity-based plans and arrangements; and</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w:t>
      </w:r>
    </w:p>
    <w:p>
      <w:pPr>
        <w:spacing w:after="0" w:line="220" w:lineRule="exact"/>
        <w:rPr>
          <w:sz w:val="20"/>
          <w:szCs w:val="20"/>
          <w:color w:val="auto"/>
        </w:rPr>
      </w:pPr>
    </w:p>
    <w:p>
      <w:pPr>
        <w:jc w:val="both"/>
        <w:ind w:left="180" w:right="100" w:firstLine="436"/>
        <w:spacing w:after="0" w:line="257" w:lineRule="auto"/>
        <w:rPr>
          <w:sz w:val="20"/>
          <w:szCs w:val="20"/>
          <w:color w:val="auto"/>
        </w:rPr>
      </w:pPr>
      <w:r>
        <w:rPr>
          <w:rFonts w:ascii="Times New Roman" w:cs="Times New Roman" w:eastAsia="Times New Roman" w:hAnsi="Times New Roman"/>
          <w:sz w:val="18"/>
          <w:szCs w:val="18"/>
          <w:color w:val="auto"/>
        </w:rPr>
        <w:t>Effective immediately prior to the effectiveness of the registration statement of which this prospectus forms a part, our compensation committee will consist of Dipanjan Deb, Jacqueline Kosecoff and Gregory Mondre, with Gregory Mondre serving as chair. The composition of our compensation committee meets the requirements for independence under the current The Nasdaq Stock Market listing standards and SEC rules and regulations. Ms. Kosecoff is a non-employee director, as defined in Section 16b-3 of the Exchange Act.</w:t>
      </w: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18" w:lineRule="exact"/>
        <w:rPr>
          <w:sz w:val="20"/>
          <w:szCs w:val="20"/>
          <w:color w:val="auto"/>
        </w:rPr>
      </w:pPr>
    </w:p>
    <w:p>
      <w:pPr>
        <w:ind w:left="180" w:right="200" w:firstLine="436"/>
        <w:spacing w:after="0" w:line="277" w:lineRule="auto"/>
        <w:rPr>
          <w:sz w:val="20"/>
          <w:szCs w:val="20"/>
          <w:color w:val="auto"/>
        </w:rPr>
      </w:pPr>
      <w:r>
        <w:rPr>
          <w:rFonts w:ascii="Times New Roman" w:cs="Times New Roman" w:eastAsia="Times New Roman" w:hAnsi="Times New Roman"/>
          <w:sz w:val="18"/>
          <w:szCs w:val="18"/>
          <w:color w:val="auto"/>
        </w:rPr>
        <w:t>Our nominating and corporate governance committee oversees and assists our board of directors in reviewing and recommending nominees for election as directors. Our nominating and corporate governance committee will be responsible for, among other things:</w:t>
      </w:r>
    </w:p>
    <w:p>
      <w:pPr>
        <w:spacing w:after="0" w:line="70" w:lineRule="exact"/>
        <w:rPr>
          <w:sz w:val="20"/>
          <w:szCs w:val="20"/>
          <w:color w:val="auto"/>
        </w:rPr>
      </w:pPr>
    </w:p>
    <w:p>
      <w:pPr>
        <w:ind w:left="1140" w:hanging="432"/>
        <w:spacing w:after="0"/>
        <w:tabs>
          <w:tab w:leader="none" w:pos="11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individuals qualified to become members of our board of directors, consistent with criteria approved by our board of directors;</w:t>
      </w:r>
    </w:p>
    <w:p>
      <w:pPr>
        <w:spacing w:after="0" w:line="138" w:lineRule="exact"/>
        <w:rPr>
          <w:rFonts w:ascii="Times New Roman" w:cs="Times New Roman" w:eastAsia="Times New Roman" w:hAnsi="Times New Roman"/>
          <w:sz w:val="17"/>
          <w:szCs w:val="17"/>
          <w:color w:val="auto"/>
        </w:rPr>
      </w:pPr>
    </w:p>
    <w:p>
      <w:pPr>
        <w:ind w:left="1140" w:hanging="432"/>
        <w:spacing w:after="0"/>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nominees for election to our board of directors at annual meetings of our stockholders;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evaluation of our board of directors and its committees; and</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a set of corporate governance guidelines.</w:t>
      </w:r>
    </w:p>
    <w:p>
      <w:pPr>
        <w:spacing w:after="0" w:line="220" w:lineRule="exact"/>
        <w:rPr>
          <w:sz w:val="20"/>
          <w:szCs w:val="20"/>
          <w:color w:val="auto"/>
        </w:rPr>
      </w:pPr>
    </w:p>
    <w:p>
      <w:pPr>
        <w:ind w:left="180" w:right="80" w:firstLine="436"/>
        <w:spacing w:after="0" w:line="257" w:lineRule="auto"/>
        <w:rPr>
          <w:sz w:val="20"/>
          <w:szCs w:val="20"/>
          <w:color w:val="auto"/>
        </w:rPr>
      </w:pPr>
      <w:r>
        <w:rPr>
          <w:rFonts w:ascii="Times New Roman" w:cs="Times New Roman" w:eastAsia="Times New Roman" w:hAnsi="Times New Roman"/>
          <w:sz w:val="18"/>
          <w:szCs w:val="18"/>
          <w:color w:val="auto"/>
        </w:rPr>
        <w:t>Effective immediately prior to the effectiveness of the registration statement of which this prospectus forms a part, our nominating and corporate governance committee will consist of Christopher Adams, Trevor Bezdek and Gregory Mondre, with Christopher Adams serving as chair. The composition of our nominating and corporate governance committee meets the requirements for independence under the current The Nasdaq Stock Market listing standards and SEC rules and regulations, including the exemptions available to controlled companies.</w:t>
      </w: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Compliance Committee</w:t>
      </w:r>
    </w:p>
    <w:p>
      <w:pPr>
        <w:spacing w:after="0" w:line="118" w:lineRule="exact"/>
        <w:rPr>
          <w:sz w:val="20"/>
          <w:szCs w:val="20"/>
          <w:color w:val="auto"/>
        </w:rPr>
      </w:pPr>
    </w:p>
    <w:p>
      <w:pPr>
        <w:ind w:left="180" w:right="440" w:firstLine="436"/>
        <w:spacing w:after="0" w:line="277" w:lineRule="auto"/>
        <w:rPr>
          <w:sz w:val="20"/>
          <w:szCs w:val="20"/>
          <w:color w:val="auto"/>
        </w:rPr>
      </w:pPr>
      <w:r>
        <w:rPr>
          <w:rFonts w:ascii="Times New Roman" w:cs="Times New Roman" w:eastAsia="Times New Roman" w:hAnsi="Times New Roman"/>
          <w:sz w:val="18"/>
          <w:szCs w:val="18"/>
          <w:color w:val="auto"/>
        </w:rPr>
        <w:t>Our compliance committee oversees and assists our board of directors in reviewing and providing general oversight of our compliance with federal and state laws and regulations relating to healthcare and in monitoring</w:t>
      </w:r>
    </w:p>
    <w:p>
      <w:pPr>
        <w:spacing w:after="0" w:line="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0"/>
          </w:cols>
          <w:pgMar w:left="320" w:top="454" w:right="57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spacing w:after="0" w:line="257" w:lineRule="auto"/>
        <w:rPr>
          <w:sz w:val="20"/>
          <w:szCs w:val="20"/>
          <w:color w:val="auto"/>
        </w:rPr>
      </w:pPr>
      <w:r>
        <w:rPr>
          <w:rFonts w:ascii="Times New Roman" w:cs="Times New Roman" w:eastAsia="Times New Roman" w:hAnsi="Times New Roman"/>
          <w:sz w:val="18"/>
          <w:szCs w:val="18"/>
          <w:color w:val="auto"/>
        </w:rPr>
        <w:t>our performance with respect to such legal and regulatory requirements. Our compliance committee is responsible for, among other things, reviewing and overseeing our compliance program, ensuring proper communication of significant healthcare regulatory compliance issues to our board of directors and reviewing significant healthcare regulatory compliance risk areas and the steps taken by management to monitor, control and report such compliance risk exposures.</w:t>
      </w:r>
    </w:p>
    <w:p>
      <w:pPr>
        <w:spacing w:after="0" w:line="182"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Effective immediately prior to the effectiveness of the registration statement of which this prospectus forms a part, our compliance committee will consist of Trevor Bezdek, Adam Karol, Stephen LeSieur and Agnes Rey-Giraud, with Agnes Rey-Giraud serving as chair.</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18" w:lineRule="exact"/>
        <w:rPr>
          <w:sz w:val="20"/>
          <w:szCs w:val="20"/>
          <w:color w:val="auto"/>
        </w:rPr>
      </w:pPr>
    </w:p>
    <w:p>
      <w:pPr>
        <w:ind w:left="180" w:firstLine="436"/>
        <w:spacing w:after="0" w:line="252" w:lineRule="auto"/>
        <w:rPr>
          <w:sz w:val="20"/>
          <w:szCs w:val="20"/>
          <w:color w:val="auto"/>
        </w:rPr>
      </w:pPr>
      <w:r>
        <w:rPr>
          <w:rFonts w:ascii="Times New Roman" w:cs="Times New Roman" w:eastAsia="Times New Roman" w:hAnsi="Times New Roman"/>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financial and cybersecurity risks. The nominating and corporate governance committee is responsible for overseeing the management of risks associated with the independence of our board of directors and potential conflicts of interest. Although each committee is responsible for evaluating certain risks and overseeing the management of such risks, the entire board of directors is regularly informed through discussions from committee members about such risks. Our board of directors believes its administration of its risk oversight function has not negatively affected our board of directors’ leadership structure.</w:t>
      </w:r>
    </w:p>
    <w:p>
      <w:pPr>
        <w:spacing w:after="0" w:line="2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18" w:lineRule="exact"/>
        <w:rPr>
          <w:sz w:val="20"/>
          <w:szCs w:val="20"/>
          <w:color w:val="auto"/>
        </w:rPr>
      </w:pPr>
    </w:p>
    <w:p>
      <w:pPr>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prior to the completion of this offering. Following this offering, a current copy of the code will be posted on the investor section of our website.</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18" w:lineRule="exact"/>
        <w:rPr>
          <w:sz w:val="20"/>
          <w:szCs w:val="20"/>
          <w:color w:val="auto"/>
        </w:rPr>
      </w:pPr>
    </w:p>
    <w:p>
      <w:pPr>
        <w:ind w:left="180" w:right="80" w:firstLine="436"/>
        <w:spacing w:after="0" w:line="257" w:lineRule="auto"/>
        <w:rPr>
          <w:sz w:val="20"/>
          <w:szCs w:val="20"/>
          <w:color w:val="auto"/>
        </w:rPr>
      </w:pPr>
      <w:r>
        <w:rPr>
          <w:rFonts w:ascii="Times New Roman" w:cs="Times New Roman" w:eastAsia="Times New Roman" w:hAnsi="Times New Roman"/>
          <w:sz w:val="18"/>
          <w:szCs w:val="18"/>
          <w:color w:val="auto"/>
        </w:rPr>
        <w:t>None of the members of our compensation committee is an officer or one of our employees.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60"/>
          </w:cols>
          <w:pgMar w:left="320" w:top="454" w:right="51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8" w:lineRule="exact"/>
        <w:rPr>
          <w:sz w:val="20"/>
          <w:szCs w:val="20"/>
          <w:color w:val="auto"/>
        </w:rPr>
      </w:pPr>
    </w:p>
    <w:p>
      <w:pPr>
        <w:ind w:left="180" w:right="340" w:firstLine="436"/>
        <w:spacing w:after="0" w:line="26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“2019 Summary Compensation Table” below. In 2019, our co-chief executive officers and our two other highest-paid executive officers, or our named executive officers, were as follows:</w:t>
      </w:r>
    </w:p>
    <w:p>
      <w:pPr>
        <w:spacing w:after="0" w:line="84" w:lineRule="exact"/>
        <w:rPr>
          <w:sz w:val="20"/>
          <w:szCs w:val="20"/>
          <w:color w:val="auto"/>
        </w:rPr>
      </w:pPr>
    </w:p>
    <w:p>
      <w:pPr>
        <w:ind w:left="1140" w:hanging="432"/>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Hirsch, Co-Chief Executive Officer;</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Trevor Bezdek, Co-Chief Executive Officer;</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Slutsky, President, Consumer; and</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Babak Azad, Chief Marketing Officer and SVP, Marketing &amp; Communications.</w:t>
      </w:r>
    </w:p>
    <w:p>
      <w:pPr>
        <w:spacing w:after="0" w:line="220" w:lineRule="exact"/>
        <w:rPr>
          <w:sz w:val="20"/>
          <w:szCs w:val="20"/>
          <w:color w:val="auto"/>
        </w:rPr>
      </w:pPr>
    </w:p>
    <w:p>
      <w:pPr>
        <w:ind w:left="180" w:right="180" w:firstLine="436"/>
        <w:spacing w:after="0" w:line="262"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2019 Summary Compensation Table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2019:</w:t>
      </w:r>
    </w:p>
    <w:p>
      <w:pPr>
        <w:spacing w:after="0" w:line="22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34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200" w:type="dxa"/>
            <w:vAlign w:val="bottom"/>
            <w:gridSpan w:val="2"/>
            <w:vMerge w:val="continue"/>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580" w:type="dxa"/>
            <w:vAlign w:val="bottom"/>
            <w:gridSpan w:val="3"/>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39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60" w:type="dxa"/>
            <w:vAlign w:val="bottom"/>
            <w:gridSpan w:val="2"/>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220" w:type="dxa"/>
            <w:vAlign w:val="bottom"/>
            <w:gridSpan w:val="2"/>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3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20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Douglas Hirsch</w:t>
            </w:r>
          </w:p>
        </w:tc>
        <w:tc>
          <w:tcPr>
            <w:tcW w:w="6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500,000</w:t>
            </w: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608,831</w:t>
            </w:r>
          </w:p>
        </w:tc>
        <w:tc>
          <w:tcPr>
            <w:tcW w:w="3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16,400</w:t>
            </w:r>
          </w:p>
        </w:tc>
        <w:tc>
          <w:tcPr>
            <w:tcW w:w="3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1,125,231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Co-Chief Executive Officer</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Trevor Bezdek</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608,831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39,850</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Co-Chief Executive Officer</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Slutsky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118,357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President, Consumer</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Babak Azad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73,958</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146,229 (2)</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200" w:type="dxa"/>
            <w:vAlign w:val="bottom"/>
            <w:gridSpan w:val="2"/>
          </w:tcPr>
          <w:p>
            <w:pPr>
              <w:ind w:left="360"/>
              <w:spacing w:after="0" w:line="194" w:lineRule="exact"/>
              <w:rPr>
                <w:sz w:val="20"/>
                <w:szCs w:val="20"/>
                <w:color w:val="auto"/>
              </w:rPr>
            </w:pPr>
            <w:r>
              <w:rPr>
                <w:rFonts w:ascii="Times New Roman" w:cs="Times New Roman" w:eastAsia="Times New Roman" w:hAnsi="Times New Roman"/>
                <w:sz w:val="18"/>
                <w:szCs w:val="18"/>
                <w:i w:val="1"/>
                <w:iCs w:val="1"/>
                <w:color w:val="auto"/>
              </w:rPr>
              <w:t>Chief Marketing Officer and SVP, Marketing &amp;</w:t>
            </w: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200" w:type="dxa"/>
            <w:vAlign w:val="bottom"/>
            <w:gridSpan w:val="2"/>
          </w:tcPr>
          <w:p>
            <w:pPr>
              <w:ind w:left="520"/>
              <w:spacing w:after="0"/>
              <w:rPr>
                <w:sz w:val="20"/>
                <w:szCs w:val="20"/>
                <w:color w:val="auto"/>
              </w:rPr>
            </w:pPr>
            <w:r>
              <w:rPr>
                <w:rFonts w:ascii="Times New Roman" w:cs="Times New Roman" w:eastAsia="Times New Roman" w:hAnsi="Times New Roman"/>
                <w:sz w:val="18"/>
                <w:szCs w:val="18"/>
                <w:i w:val="1"/>
                <w:iCs w:val="1"/>
                <w:color w:val="auto"/>
              </w:rPr>
              <w:t>Communications</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84455</wp:posOffset>
            </wp:positionV>
            <wp:extent cx="7550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53" w:lineRule="exact"/>
        <w:rPr>
          <w:sz w:val="20"/>
          <w:szCs w:val="20"/>
          <w:color w:val="auto"/>
        </w:rPr>
      </w:pPr>
    </w:p>
    <w:p>
      <w:pPr>
        <w:ind w:left="600" w:right="20" w:hanging="426"/>
        <w:spacing w:after="0" w:line="277" w:lineRule="auto"/>
        <w:tabs>
          <w:tab w:leader="none" w:pos="6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Company-paid matching contributions to our 401(k) plan ($5,000, $11,200 and $4,320 for Messrs. Hirsch, Bezdek and Slutsky, respectively), Company reimbursement of professional organization dues and related travel expenses ($11,400 for Mr. Hirsch and $28,650 for Mr. Bezdek), and a Company-paid employee referral bonus ($4,000 for Mr. Slutsky).</w:t>
      </w:r>
    </w:p>
    <w:p>
      <w:pPr>
        <w:spacing w:after="0" w:line="84" w:lineRule="exact"/>
        <w:rPr>
          <w:rFonts w:ascii="Times New Roman" w:cs="Times New Roman" w:eastAsia="Times New Roman" w:hAnsi="Times New Roman"/>
          <w:sz w:val="16"/>
          <w:szCs w:val="16"/>
          <w:color w:val="auto"/>
        </w:rPr>
      </w:pPr>
    </w:p>
    <w:p>
      <w:pPr>
        <w:ind w:left="600" w:right="120" w:hanging="426"/>
        <w:spacing w:after="0" w:line="272" w:lineRule="auto"/>
        <w:tabs>
          <w:tab w:leader="none" w:pos="6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for Mr. Azad reflects the one-third portion ($116,667) of a $350,000 signing bonus paid to him in 2019 in connection with the commencement of his employment, as well as a discretionary annual bonus of $29,562. The remaining two-thirds of the signing bonus are payable to Mr. Azad in 2020, subject to his continued employment with us. The signing bonus must be repaid to us, on a pro-rated basis, if Mr. Azad resigns or is terminated without cause within 24 months following his employment start date.</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2019 Salaries</w:t>
      </w:r>
    </w:p>
    <w:p>
      <w:pPr>
        <w:spacing w:after="0" w:line="118" w:lineRule="exact"/>
        <w:rPr>
          <w:sz w:val="20"/>
          <w:szCs w:val="20"/>
          <w:color w:val="auto"/>
        </w:rPr>
      </w:pPr>
    </w:p>
    <w:p>
      <w:pPr>
        <w:ind w:left="180" w:right="340" w:firstLine="436"/>
        <w:spacing w:after="0" w:line="262" w:lineRule="auto"/>
        <w:rPr>
          <w:sz w:val="20"/>
          <w:szCs w:val="20"/>
          <w:color w:val="auto"/>
        </w:rPr>
      </w:pPr>
      <w:r>
        <w:rPr>
          <w:rFonts w:ascii="Times New Roman" w:cs="Times New Roman" w:eastAsia="Times New Roman" w:hAnsi="Times New Roman"/>
          <w:sz w:val="18"/>
          <w:szCs w:val="18"/>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80"/>
          </w:cols>
          <w:pgMar w:left="320" w:top="454" w:right="49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The base salaries for Messrs. Hirsch, Bezdek, Slutsky and Azad for 2019 were $500,000, $500,000, $324,000 and $325,000, respectively. Because Mr. Azad’s employment start date was October 9, 2019, he received a prorated base salary of $73,958 in 2019.</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2019 Bonuses</w:t>
      </w:r>
    </w:p>
    <w:p>
      <w:pPr>
        <w:spacing w:after="0" w:line="118"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color w:val="auto"/>
        </w:rPr>
        <w:t>Each of Messrs. Hirsch, Bezdek and Slutsky was eligible to earn a cash incentive bonus based upon the achievement of pre-determined revenue goals of the Company and its consolidated subsidiaries for 2019 (each such bonus, a Revenue Bonus). For 2019, the target Revenue Bonuses for Messrs. Hirsch, Bezdek and Slutsky were $500,000, $500,000 and $97,200, respectively. Each named executive officer was eligible to receive a bonus expressed as a percentage of his applicable target bonus based on the actual achievement of a revenue above 75% of the target revenue goal. During calendar year 2019, the Company and its consolidated subsidiaries achieved a consolidated revenue at a level that triggered the payments set forth above in the Summary Compensation Table in the column entitled “Non-Equity Incentive Plan Compensation.”</w:t>
      </w:r>
    </w:p>
    <w:p>
      <w:pPr>
        <w:spacing w:after="0" w:line="187" w:lineRule="exact"/>
        <w:rPr>
          <w:sz w:val="20"/>
          <w:szCs w:val="20"/>
          <w:color w:val="auto"/>
        </w:rPr>
      </w:pPr>
    </w:p>
    <w:p>
      <w:pPr>
        <w:ind w:left="180" w:right="120" w:firstLine="436"/>
        <w:spacing w:after="0" w:line="255" w:lineRule="auto"/>
        <w:rPr>
          <w:sz w:val="20"/>
          <w:szCs w:val="20"/>
          <w:color w:val="auto"/>
        </w:rPr>
      </w:pPr>
      <w:r>
        <w:rPr>
          <w:rFonts w:ascii="Times New Roman" w:cs="Times New Roman" w:eastAsia="Times New Roman" w:hAnsi="Times New Roman"/>
          <w:sz w:val="18"/>
          <w:szCs w:val="18"/>
          <w:color w:val="auto"/>
        </w:rPr>
        <w:t>For 2019, Mr. Azad was eligible to earn an annual cash incentive bonus targeted at 40% of his base salary, prorated for the first year of employment based on his start date. Payout of this 2019 cash incentive bonus was determined by the Company in its discretion. Mr. Azad was also eligible for a signing bonus totaling $350,000, one-third ($116,667) of which was paid in 2019. The remaining two-thirds of the bonus are payable in 2020, subject to continued employment with the Company. If Mr. Azad resigns or is terminated for cause during the first 24 months of employment, he must repay to the Company a prorated amount of the signing bonus.</w:t>
      </w:r>
    </w:p>
    <w:p>
      <w:pPr>
        <w:spacing w:after="0" w:line="2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18" w:lineRule="exact"/>
        <w:rPr>
          <w:sz w:val="20"/>
          <w:szCs w:val="20"/>
          <w:color w:val="auto"/>
        </w:rPr>
      </w:pPr>
    </w:p>
    <w:p>
      <w:pPr>
        <w:ind w:left="180" w:right="120" w:firstLine="436"/>
        <w:spacing w:after="0" w:line="255" w:lineRule="auto"/>
        <w:rPr>
          <w:sz w:val="20"/>
          <w:szCs w:val="20"/>
          <w:color w:val="auto"/>
        </w:rPr>
      </w:pPr>
      <w:r>
        <w:rPr>
          <w:rFonts w:ascii="Times New Roman" w:cs="Times New Roman" w:eastAsia="Times New Roman" w:hAnsi="Times New Roman"/>
          <w:sz w:val="18"/>
          <w:szCs w:val="18"/>
          <w:color w:val="auto"/>
        </w:rPr>
        <w:t>We typically grant equity awards to key new hires upon their commencing employment with us. We historically have used stock options as the primary incentive for long-term compensation to our named executive officers because they are able to profit from stock options only if our stock price increases relative to the stock option’s exercise price, which generally is set at or above the fair market value of our Class A common stock as of the applicable grant date. Generally, the stock options we grant vest in equal monthly installments over four years, either monthly during the four-year period or monthly following a one-year cliff, subject to the employee’s continued service with us on the vesting date.</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did not award any stock options to our named executive officers in 2019.</w:t>
      </w:r>
    </w:p>
    <w:p>
      <w:pPr>
        <w:spacing w:after="0" w:line="3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Equity Compensation Plans</w:t>
      </w:r>
    </w:p>
    <w:p>
      <w:pPr>
        <w:spacing w:after="0" w:line="116" w:lineRule="exact"/>
        <w:rPr>
          <w:sz w:val="20"/>
          <w:szCs w:val="20"/>
          <w:color w:val="auto"/>
        </w:rPr>
      </w:pPr>
    </w:p>
    <w:p>
      <w:pPr>
        <w:ind w:left="180" w:right="80" w:firstLine="436"/>
        <w:spacing w:after="0" w:line="253" w:lineRule="auto"/>
        <w:rPr>
          <w:sz w:val="20"/>
          <w:szCs w:val="20"/>
          <w:color w:val="auto"/>
        </w:rPr>
      </w:pPr>
      <w:r>
        <w:rPr>
          <w:rFonts w:ascii="Times New Roman" w:cs="Times New Roman" w:eastAsia="Times New Roman" w:hAnsi="Times New Roman"/>
          <w:sz w:val="18"/>
          <w:szCs w:val="18"/>
          <w:color w:val="auto"/>
        </w:rPr>
        <w:t>We currently maintain the Fifth Amended and Restated 2015 Equity Incentive Plan, or the 2015 Plan, in order to provide additional incentives for our employees, directors and consultants, and to provide incentives to attract, retain and motivate eligible persons whose present and potential contributions are important to our success. We offer stock options, restricted stock and restricted stock units to our employees, including our named executive officers, as the long-term incentive component of our compensation program. For additional information about the 2015 Plan, please see the section titled “2015 Equity Incentive Plan” below. As mentioned below, in connection with the completion of this offering, no further awards will be granted under the 2015 Plan.</w:t>
      </w:r>
    </w:p>
    <w:p>
      <w:pPr>
        <w:spacing w:after="0" w:line="187" w:lineRule="exact"/>
        <w:rPr>
          <w:sz w:val="20"/>
          <w:szCs w:val="20"/>
          <w:color w:val="auto"/>
        </w:rPr>
      </w:pPr>
    </w:p>
    <w:p>
      <w:pPr>
        <w:ind w:left="180" w:right="40" w:firstLine="436"/>
        <w:spacing w:after="0" w:line="257" w:lineRule="auto"/>
        <w:rPr>
          <w:sz w:val="20"/>
          <w:szCs w:val="20"/>
          <w:color w:val="auto"/>
        </w:rPr>
      </w:pPr>
      <w:r>
        <w:rPr>
          <w:rFonts w:ascii="Times New Roman" w:cs="Times New Roman" w:eastAsia="Times New Roman" w:hAnsi="Times New Roman"/>
          <w:sz w:val="18"/>
          <w:szCs w:val="18"/>
          <w:color w:val="auto"/>
        </w:rPr>
        <w:t>In connection with this offering, our board of directors adopted, and our stockholders approved, the 2020 Incentive Award Plan, referred to below as the 2020 Plan, in order to facilitate the grant of cash and equity incentives to directors, employees (including our named executive officers) and consultants of our company and certain of our affiliates and to enable us to obtain and retain services of these individuals, which is essential to our long-term success. For additional information about the 2020 Plan, please see the section titled “2020 Incentive Award Plan” below.</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60"/>
          </w:cols>
          <w:pgMar w:left="320" w:top="454" w:right="51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IPO-Related Equity Grants</w:t>
      </w:r>
    </w:p>
    <w:p>
      <w:pPr>
        <w:spacing w:after="0" w:line="114" w:lineRule="exact"/>
        <w:rPr>
          <w:sz w:val="20"/>
          <w:szCs w:val="20"/>
          <w:color w:val="auto"/>
        </w:rPr>
      </w:pPr>
    </w:p>
    <w:p>
      <w:pPr>
        <w:ind w:left="180" w:right="40" w:firstLine="436"/>
        <w:spacing w:after="0" w:line="279" w:lineRule="auto"/>
        <w:rPr>
          <w:sz w:val="20"/>
          <w:szCs w:val="20"/>
          <w:color w:val="auto"/>
        </w:rPr>
      </w:pPr>
      <w:r>
        <w:rPr>
          <w:rFonts w:ascii="Times New Roman" w:cs="Times New Roman" w:eastAsia="Times New Roman" w:hAnsi="Times New Roman"/>
          <w:sz w:val="18"/>
          <w:szCs w:val="18"/>
          <w:i w:val="1"/>
          <w:iCs w:val="1"/>
          <w:color w:val="auto"/>
        </w:rPr>
        <w:t>Founders Awards</w:t>
      </w:r>
      <w:r>
        <w:rPr>
          <w:rFonts w:ascii="Times New Roman" w:cs="Times New Roman" w:eastAsia="Times New Roman" w:hAnsi="Times New Roman"/>
          <w:sz w:val="18"/>
          <w:szCs w:val="18"/>
          <w:color w:val="auto"/>
        </w:rPr>
        <w:t>. Our board of directors approved the grant of restricted stock unit awards covering an aggregate of 12,316,533 shares of Class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to each of Messrs. Hirsch and Bezdek, which we refer to as the Founders Awards.</w:t>
      </w:r>
    </w:p>
    <w:p>
      <w:pPr>
        <w:spacing w:after="0" w:line="162" w:lineRule="exact"/>
        <w:rPr>
          <w:sz w:val="20"/>
          <w:szCs w:val="20"/>
          <w:color w:val="auto"/>
        </w:rPr>
      </w:pPr>
    </w:p>
    <w:p>
      <w:pPr>
        <w:ind w:left="180" w:firstLine="436"/>
        <w:spacing w:after="0" w:line="262" w:lineRule="auto"/>
        <w:rPr>
          <w:sz w:val="20"/>
          <w:szCs w:val="20"/>
          <w:color w:val="auto"/>
        </w:rPr>
      </w:pPr>
      <w:r>
        <w:rPr>
          <w:rFonts w:ascii="Times New Roman" w:cs="Times New Roman" w:eastAsia="Times New Roman" w:hAnsi="Times New Roman"/>
          <w:sz w:val="18"/>
          <w:szCs w:val="18"/>
          <w:color w:val="auto"/>
        </w:rPr>
        <w:t>The Founders Awards will be effective upon the completion of this offering, and each Founders Award will consist of (i) 8,211,022 restricted stock units that vest based on the achievement of performance goals, which we refer to as the Performance-Vesting Founders Awards and (ii) 4,105,511 restricted stock units that vest based on the passage of time, which we refer to as the Time-Vesting Founders Awards.</w:t>
      </w:r>
    </w:p>
    <w:p>
      <w:pPr>
        <w:spacing w:after="0" w:line="177" w:lineRule="exact"/>
        <w:rPr>
          <w:sz w:val="20"/>
          <w:szCs w:val="20"/>
          <w:color w:val="auto"/>
        </w:rPr>
      </w:pPr>
    </w:p>
    <w:p>
      <w:pPr>
        <w:ind w:left="180" w:right="40" w:firstLine="436"/>
        <w:spacing w:after="0" w:line="271" w:lineRule="auto"/>
        <w:rPr>
          <w:sz w:val="20"/>
          <w:szCs w:val="20"/>
          <w:color w:val="auto"/>
        </w:rPr>
      </w:pPr>
      <w:r>
        <w:rPr>
          <w:rFonts w:ascii="Times New Roman" w:cs="Times New Roman" w:eastAsia="Times New Roman" w:hAnsi="Times New Roman"/>
          <w:sz w:val="17"/>
          <w:szCs w:val="17"/>
          <w:color w:val="auto"/>
        </w:rPr>
        <w:t>The Performance-Vesting Founders Awards will remain outstanding and eligible to vest over a seven-year period following the grant date, based on the achievement of stock price goals ranging from $6.07 per share to $51.28 per share. With respect to each stock price goal, 0.5% of the restricted stock units subject to the Performance-Vesting Founders Award will vest if the average closing price per share of our Class A common stock equals such goal for any 20 consecutive trading day period. Any vested restricted stock units will be settled in shares of Class B common stock on the third anniversary of the applicable vesting date or, if earlier, upon a qualifying change in control event. Any restricted stock units subject to the Performance-Vesting Founders Award that do not vest prior to the seven-year anniversary of the grant date automatically will be terminated without consideration.</w:t>
      </w:r>
    </w:p>
    <w:p>
      <w:pPr>
        <w:spacing w:after="0" w:line="172" w:lineRule="exact"/>
        <w:rPr>
          <w:sz w:val="20"/>
          <w:szCs w:val="20"/>
          <w:color w:val="auto"/>
        </w:rPr>
      </w:pPr>
    </w:p>
    <w:p>
      <w:pPr>
        <w:ind w:left="180" w:right="340" w:firstLine="436"/>
        <w:spacing w:after="0" w:line="277" w:lineRule="auto"/>
        <w:rPr>
          <w:sz w:val="20"/>
          <w:szCs w:val="20"/>
          <w:color w:val="auto"/>
        </w:rPr>
      </w:pPr>
      <w:r>
        <w:rPr>
          <w:rFonts w:ascii="Times New Roman" w:cs="Times New Roman" w:eastAsia="Times New Roman" w:hAnsi="Times New Roman"/>
          <w:sz w:val="18"/>
          <w:szCs w:val="18"/>
          <w:color w:val="auto"/>
        </w:rPr>
        <w:t>The Performance-Vesting Founders Awards are subject to the following vesting acceleration terms (with any acceleration in connection with a termination of employment subject to the timely execution and non-revocation of a general release of claims):</w:t>
      </w:r>
    </w:p>
    <w:p>
      <w:pPr>
        <w:spacing w:after="0" w:line="70" w:lineRule="exact"/>
        <w:rPr>
          <w:sz w:val="20"/>
          <w:szCs w:val="20"/>
          <w:color w:val="auto"/>
        </w:rPr>
      </w:pPr>
    </w:p>
    <w:p>
      <w:pPr>
        <w:jc w:val="both"/>
        <w:ind w:left="1140" w:right="180" w:hanging="432"/>
        <w:spacing w:after="0" w:line="262" w:lineRule="auto"/>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in control of the Company then the Performance-Vesting Founders Awards will vest based on the price per share received by the Company’s Class A common stockholders (rather than based on the average over a 20-day trading period), and any then-unvested restricted stock units subject to the award will be terminated without consideration.</w:t>
      </w:r>
    </w:p>
    <w:p>
      <w:pPr>
        <w:spacing w:after="0" w:line="83" w:lineRule="exact"/>
        <w:rPr>
          <w:rFonts w:ascii="Times New Roman" w:cs="Times New Roman" w:eastAsia="Times New Roman" w:hAnsi="Times New Roman"/>
          <w:sz w:val="18"/>
          <w:szCs w:val="18"/>
          <w:color w:val="auto"/>
        </w:rPr>
      </w:pPr>
    </w:p>
    <w:p>
      <w:pPr>
        <w:ind w:left="1140" w:right="80" w:hanging="432"/>
        <w:spacing w:after="0" w:line="277" w:lineRule="auto"/>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without cause by us or for good reason by the founder, the Performance-Vesting Founders Awards will remain outstanding and eligible to vest for up to two years upon the achievement of performance goals during that period.</w:t>
      </w:r>
    </w:p>
    <w:p>
      <w:pPr>
        <w:spacing w:after="0" w:line="69" w:lineRule="exact"/>
        <w:rPr>
          <w:rFonts w:ascii="Times New Roman" w:cs="Times New Roman" w:eastAsia="Times New Roman" w:hAnsi="Times New Roman"/>
          <w:sz w:val="18"/>
          <w:szCs w:val="18"/>
          <w:color w:val="auto"/>
        </w:rPr>
      </w:pPr>
    </w:p>
    <w:p>
      <w:pPr>
        <w:ind w:left="1140" w:right="340" w:hanging="432"/>
        <w:spacing w:after="0" w:line="308" w:lineRule="auto"/>
        <w:tabs>
          <w:tab w:leader="none" w:pos="11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 termination of employment due to death or disability, the Performance-Vesting Founders Awards will vest based on the closing price per share of our Class A common stock on the termination date (without regard to the average over a 20-day trading period).</w:t>
      </w:r>
    </w:p>
    <w:p>
      <w:pPr>
        <w:spacing w:after="0" w:line="139" w:lineRule="exact"/>
        <w:rPr>
          <w:sz w:val="20"/>
          <w:szCs w:val="20"/>
          <w:color w:val="auto"/>
        </w:rPr>
      </w:pPr>
    </w:p>
    <w:p>
      <w:pPr>
        <w:ind w:left="180" w:right="80" w:firstLine="436"/>
        <w:spacing w:after="0" w:line="262" w:lineRule="auto"/>
        <w:rPr>
          <w:sz w:val="20"/>
          <w:szCs w:val="20"/>
          <w:color w:val="auto"/>
        </w:rPr>
      </w:pPr>
      <w:r>
        <w:rPr>
          <w:rFonts w:ascii="Times New Roman" w:cs="Times New Roman" w:eastAsia="Times New Roman" w:hAnsi="Times New Roman"/>
          <w:sz w:val="18"/>
          <w:szCs w:val="18"/>
          <w:color w:val="auto"/>
        </w:rPr>
        <w:t>The Time-Vesting Founders Awards will vest in substantially equal quarterly installments over the four-year period beginning September 1, 2020, subject to the founder’s continued employment. The Time-Vesting Founders Awards are subject the following vesting acceleration terms (with any acceleration upon a termination of employment subject to the timely execution and non-revocation of a general release of claims):</w:t>
      </w:r>
    </w:p>
    <w:p>
      <w:pPr>
        <w:spacing w:after="0" w:line="84" w:lineRule="exact"/>
        <w:rPr>
          <w:sz w:val="20"/>
          <w:szCs w:val="20"/>
          <w:color w:val="auto"/>
        </w:rPr>
      </w:pPr>
    </w:p>
    <w:p>
      <w:pPr>
        <w:ind w:left="1140" w:right="100" w:hanging="432"/>
        <w:spacing w:after="0" w:line="262" w:lineRule="auto"/>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in control of the Company then up to 25% of the Time-Vesting Founders Award will vest and in the event that the Time-Vesting Founders Award is assumed in connection with a change in control, the vesting period of the award will shorten from four years to three years.</w:t>
      </w:r>
    </w:p>
    <w:p>
      <w:pPr>
        <w:spacing w:after="0" w:line="83" w:lineRule="exact"/>
        <w:rPr>
          <w:rFonts w:ascii="Times New Roman" w:cs="Times New Roman" w:eastAsia="Times New Roman" w:hAnsi="Times New Roman"/>
          <w:sz w:val="18"/>
          <w:szCs w:val="18"/>
          <w:color w:val="auto"/>
        </w:rPr>
      </w:pPr>
    </w:p>
    <w:p>
      <w:pPr>
        <w:ind w:left="1140" w:right="340" w:hanging="432"/>
        <w:spacing w:after="0" w:line="262" w:lineRule="auto"/>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an employment without cause by us or for good reason by the founder, up to 50% of the Time-Vesting Founders Award will accelerate and vest; but if either such termination occurs within 12 months following a Change in Control, then the Time-Vesting Founders Award will accelerate and vest in full.</w:t>
      </w:r>
    </w:p>
    <w:p>
      <w:pPr>
        <w:spacing w:after="0" w:line="83" w:lineRule="exact"/>
        <w:rPr>
          <w:rFonts w:ascii="Times New Roman" w:cs="Times New Roman" w:eastAsia="Times New Roman" w:hAnsi="Times New Roman"/>
          <w:sz w:val="18"/>
          <w:szCs w:val="18"/>
          <w:color w:val="auto"/>
        </w:rPr>
      </w:pPr>
    </w:p>
    <w:p>
      <w:pPr>
        <w:ind w:left="1140" w:right="160" w:hanging="432"/>
        <w:spacing w:after="0" w:line="277" w:lineRule="auto"/>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due to death or disability, the next quarterly vesting tranche of the Time-Vesting Founders Award will accelerate and vest.</w:t>
      </w:r>
    </w:p>
    <w:p>
      <w:pPr>
        <w:spacing w:after="0" w:line="161" w:lineRule="exact"/>
        <w:rPr>
          <w:sz w:val="20"/>
          <w:szCs w:val="20"/>
          <w:color w:val="auto"/>
        </w:rPr>
      </w:pPr>
    </w:p>
    <w:p>
      <w:pPr>
        <w:ind w:left="180" w:right="60" w:firstLine="436"/>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IPO Awards. </w:t>
      </w:r>
      <w:r>
        <w:rPr>
          <w:rFonts w:ascii="Times New Roman" w:cs="Times New Roman" w:eastAsia="Times New Roman" w:hAnsi="Times New Roman"/>
          <w:sz w:val="18"/>
          <w:szCs w:val="18"/>
          <w:color w:val="auto"/>
        </w:rPr>
        <w:t>Our board of directors also approved or expects to approve the grant of restricted stock unit awards and stock options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Plan to certain of our employees and non-employee directors. The</w:t>
      </w:r>
    </w:p>
    <w:p>
      <w:pPr>
        <w:spacing w:after="0" w:line="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80"/>
          </w:cols>
          <w:pgMar w:left="320" w:top="454" w:right="49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stock options will become effective immediately following the determination of the initial public offering price per share of our common stock, and each will have a per share exercise price equal to that initial public offering price. The restricted stock unit awards will become effective on the completion of this offering.</w:t>
      </w:r>
    </w:p>
    <w:p>
      <w:pPr>
        <w:spacing w:after="0" w:line="177" w:lineRule="exact"/>
        <w:rPr>
          <w:sz w:val="20"/>
          <w:szCs w:val="20"/>
          <w:color w:val="auto"/>
        </w:rPr>
      </w:pPr>
    </w:p>
    <w:p>
      <w:pPr>
        <w:ind w:left="180" w:firstLine="436"/>
        <w:spacing w:after="0" w:line="252" w:lineRule="auto"/>
        <w:rPr>
          <w:sz w:val="20"/>
          <w:szCs w:val="20"/>
          <w:color w:val="auto"/>
        </w:rPr>
      </w:pPr>
      <w:r>
        <w:rPr>
          <w:rFonts w:ascii="Times New Roman" w:cs="Times New Roman" w:eastAsia="Times New Roman" w:hAnsi="Times New Roman"/>
          <w:sz w:val="18"/>
          <w:szCs w:val="18"/>
          <w:color w:val="auto"/>
        </w:rPr>
        <w:t>Of these grants, one of our directors, Julie Bradley, will receive two restricted stock unit awards covering an aggregate of 22,500 shares of our Class A common stock. The aggregate number of shares of our Class A common stock subject to all of the IPO Awards is undeterminable at this time, as some of the restricted stock unit awards will be determined based on the initial public offering price per share of our common stock in this offering. Based on an assumed initial public offering price of $26.00 per share, which is the midpoint of the estimated offering price range set forth on the cover page of this prospectus, the aggregate number of shares of our Class A common stock covered by the IPO Awards will be 1,837,461; based on the low and high points of the range ($24.00 and $28.00), the aggregate number of shares covered by the IPO Awards will be 1,840,666 and 1,834,714, respectively.</w:t>
      </w:r>
    </w:p>
    <w:p>
      <w:pPr>
        <w:spacing w:after="0" w:line="2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Retirement Plans</w:t>
      </w:r>
    </w:p>
    <w:p>
      <w:pPr>
        <w:spacing w:after="0" w:line="116" w:lineRule="exact"/>
        <w:rPr>
          <w:sz w:val="20"/>
          <w:szCs w:val="20"/>
          <w:color w:val="auto"/>
        </w:rPr>
      </w:pPr>
    </w:p>
    <w:p>
      <w:pPr>
        <w:ind w:left="180" w:firstLine="436"/>
        <w:spacing w:after="0" w:line="252" w:lineRule="auto"/>
        <w:rPr>
          <w:sz w:val="20"/>
          <w:szCs w:val="20"/>
          <w:color w:val="auto"/>
        </w:rPr>
      </w:pPr>
      <w:r>
        <w:rPr>
          <w:rFonts w:ascii="Times New Roman" w:cs="Times New Roman" w:eastAsia="Times New Roman" w:hAnsi="Times New Roman"/>
          <w:sz w:val="18"/>
          <w:szCs w:val="18"/>
          <w:color w:val="auto"/>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The Code allows eligible employees to defer a portion of their compensation, within prescribed limits, on a pre-tax basis through contributions to the 401(k) plan. Currently, we match contributions made by participants in the 401(k) plan up to a specified percentage of the employee contributions, and these matching contributions are fully vested as of the date on which the contribution is made. We believe that providing a vehicle for tax-deferred retirement savings through our 401(k) plan, and making fully vested matching contributions, adds to the overall desirability of our executive compensation package and further incentivizes our employees, including our named executive officers, in accordance with our compensation policies.</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114" w:lineRule="exact"/>
        <w:rPr>
          <w:sz w:val="20"/>
          <w:szCs w:val="20"/>
          <w:color w:val="auto"/>
        </w:rPr>
      </w:pPr>
    </w:p>
    <w:p>
      <w:pPr>
        <w:ind w:left="180" w:right="100" w:firstLine="436"/>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Health/Welfare Plans. </w:t>
      </w:r>
      <w:r>
        <w:rPr>
          <w:rFonts w:ascii="Times New Roman" w:cs="Times New Roman" w:eastAsia="Times New Roman" w:hAnsi="Times New Roman"/>
          <w:sz w:val="18"/>
          <w:szCs w:val="18"/>
          <w:color w:val="auto"/>
        </w:rPr>
        <w:t>All of our full-time employees, including our named executive officers, are eligible to participate in our health and welfare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including:</w:t>
      </w:r>
    </w:p>
    <w:p>
      <w:pPr>
        <w:spacing w:after="0" w:line="68" w:lineRule="exact"/>
        <w:rPr>
          <w:sz w:val="20"/>
          <w:szCs w:val="20"/>
          <w:color w:val="auto"/>
        </w:rPr>
      </w:pPr>
    </w:p>
    <w:p>
      <w:pPr>
        <w:ind w:left="1140" w:hanging="432"/>
        <w:spacing w:after="0"/>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dependent care flexible spending accounts;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 and</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w:t>
      </w:r>
    </w:p>
    <w:p>
      <w:pPr>
        <w:spacing w:after="0" w:line="220" w:lineRule="exact"/>
        <w:rPr>
          <w:sz w:val="20"/>
          <w:szCs w:val="20"/>
          <w:color w:val="auto"/>
        </w:rPr>
      </w:pPr>
    </w:p>
    <w:p>
      <w:pPr>
        <w:ind w:left="180" w:right="80" w:firstLine="436"/>
        <w:spacing w:after="0" w:line="277" w:lineRule="auto"/>
        <w:rPr>
          <w:sz w:val="20"/>
          <w:szCs w:val="20"/>
          <w:color w:val="auto"/>
        </w:rPr>
      </w:pPr>
      <w:r>
        <w:rPr>
          <w:rFonts w:ascii="Times New Roman" w:cs="Times New Roman" w:eastAsia="Times New Roman" w:hAnsi="Times New Roman"/>
          <w:sz w:val="18"/>
          <w:szCs w:val="18"/>
          <w:color w:val="auto"/>
        </w:rPr>
        <w:t>We believe the perquisites described above are necessary and appropriate to provide a competitive compensation package to our named executive officers.</w:t>
      </w:r>
    </w:p>
    <w:p>
      <w:pPr>
        <w:spacing w:after="0" w:line="2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No Tax Gross-Ups</w:t>
      </w:r>
    </w:p>
    <w:p>
      <w:pPr>
        <w:spacing w:after="0" w:line="116" w:lineRule="exact"/>
        <w:rPr>
          <w:sz w:val="20"/>
          <w:szCs w:val="20"/>
          <w:color w:val="auto"/>
        </w:rPr>
      </w:pPr>
    </w:p>
    <w:p>
      <w:pPr>
        <w:ind w:left="180" w:right="160" w:firstLine="436"/>
        <w:spacing w:after="0" w:line="277" w:lineRule="auto"/>
        <w:rPr>
          <w:sz w:val="20"/>
          <w:szCs w:val="20"/>
          <w:color w:val="auto"/>
        </w:rPr>
      </w:pPr>
      <w:r>
        <w:rPr>
          <w:rFonts w:ascii="Times New Roman" w:cs="Times New Roman" w:eastAsia="Times New Roman" w:hAnsi="Times New Roman"/>
          <w:sz w:val="18"/>
          <w:szCs w:val="18"/>
          <w:color w:val="auto"/>
        </w:rPr>
        <w:t>We have not made gross-up payments to cover our named executive officers’ personal income taxes that may pertain to any of the compensation paid or provided by our company.</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60"/>
          </w:cols>
          <w:pgMar w:left="320" w:top="454" w:right="51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Outstanding Equity Awards at Year-End</w:t>
      </w:r>
    </w:p>
    <w:p>
      <w:pPr>
        <w:spacing w:after="0" w:line="118" w:lineRule="exact"/>
        <w:rPr>
          <w:sz w:val="20"/>
          <w:szCs w:val="20"/>
          <w:color w:val="auto"/>
        </w:rPr>
      </w:pPr>
    </w:p>
    <w:p>
      <w:pPr>
        <w:ind w:left="180" w:right="360" w:firstLine="436"/>
        <w:spacing w:after="0" w:line="277" w:lineRule="auto"/>
        <w:rPr>
          <w:sz w:val="20"/>
          <w:szCs w:val="20"/>
          <w:color w:val="auto"/>
        </w:rPr>
      </w:pPr>
      <w:r>
        <w:rPr>
          <w:rFonts w:ascii="Times New Roman" w:cs="Times New Roman" w:eastAsia="Times New Roman" w:hAnsi="Times New Roman"/>
          <w:sz w:val="18"/>
          <w:szCs w:val="18"/>
          <w:color w:val="auto"/>
        </w:rPr>
        <w:t>The following table summarizes the number of shares of Class A common stock underlying outstanding equity incentive plan awards for each named executive officer as of December 31, 2019. Each equity award listed in the following table was granted under the 2015 Plan.</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tcPr>
          <w:p>
            <w:pPr>
              <w:jc w:val="right"/>
              <w:ind w:right="21"/>
              <w:spacing w:after="0" w:line="116"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580" w:type="dxa"/>
            <w:vAlign w:val="bottom"/>
          </w:tcPr>
          <w:p>
            <w:pPr>
              <w:spacing w:after="0"/>
              <w:rPr>
                <w:sz w:val="10"/>
                <w:szCs w:val="10"/>
                <w:color w:val="auto"/>
              </w:rPr>
            </w:pPr>
          </w:p>
        </w:tc>
        <w:tc>
          <w:tcPr>
            <w:tcW w:w="1840" w:type="dxa"/>
            <w:vAlign w:val="bottom"/>
            <w:gridSpan w:val="2"/>
          </w:tcPr>
          <w:p>
            <w:pPr>
              <w:jc w:val="right"/>
              <w:ind w:right="480"/>
              <w:spacing w:after="0" w:line="116"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20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60" w:type="dxa"/>
            <w:vAlign w:val="bottom"/>
            <w:gridSpan w:val="2"/>
          </w:tcPr>
          <w:p>
            <w:pPr>
              <w:jc w:val="center"/>
              <w:ind w:left="180"/>
              <w:spacing w:after="0" w:line="147" w:lineRule="exact"/>
              <w:rPr>
                <w:sz w:val="20"/>
                <w:szCs w:val="20"/>
                <w:color w:val="auto"/>
              </w:rPr>
            </w:pPr>
            <w:r>
              <w:rPr>
                <w:rFonts w:ascii="Times New Roman" w:cs="Times New Roman" w:eastAsia="Times New Roman" w:hAnsi="Times New Roman"/>
                <w:sz w:val="14"/>
                <w:szCs w:val="14"/>
                <w:b w:val="1"/>
                <w:bCs w:val="1"/>
                <w:color w:val="auto"/>
              </w:rPr>
              <w:t>Underlying Unexercised</w:t>
            </w:r>
          </w:p>
        </w:tc>
        <w:tc>
          <w:tcPr>
            <w:tcW w:w="2420" w:type="dxa"/>
            <w:vAlign w:val="bottom"/>
            <w:gridSpan w:val="3"/>
          </w:tcPr>
          <w:p>
            <w:pPr>
              <w:jc w:val="center"/>
              <w:ind w:left="100"/>
              <w:spacing w:after="0" w:line="147" w:lineRule="exact"/>
              <w:rPr>
                <w:sz w:val="20"/>
                <w:szCs w:val="20"/>
                <w:color w:val="auto"/>
              </w:rPr>
            </w:pPr>
            <w:r>
              <w:rPr>
                <w:rFonts w:ascii="Times New Roman" w:cs="Times New Roman" w:eastAsia="Times New Roman" w:hAnsi="Times New Roman"/>
                <w:sz w:val="14"/>
                <w:szCs w:val="14"/>
                <w:b w:val="1"/>
                <w:bCs w:val="1"/>
                <w:color w:val="auto"/>
              </w:rPr>
              <w:t>Underlying Unexercised</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7"/>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300" w:type="dxa"/>
            <w:vAlign w:val="bottom"/>
            <w:vMerge w:val="restart"/>
          </w:tcPr>
          <w:p>
            <w:pPr>
              <w:spacing w:after="0"/>
              <w:rPr>
                <w:sz w:val="12"/>
                <w:szCs w:val="12"/>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80" w:type="dxa"/>
            <w:vAlign w:val="bottom"/>
          </w:tcPr>
          <w:p>
            <w:pPr>
              <w:spacing w:after="0"/>
              <w:rPr>
                <w:sz w:val="12"/>
                <w:szCs w:val="12"/>
                <w:color w:val="auto"/>
              </w:rPr>
            </w:pPr>
          </w:p>
        </w:tc>
        <w:tc>
          <w:tcPr>
            <w:tcW w:w="14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580" w:type="dxa"/>
            <w:vAlign w:val="bottom"/>
          </w:tcPr>
          <w:p>
            <w:pPr>
              <w:spacing w:after="0"/>
              <w:rPr>
                <w:sz w:val="12"/>
                <w:szCs w:val="12"/>
                <w:color w:val="auto"/>
              </w:rPr>
            </w:pPr>
          </w:p>
        </w:tc>
        <w:tc>
          <w:tcPr>
            <w:tcW w:w="1840" w:type="dxa"/>
            <w:vAlign w:val="bottom"/>
            <w:gridSpan w:val="2"/>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60" w:type="dxa"/>
            <w:vAlign w:val="bottom"/>
            <w:gridSpan w:val="2"/>
          </w:tcPr>
          <w:p>
            <w:pPr>
              <w:jc w:val="center"/>
              <w:ind w:left="123"/>
              <w:spacing w:after="0" w:line="147"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5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580" w:type="dxa"/>
            <w:vAlign w:val="bottom"/>
          </w:tcPr>
          <w:p>
            <w:pPr>
              <w:spacing w:after="0"/>
              <w:rPr>
                <w:sz w:val="15"/>
                <w:szCs w:val="15"/>
                <w:color w:val="auto"/>
              </w:rPr>
            </w:pPr>
          </w:p>
        </w:tc>
        <w:tc>
          <w:tcPr>
            <w:tcW w:w="1840" w:type="dxa"/>
            <w:vAlign w:val="bottom"/>
            <w:gridSpan w:val="2"/>
          </w:tcPr>
          <w:p>
            <w:pPr>
              <w:jc w:val="center"/>
              <w:ind w:right="400"/>
              <w:spacing w:after="0" w:line="158" w:lineRule="exact"/>
              <w:rPr>
                <w:sz w:val="20"/>
                <w:szCs w:val="20"/>
                <w:color w:val="auto"/>
              </w:rPr>
            </w:pPr>
            <w:r>
              <w:rPr>
                <w:rFonts w:ascii="Times New Roman" w:cs="Times New Roman" w:eastAsia="Times New Roman" w:hAnsi="Times New Roman"/>
                <w:sz w:val="14"/>
                <w:szCs w:val="14"/>
                <w:b w:val="1"/>
                <w:bCs w:val="1"/>
                <w:color w:val="auto"/>
                <w:w w:val="99"/>
              </w:rPr>
              <w:t>Unexercisable</w:t>
            </w:r>
          </w:p>
        </w:tc>
        <w:tc>
          <w:tcPr>
            <w:tcW w:w="1060" w:type="dxa"/>
            <w:vAlign w:val="bottom"/>
            <w:gridSpan w:val="2"/>
          </w:tcPr>
          <w:p>
            <w:pPr>
              <w:jc w:val="center"/>
              <w:ind w:left="103"/>
              <w:spacing w:after="0" w:line="158"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20" w:type="dxa"/>
            <w:vAlign w:val="bottom"/>
            <w:gridSpan w:val="3"/>
          </w:tcPr>
          <w:p>
            <w:pPr>
              <w:jc w:val="right"/>
              <w:ind w:right="60"/>
              <w:spacing w:after="0" w:line="158" w:lineRule="exact"/>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200"/>
        </w:trPr>
        <w:tc>
          <w:tcPr>
            <w:tcW w:w="266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Douglas Hirsch</w:t>
            </w:r>
          </w:p>
        </w:tc>
        <w:tc>
          <w:tcPr>
            <w:tcW w:w="900" w:type="dxa"/>
            <w:vAlign w:val="bottom"/>
            <w:tcBorders>
              <w:top w:val="single" w:sz="8" w:color="auto"/>
            </w:tcBorders>
            <w:shd w:val="clear" w:color="auto" w:fill="CCEEFF"/>
          </w:tcPr>
          <w:p>
            <w:pPr>
              <w:ind w:left="640"/>
              <w:spacing w:after="0" w:line="20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ind w:right="21"/>
              <w:spacing w:after="0" w:line="20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ind w:right="22"/>
              <w:spacing w:after="0" w:line="201"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7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Trevor Bezdek</w:t>
            </w:r>
          </w:p>
        </w:tc>
        <w:tc>
          <w:tcPr>
            <w:tcW w:w="13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8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Slutsky</w:t>
            </w:r>
          </w:p>
        </w:tc>
        <w:tc>
          <w:tcPr>
            <w:tcW w:w="1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11/09/2017 (1)</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93,333</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166,667</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11/08/2027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Babak Azad</w:t>
            </w:r>
          </w:p>
        </w:tc>
        <w:tc>
          <w:tcPr>
            <w:tcW w:w="13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8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73025</wp:posOffset>
            </wp:positionV>
            <wp:extent cx="7550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34" w:lineRule="exact"/>
        <w:rPr>
          <w:sz w:val="20"/>
          <w:szCs w:val="20"/>
          <w:color w:val="auto"/>
        </w:rPr>
      </w:pPr>
    </w:p>
    <w:p>
      <w:pPr>
        <w:ind w:left="600" w:hanging="426"/>
        <w:spacing w:after="0"/>
        <w:tabs>
          <w:tab w:leader="none" w:pos="60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option vests and becomes exercisable with respect to 1/48 of the total number of shares underlying the option on each monthly anniversary of August 1, 2017.</w:t>
      </w:r>
    </w:p>
    <w:p>
      <w:pPr>
        <w:spacing w:after="0" w:line="3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Douglas Hirsch and Trevor Bezdek 2015 Employment Agreements</w:t>
      </w:r>
    </w:p>
    <w:p>
      <w:pPr>
        <w:spacing w:after="0" w:line="118" w:lineRule="exact"/>
        <w:rPr>
          <w:sz w:val="20"/>
          <w:szCs w:val="20"/>
          <w:color w:val="auto"/>
        </w:rPr>
      </w:pPr>
    </w:p>
    <w:p>
      <w:pPr>
        <w:ind w:left="180" w:right="60" w:firstLine="436"/>
        <w:spacing w:after="0" w:line="255" w:lineRule="auto"/>
        <w:rPr>
          <w:sz w:val="20"/>
          <w:szCs w:val="20"/>
          <w:color w:val="auto"/>
        </w:rPr>
      </w:pPr>
      <w:r>
        <w:rPr>
          <w:rFonts w:ascii="Times New Roman" w:cs="Times New Roman" w:eastAsia="Times New Roman" w:hAnsi="Times New Roman"/>
          <w:sz w:val="18"/>
          <w:szCs w:val="18"/>
          <w:color w:val="auto"/>
        </w:rPr>
        <w:t>On October 7, 2015, GoodRx, Inc. entered into employment agreements with Messrs. Hirsch and Bezdek, which will be amended and restated effective upon the completion of this offering, pursuant to which each serves as our Co-Chief Executive Officer. These employment agreements provide for at-will employment, an annual base salary, eligibility to participate in the health and welfare benefit plans and programs maintained by GoodRx, Inc. for the benefit of its employees and certain other perquisites. In addition, each of Messrs. Hirsch and Bezdek is eligible to earn an annual cash incentive bonus targeted at 100% of his base salary, which bonus is payable upon the achievement of certain performance targets.</w:t>
      </w:r>
    </w:p>
    <w:p>
      <w:pPr>
        <w:spacing w:after="0" w:line="183" w:lineRule="exact"/>
        <w:rPr>
          <w:sz w:val="20"/>
          <w:szCs w:val="20"/>
          <w:color w:val="auto"/>
        </w:rPr>
      </w:pPr>
    </w:p>
    <w:p>
      <w:pPr>
        <w:jc w:val="both"/>
        <w:ind w:left="180" w:right="160" w:firstLine="436"/>
        <w:spacing w:after="0" w:line="257" w:lineRule="auto"/>
        <w:rPr>
          <w:sz w:val="20"/>
          <w:szCs w:val="20"/>
          <w:color w:val="auto"/>
        </w:rPr>
      </w:pPr>
      <w:r>
        <w:rPr>
          <w:rFonts w:ascii="Times New Roman" w:cs="Times New Roman" w:eastAsia="Times New Roman" w:hAnsi="Times New Roman"/>
          <w:sz w:val="18"/>
          <w:szCs w:val="18"/>
          <w:color w:val="auto"/>
        </w:rPr>
        <w:t>Under the employment agreements (including as amended and restated), if either Messrs. Hirsch or Bezdek is terminated without “cause” or due to his death, “disability” or resignation for “good reason” (each, as defined in his employment agreement), then, in addition to any accrued obligations and subject to his timely execution and non-revocation of a general release of claims, he will be eligible to receive (i) 12 months of continued payment of his base salary and (ii) 12 months of company-reimbursed COBRA continuation coverage premiums.</w:t>
      </w:r>
    </w:p>
    <w:p>
      <w:pPr>
        <w:spacing w:after="0" w:line="182" w:lineRule="exact"/>
        <w:rPr>
          <w:sz w:val="20"/>
          <w:szCs w:val="20"/>
          <w:color w:val="auto"/>
        </w:rPr>
      </w:pPr>
    </w:p>
    <w:p>
      <w:pPr>
        <w:ind w:left="180" w:right="240" w:firstLine="436"/>
        <w:spacing w:after="0" w:line="262" w:lineRule="auto"/>
        <w:rPr>
          <w:sz w:val="20"/>
          <w:szCs w:val="20"/>
          <w:color w:val="auto"/>
        </w:rPr>
      </w:pPr>
      <w:r>
        <w:rPr>
          <w:rFonts w:ascii="Times New Roman" w:cs="Times New Roman" w:eastAsia="Times New Roman" w:hAnsi="Times New Roman"/>
          <w:sz w:val="18"/>
          <w:szCs w:val="18"/>
          <w:color w:val="auto"/>
        </w:rPr>
        <w:t>The employment agreements also include a “best pay” provision under Section 280G of the Code, pursuant to which any “parachute payments” that become payable to Mr. Hirsch or Mr. Bezdek will either be paid in full or reduced so that such payments are not subject to the excise tax under Section 4999 of the Code, whichever results in the better after-tax treatment to Mr. Hirsch or Mr. Bezdek, as applicable.</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Andrew Slutsky 2015 Employment Agreement</w:t>
      </w:r>
    </w:p>
    <w:p>
      <w:pPr>
        <w:spacing w:after="0" w:line="118" w:lineRule="exact"/>
        <w:rPr>
          <w:sz w:val="20"/>
          <w:szCs w:val="20"/>
          <w:color w:val="auto"/>
        </w:rPr>
      </w:pPr>
    </w:p>
    <w:p>
      <w:pPr>
        <w:ind w:left="180" w:right="120" w:firstLine="436"/>
        <w:spacing w:after="0" w:line="252" w:lineRule="auto"/>
        <w:rPr>
          <w:sz w:val="20"/>
          <w:szCs w:val="20"/>
          <w:color w:val="auto"/>
        </w:rPr>
      </w:pPr>
      <w:r>
        <w:rPr>
          <w:rFonts w:ascii="Times New Roman" w:cs="Times New Roman" w:eastAsia="Times New Roman" w:hAnsi="Times New Roman"/>
          <w:sz w:val="18"/>
          <w:szCs w:val="18"/>
          <w:color w:val="auto"/>
        </w:rPr>
        <w:t>On October 7, 2015, GoodRx, Inc. entered into an employment agreement with Mr. Slutsky, which will be amended and restated effective upon the completion of this offering, which provides for at-will employment, an annual base salary, and eligibility to participate in the health and welfare benefit plans and programs maintained by us for the benefit of its employees. In addition, Mr. Slutsky is eligible to earn an annual cash incentive bonus expressed as a percentage of his base salary, which bonus is payable upon the achievement of certain performance targets. Under his employment agreement, Mr. Slutsky is eligible to receive an annual incentive bonus equal to 20% of his base salary; in 2019, he was eligible to receive an annual incentive bonus equal to 30% of his base salary. Under his amended and restated employment agreement, Mr. Slutsky will be eligible to receive an annual incentive bonus equal to 50% of his base salary.</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80"/>
          </w:cols>
          <w:pgMar w:left="320" w:top="454" w:right="49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firstLine="436"/>
        <w:spacing w:after="0" w:line="255" w:lineRule="auto"/>
        <w:rPr>
          <w:sz w:val="20"/>
          <w:szCs w:val="20"/>
          <w:color w:val="auto"/>
        </w:rPr>
      </w:pPr>
      <w:r>
        <w:rPr>
          <w:rFonts w:ascii="Times New Roman" w:cs="Times New Roman" w:eastAsia="Times New Roman" w:hAnsi="Times New Roman"/>
          <w:sz w:val="18"/>
          <w:szCs w:val="18"/>
          <w:color w:val="auto"/>
        </w:rPr>
        <w:t>Under the employment agreement, if Mr. Slutsky is terminated without “cause” or due to his death, “disability” or resignation for “good reason” (each, as defined in his employment agreement), then, in addition to any accrued obligations and subject to his timely execution and non-revocation of a general release of claims, he will be eligible to receive (i) nine months of continued payment of his base salary and (ii) nine months of company-reimbursed COBRA continuation coverage premiums. Under his amended and restated employment agreement, the severance and COBRA continuation will increase to 12 months (rather than nine).</w:t>
      </w:r>
    </w:p>
    <w:p>
      <w:pPr>
        <w:spacing w:after="0" w:line="183" w:lineRule="exact"/>
        <w:rPr>
          <w:sz w:val="20"/>
          <w:szCs w:val="20"/>
          <w:color w:val="auto"/>
        </w:rPr>
      </w:pPr>
    </w:p>
    <w:p>
      <w:pPr>
        <w:jc w:val="both"/>
        <w:ind w:left="180" w:right="220" w:firstLine="436"/>
        <w:spacing w:after="0" w:line="262" w:lineRule="auto"/>
        <w:rPr>
          <w:sz w:val="20"/>
          <w:szCs w:val="20"/>
          <w:color w:val="auto"/>
        </w:rPr>
      </w:pPr>
      <w:r>
        <w:rPr>
          <w:rFonts w:ascii="Times New Roman" w:cs="Times New Roman" w:eastAsia="Times New Roman" w:hAnsi="Times New Roman"/>
          <w:sz w:val="18"/>
          <w:szCs w:val="18"/>
          <w:color w:val="auto"/>
        </w:rPr>
        <w:t>The employment agreement also includes a “best pay” provision under Section 280G of the Code, pursuant to which any “parachute payments” that become payable to Mr. Slutsky will either be paid in full or reduced so that such payments are not subject to the excise tax under Section 4999 of the Code, whichever results in the better after-tax treatment to Mr. Slutsky.</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Babak Azad 2019 Offer Letter</w:t>
      </w:r>
    </w:p>
    <w:p>
      <w:pPr>
        <w:spacing w:after="0" w:line="118" w:lineRule="exact"/>
        <w:rPr>
          <w:sz w:val="20"/>
          <w:szCs w:val="20"/>
          <w:color w:val="auto"/>
        </w:rPr>
      </w:pPr>
    </w:p>
    <w:p>
      <w:pPr>
        <w:ind w:left="180" w:right="60" w:firstLine="436"/>
        <w:spacing w:after="0" w:line="262" w:lineRule="auto"/>
        <w:rPr>
          <w:sz w:val="20"/>
          <w:szCs w:val="20"/>
          <w:color w:val="auto"/>
        </w:rPr>
      </w:pPr>
      <w:r>
        <w:rPr>
          <w:rFonts w:ascii="Times New Roman" w:cs="Times New Roman" w:eastAsia="Times New Roman" w:hAnsi="Times New Roman"/>
          <w:sz w:val="18"/>
          <w:szCs w:val="18"/>
          <w:color w:val="auto"/>
        </w:rPr>
        <w:t>On October 3, 2019, GoodRx, Inc. entered into an offer letter with Mr. Azad. The offer letter provides for at-will employment, an annual base salary, and eligibility to participate in the health and welfare benefit plans and programs maintained by GoodRx, Inc. for the benefit of its employees. In addition, Mr. Azad is eligible to earn an annual discretionary performance bonus equal to 40% of his base salary (pro-rated for 2019).</w:t>
      </w:r>
    </w:p>
    <w:p>
      <w:pPr>
        <w:spacing w:after="0" w:line="177" w:lineRule="exact"/>
        <w:rPr>
          <w:sz w:val="20"/>
          <w:szCs w:val="20"/>
          <w:color w:val="auto"/>
        </w:rPr>
      </w:pPr>
    </w:p>
    <w:p>
      <w:pPr>
        <w:jc w:val="both"/>
        <w:ind w:left="180" w:right="40" w:firstLine="436"/>
        <w:spacing w:after="0" w:line="257" w:lineRule="auto"/>
        <w:rPr>
          <w:sz w:val="20"/>
          <w:szCs w:val="20"/>
          <w:color w:val="auto"/>
        </w:rPr>
      </w:pPr>
      <w:r>
        <w:rPr>
          <w:rFonts w:ascii="Times New Roman" w:cs="Times New Roman" w:eastAsia="Times New Roman" w:hAnsi="Times New Roman"/>
          <w:sz w:val="18"/>
          <w:szCs w:val="18"/>
          <w:color w:val="auto"/>
        </w:rPr>
        <w:t>Pursuant to the offer letter, Mr. Azad is eligible to receive an aggregate $350,000 signing bonus, with one-third of the total signing bonus payable upon each of the commencement of his employment and the six- and twelve-month anniversaries of his employment start date, subject to his continuous employment with us. If Mr. Azad resigns or is terminated for cause during the first 24 months of employment, he must repay to the Company a prorated amount of the signing bonus.</w:t>
      </w:r>
    </w:p>
    <w:p>
      <w:pPr>
        <w:spacing w:after="0" w:line="182" w:lineRule="exact"/>
        <w:rPr>
          <w:sz w:val="20"/>
          <w:szCs w:val="20"/>
          <w:color w:val="auto"/>
        </w:rPr>
      </w:pPr>
    </w:p>
    <w:p>
      <w:pPr>
        <w:ind w:left="180" w:right="160" w:firstLine="436"/>
        <w:spacing w:after="0" w:line="257" w:lineRule="auto"/>
        <w:rPr>
          <w:sz w:val="20"/>
          <w:szCs w:val="20"/>
          <w:color w:val="auto"/>
        </w:rPr>
      </w:pPr>
      <w:r>
        <w:rPr>
          <w:rFonts w:ascii="Times New Roman" w:cs="Times New Roman" w:eastAsia="Times New Roman" w:hAnsi="Times New Roman"/>
          <w:sz w:val="18"/>
          <w:szCs w:val="18"/>
          <w:color w:val="auto"/>
        </w:rPr>
        <w:t>Pursuant to the offer letter, it was recommended to the board that Mr. Azad receive a grant of stock options covering 600,000 shares of our Class A common stock. This stock option of 600,000 shares was granted in January 2020 and vests in equal monthly installments over the four years following Mr. Azad’s start date, subject to his continued service with us through the applicable vesting dates. The option will vest in full upon termination without “cause” or resignation for “good reason” within 12 months after a “sale of the Company” (each, as defined in the 2015 Plan).</w:t>
      </w:r>
    </w:p>
    <w:p>
      <w:pPr>
        <w:spacing w:after="0" w:line="182" w:lineRule="exact"/>
        <w:rPr>
          <w:sz w:val="20"/>
          <w:szCs w:val="20"/>
          <w:color w:val="auto"/>
        </w:rPr>
      </w:pPr>
    </w:p>
    <w:p>
      <w:pPr>
        <w:ind w:left="180" w:right="760" w:firstLine="436"/>
        <w:spacing w:after="0" w:line="277" w:lineRule="auto"/>
        <w:rPr>
          <w:sz w:val="20"/>
          <w:szCs w:val="20"/>
          <w:color w:val="auto"/>
        </w:rPr>
      </w:pPr>
      <w:r>
        <w:rPr>
          <w:rFonts w:ascii="Times New Roman" w:cs="Times New Roman" w:eastAsia="Times New Roman" w:hAnsi="Times New Roman"/>
          <w:sz w:val="18"/>
          <w:szCs w:val="18"/>
          <w:color w:val="auto"/>
        </w:rPr>
        <w:t>Mr. Azad was also required to execute the Company’s proprietary information and invention assignment agreement as a condition to his employment under the offer letter.</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2019 Director Compensation Program</w:t>
      </w:r>
    </w:p>
    <w:p>
      <w:pPr>
        <w:spacing w:after="0" w:line="118" w:lineRule="exact"/>
        <w:rPr>
          <w:sz w:val="20"/>
          <w:szCs w:val="20"/>
          <w:color w:val="auto"/>
        </w:rPr>
      </w:pPr>
    </w:p>
    <w:p>
      <w:pPr>
        <w:jc w:val="both"/>
        <w:ind w:left="180" w:right="80" w:firstLine="436"/>
        <w:spacing w:after="0" w:line="257" w:lineRule="auto"/>
        <w:rPr>
          <w:sz w:val="20"/>
          <w:szCs w:val="20"/>
          <w:color w:val="auto"/>
        </w:rPr>
      </w:pPr>
      <w:r>
        <w:rPr>
          <w:rFonts w:ascii="Times New Roman" w:cs="Times New Roman" w:eastAsia="Times New Roman" w:hAnsi="Times New Roman"/>
          <w:sz w:val="18"/>
          <w:szCs w:val="18"/>
          <w:color w:val="auto"/>
        </w:rPr>
        <w:t>The following table sets forth information for 2019 regarding the compensation awarded to, earned by or paid to our non-employee directors who served on our board of directors during 2019. Messrs. Hirsch and Bezdek, who served as our Co-Chief Executive Officers during 2019, and continue to serve in that capacity, do not receive additional compensation for their service as directors, and therefore are not included in the Director Compensation table below. All compensation paid to Messrs. Hirsch and Bezdek is reported above in the “2019 Summary Compensation Table.”</w:t>
      </w:r>
    </w:p>
    <w:p>
      <w:pPr>
        <w:spacing w:after="0" w:line="68"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520" w:type="dxa"/>
            <w:vAlign w:val="bottom"/>
            <w:vMerge w:val="restart"/>
          </w:tcPr>
          <w:p>
            <w:pPr>
              <w:ind w:left="27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2"/>
        </w:trPr>
        <w:tc>
          <w:tcPr>
            <w:tcW w:w="3520" w:type="dxa"/>
            <w:vAlign w:val="bottom"/>
            <w:vMerge w:val="continue"/>
          </w:tcPr>
          <w:p>
            <w:pPr>
              <w:spacing w:after="0"/>
              <w:rPr>
                <w:sz w:val="14"/>
                <w:szCs w:val="14"/>
                <w:color w:val="auto"/>
              </w:rPr>
            </w:pPr>
          </w:p>
        </w:tc>
        <w:tc>
          <w:tcPr>
            <w:tcW w:w="2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Cash ($)</w:t>
            </w: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Adams</w:t>
            </w:r>
          </w:p>
        </w:tc>
        <w:tc>
          <w:tcPr>
            <w:tcW w:w="23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Dipanjan Deb</w:t>
            </w: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Karol</w:t>
            </w:r>
          </w:p>
        </w:tc>
        <w:tc>
          <w:tcPr>
            <w:tcW w:w="2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Jacqueline Kosecoff</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56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20,000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LeSieur</w:t>
            </w:r>
          </w:p>
        </w:tc>
        <w:tc>
          <w:tcPr>
            <w:tcW w:w="2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Gregory Mondre</w:t>
            </w: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Agnes Rey-Giraud</w:t>
            </w:r>
          </w:p>
        </w:tc>
        <w:tc>
          <w:tcPr>
            <w:tcW w:w="3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3520" w:type="dxa"/>
            <w:vAlign w:val="bottom"/>
          </w:tcPr>
          <w:p>
            <w:pPr>
              <w:spacing w:after="0"/>
              <w:rPr>
                <w:sz w:val="24"/>
                <w:szCs w:val="24"/>
                <w:color w:val="auto"/>
              </w:rPr>
            </w:pPr>
          </w:p>
        </w:tc>
        <w:tc>
          <w:tcPr>
            <w:tcW w:w="2360" w:type="dxa"/>
            <w:vAlign w:val="bottom"/>
          </w:tcPr>
          <w:p>
            <w:pPr>
              <w:jc w:val="right"/>
              <w:ind w:right="1411"/>
              <w:spacing w:after="0"/>
              <w:rPr>
                <w:sz w:val="20"/>
                <w:szCs w:val="20"/>
                <w:color w:val="auto"/>
              </w:rPr>
            </w:pPr>
            <w:r>
              <w:rPr>
                <w:rFonts w:ascii="Times New Roman" w:cs="Times New Roman" w:eastAsia="Times New Roman" w:hAnsi="Times New Roman"/>
                <w:sz w:val="18"/>
                <w:szCs w:val="18"/>
                <w:color w:val="auto"/>
              </w:rPr>
              <w:t>-158-</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460" w:firstLine="436"/>
        <w:spacing w:after="0" w:line="277" w:lineRule="auto"/>
        <w:rPr>
          <w:sz w:val="20"/>
          <w:szCs w:val="20"/>
          <w:color w:val="auto"/>
        </w:rPr>
      </w:pPr>
      <w:r>
        <w:rPr>
          <w:rFonts w:ascii="Times New Roman" w:cs="Times New Roman" w:eastAsia="Times New Roman" w:hAnsi="Times New Roman"/>
          <w:sz w:val="18"/>
          <w:szCs w:val="18"/>
          <w:color w:val="auto"/>
        </w:rPr>
        <w:t>The table below shows the aggregate numbers of shares of our Class A common stock subject to outstanding option awards (exercisable and unexercisable) held as of December 31, 2019 by each non-employee director who was serving as of December 31, 2019.</w:t>
      </w:r>
    </w:p>
    <w:p>
      <w:pPr>
        <w:spacing w:after="0" w:line="170"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60" w:type="dxa"/>
            <w:vAlign w:val="bottom"/>
            <w:vMerge w:val="restart"/>
          </w:tcPr>
          <w:p>
            <w:pPr>
              <w:ind w:left="28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gridSpan w:val="3"/>
          </w:tcPr>
          <w:p>
            <w:pPr>
              <w:jc w:val="right"/>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at Year End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Adams</w:t>
            </w: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Dipanjan Deb</w:t>
            </w:r>
          </w:p>
        </w:tc>
        <w:tc>
          <w:tcPr>
            <w:tcW w:w="50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Karol</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Jacqueline Kosecoff</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233,371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LeSieur</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Gregory Mondre</w:t>
            </w:r>
          </w:p>
        </w:tc>
        <w:tc>
          <w:tcPr>
            <w:tcW w:w="50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Agnes Rey-Giraud</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Board Service Letter Agreements</w:t>
      </w:r>
    </w:p>
    <w:p>
      <w:pPr>
        <w:spacing w:after="0" w:line="118" w:lineRule="exact"/>
        <w:rPr>
          <w:sz w:val="20"/>
          <w:szCs w:val="20"/>
          <w:color w:val="auto"/>
        </w:rPr>
      </w:pPr>
    </w:p>
    <w:p>
      <w:pPr>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In April 2016 and June 2016, we entered into board service letter agreements with Dr. Kosecoff and Ms. Rey-Giraud, respectively, pursuant to which they receive $20,000 per year, payable quarterly, for their service as members of our board of directors. Pursuant to the offer letters, in connection with the commencement of their service, each of Ms. Rey-Giraud and Dr. Kosecoff also received a stock option grant covering 0.25% of the fully-diluted equity of the Company as of the date of grant. These options vest in equal monthly installments over the 48 months following the grant date and vest in full upon a “sale of the company” (as defined in the 2015 Plan), subject to the director’s continued service through the vesting date or sale of the company, as applicable.</w:t>
      </w:r>
    </w:p>
    <w:p>
      <w:pPr>
        <w:spacing w:after="0" w:line="187" w:lineRule="exact"/>
        <w:rPr>
          <w:sz w:val="20"/>
          <w:szCs w:val="20"/>
          <w:color w:val="auto"/>
        </w:rPr>
      </w:pPr>
    </w:p>
    <w:p>
      <w:pPr>
        <w:ind w:left="180" w:right="40" w:firstLine="436"/>
        <w:spacing w:after="0" w:line="257" w:lineRule="auto"/>
        <w:rPr>
          <w:sz w:val="20"/>
          <w:szCs w:val="20"/>
          <w:color w:val="auto"/>
        </w:rPr>
      </w:pPr>
      <w:r>
        <w:rPr>
          <w:rFonts w:ascii="Times New Roman" w:cs="Times New Roman" w:eastAsia="Times New Roman" w:hAnsi="Times New Roman"/>
          <w:sz w:val="18"/>
          <w:szCs w:val="18"/>
          <w:color w:val="auto"/>
        </w:rPr>
        <w:t>In June 2020, we entered into new board service letter agreements with each of Dr. Kosecoff and Ms. Rey-Giraud, pursuant to which they continue to serve on our board of directors and will receive $30,000 per year, paid quarterly, for their service. Additionally, if Dr. Kosecoff serves on the audit committee of the board of directors, she will receive an additional $8,000 per year, paid quarterly, for her service on this committee. All cash compensation will be pro-rated for any partial quarter of service.</w:t>
      </w:r>
    </w:p>
    <w:p>
      <w:pPr>
        <w:spacing w:after="0" w:line="182" w:lineRule="exact"/>
        <w:rPr>
          <w:sz w:val="20"/>
          <w:szCs w:val="20"/>
          <w:color w:val="auto"/>
        </w:rPr>
      </w:pPr>
    </w:p>
    <w:p>
      <w:pPr>
        <w:ind w:left="180" w:firstLine="436"/>
        <w:spacing w:after="0" w:line="257" w:lineRule="auto"/>
        <w:rPr>
          <w:sz w:val="20"/>
          <w:szCs w:val="20"/>
          <w:color w:val="auto"/>
        </w:rPr>
      </w:pPr>
      <w:r>
        <w:rPr>
          <w:rFonts w:ascii="Times New Roman" w:cs="Times New Roman" w:eastAsia="Times New Roman" w:hAnsi="Times New Roman"/>
          <w:sz w:val="18"/>
          <w:szCs w:val="18"/>
          <w:color w:val="auto"/>
        </w:rPr>
        <w:t>Pursuant to the letter agreements, each of Dr. Kosecoff and Ms. Rey-Giraud was granted a non-statutory option to purchase 30,000 shares of our Class A common stock in June 2020. These options will vest in equal monthly installments over the 12 months following the director’s election date (for Dr. Kosecoff) or August 11, 2020 (for Ms. Rey-Giraud), subject to the director’s continued service through the vesting date. Dr. Kosecoff will also be eligible to receive annual equity grants for continued service as approved by the board of directors.</w:t>
      </w:r>
    </w:p>
    <w:p>
      <w:pPr>
        <w:spacing w:after="0" w:line="182" w:lineRule="exact"/>
        <w:rPr>
          <w:sz w:val="20"/>
          <w:szCs w:val="20"/>
          <w:color w:val="auto"/>
        </w:rPr>
      </w:pPr>
    </w:p>
    <w:p>
      <w:pPr>
        <w:jc w:val="both"/>
        <w:ind w:left="180" w:right="420" w:firstLine="436"/>
        <w:spacing w:after="0" w:line="257" w:lineRule="auto"/>
        <w:rPr>
          <w:sz w:val="20"/>
          <w:szCs w:val="20"/>
          <w:color w:val="auto"/>
        </w:rPr>
      </w:pPr>
      <w:r>
        <w:rPr>
          <w:rFonts w:ascii="Times New Roman" w:cs="Times New Roman" w:eastAsia="Times New Roman" w:hAnsi="Times New Roman"/>
          <w:sz w:val="18"/>
          <w:szCs w:val="18"/>
          <w:color w:val="auto"/>
        </w:rPr>
        <w:t>In August 2020, we entered into a board service letter agreement with Ms. Bradley in connection with the commencement of her service as a member of our board of directors. Pursuant to the board service letter agreement, Ms. Bradley will receive $30,000 per year, paid quarterly, for her service as a member of the board, and an additional $20,000 per year, paid quarterly, for her service as chair of the audit committee of the board of directors. All cash compensation will be pro-rated for any partial quarter of service.</w:t>
      </w:r>
    </w:p>
    <w:p>
      <w:pPr>
        <w:spacing w:after="0" w:line="182" w:lineRule="exact"/>
        <w:rPr>
          <w:sz w:val="20"/>
          <w:szCs w:val="20"/>
          <w:color w:val="auto"/>
        </w:rPr>
      </w:pPr>
    </w:p>
    <w:p>
      <w:pPr>
        <w:ind w:left="180" w:right="160" w:firstLine="436"/>
        <w:spacing w:after="0" w:line="270" w:lineRule="auto"/>
        <w:rPr>
          <w:sz w:val="20"/>
          <w:szCs w:val="20"/>
          <w:color w:val="auto"/>
        </w:rPr>
      </w:pPr>
      <w:r>
        <w:rPr>
          <w:rFonts w:ascii="Times New Roman" w:cs="Times New Roman" w:eastAsia="Times New Roman" w:hAnsi="Times New Roman"/>
          <w:sz w:val="17"/>
          <w:szCs w:val="17"/>
          <w:color w:val="auto"/>
        </w:rPr>
        <w:t>Additionally, pursuant to the letter agreement, Ms. Bradley will be granted two restricted stock unit awards in connection with the completion of this offering: (i) an award of 15,000 restricted stock units corresponding to shares of our Class A common stock, which will vest in equal monthly installments over the three-year period following August 1, 2020, subject to Ms. Bradley’s continued service through the applicable vesting date; and</w:t>
      </w:r>
    </w:p>
    <w:p>
      <w:pPr>
        <w:ind w:left="180" w:right="240" w:hanging="6"/>
        <w:spacing w:after="0" w:line="255" w:lineRule="auto"/>
        <w:tabs>
          <w:tab w:leader="none" w:pos="44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of 7,500 restricted stock units corresponding to shares of our Class A common stock, which will vest in equal monthly installments over the one-year period following August 1, 2020, subject to Ms. Bradley’s continued service through the applicable vesting date.</w:t>
      </w:r>
    </w:p>
    <w:p>
      <w:pPr>
        <w:spacing w:after="0" w:line="115" w:lineRule="exact"/>
        <w:rPr>
          <w:rFonts w:ascii="Times New Roman" w:cs="Times New Roman" w:eastAsia="Times New Roman" w:hAnsi="Times New Roman"/>
          <w:sz w:val="18"/>
          <w:szCs w:val="18"/>
          <w:color w:val="auto"/>
        </w:rPr>
      </w:pPr>
    </w:p>
    <w:p>
      <w:pPr>
        <w:ind w:left="5500" w:hanging="113"/>
        <w:spacing w:after="0"/>
        <w:tabs>
          <w:tab w:leader="none" w:pos="55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159 -</w:t>
      </w:r>
    </w:p>
    <w:p>
      <w:pPr>
        <w:sectPr>
          <w:pgSz w:w="11900" w:h="16838" w:orient="portrait"/>
          <w:cols w:equalWidth="0" w:num="1">
            <w:col w:w="11060"/>
          </w:cols>
          <w:pgMar w:left="320" w:top="454" w:right="51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Post-IPO Director Compensation Program</w:t>
      </w:r>
    </w:p>
    <w:p>
      <w:pPr>
        <w:spacing w:after="0" w:line="118" w:lineRule="exact"/>
        <w:rPr>
          <w:sz w:val="20"/>
          <w:szCs w:val="20"/>
          <w:color w:val="auto"/>
        </w:rPr>
      </w:pPr>
    </w:p>
    <w:p>
      <w:pPr>
        <w:ind w:left="180" w:firstLine="436"/>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our board of directors adopted and our stockholders approved a nonemployee director compensation program (the “Director Compensation Program”), which will become effective in connection with the completion of this offering. The Director Compensation Program provides for annual retainer fees and long-term equity awards for certain of our non-employee directors, currently expected to include Julie Bradley, Jacqueline Kosecoff and Agnes Rey-Giraud (each, an “Eligible Director”). The material terms of the Director Compensation Program are summarized below.</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Director Compensation Program consists of the following components:</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Cash Compensation</w:t>
      </w:r>
    </w:p>
    <w:p>
      <w:pPr>
        <w:spacing w:after="0" w:line="127" w:lineRule="exact"/>
        <w:rPr>
          <w:sz w:val="20"/>
          <w:szCs w:val="20"/>
          <w:color w:val="auto"/>
        </w:rPr>
      </w:pPr>
    </w:p>
    <w:p>
      <w:pPr>
        <w:ind w:left="1140" w:hanging="432"/>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$30,000</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Chair Retainer:</w:t>
      </w:r>
    </w:p>
    <w:p>
      <w:pPr>
        <w:spacing w:after="0" w:line="126" w:lineRule="exact"/>
        <w:rPr>
          <w:rFonts w:ascii="Times New Roman" w:cs="Times New Roman" w:eastAsia="Times New Roman" w:hAnsi="Times New Roman"/>
          <w:sz w:val="18"/>
          <w:szCs w:val="18"/>
          <w:color w:val="auto"/>
        </w:rPr>
      </w:pPr>
    </w:p>
    <w:p>
      <w:pPr>
        <w:ind w:left="1580" w:hanging="324"/>
        <w:spacing w:after="0"/>
        <w:tabs>
          <w:tab w:leader="none" w:pos="15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$20,000</w:t>
      </w:r>
    </w:p>
    <w:p>
      <w:pPr>
        <w:spacing w:after="0" w:line="126" w:lineRule="exact"/>
        <w:rPr>
          <w:rFonts w:ascii="Times New Roman" w:cs="Times New Roman" w:eastAsia="Times New Roman" w:hAnsi="Times New Roman"/>
          <w:sz w:val="18"/>
          <w:szCs w:val="18"/>
          <w:color w:val="auto"/>
        </w:rPr>
      </w:pPr>
    </w:p>
    <w:p>
      <w:pPr>
        <w:ind w:left="1580" w:hanging="324"/>
        <w:spacing w:after="0"/>
        <w:tabs>
          <w:tab w:leader="none" w:pos="15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$15,000</w:t>
      </w:r>
    </w:p>
    <w:p>
      <w:pPr>
        <w:spacing w:after="0" w:line="126" w:lineRule="exact"/>
        <w:rPr>
          <w:rFonts w:ascii="Times New Roman" w:cs="Times New Roman" w:eastAsia="Times New Roman" w:hAnsi="Times New Roman"/>
          <w:sz w:val="18"/>
          <w:szCs w:val="18"/>
          <w:color w:val="auto"/>
        </w:rPr>
      </w:pPr>
    </w:p>
    <w:p>
      <w:pPr>
        <w:ind w:left="1580" w:hanging="324"/>
        <w:spacing w:after="0"/>
        <w:tabs>
          <w:tab w:leader="none" w:pos="15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$9,000</w:t>
      </w:r>
    </w:p>
    <w:p>
      <w:pPr>
        <w:spacing w:after="0" w:line="126" w:lineRule="exact"/>
        <w:rPr>
          <w:rFonts w:ascii="Times New Roman" w:cs="Times New Roman" w:eastAsia="Times New Roman" w:hAnsi="Times New Roman"/>
          <w:sz w:val="18"/>
          <w:szCs w:val="18"/>
          <w:color w:val="auto"/>
        </w:rPr>
      </w:pPr>
    </w:p>
    <w:p>
      <w:pPr>
        <w:ind w:left="1580" w:hanging="324"/>
        <w:spacing w:after="0"/>
        <w:tabs>
          <w:tab w:leader="none" w:pos="15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$9,000</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Member (Non-Chair) Retainer:</w:t>
      </w:r>
    </w:p>
    <w:p>
      <w:pPr>
        <w:spacing w:after="0" w:line="126" w:lineRule="exact"/>
        <w:rPr>
          <w:rFonts w:ascii="Times New Roman" w:cs="Times New Roman" w:eastAsia="Times New Roman" w:hAnsi="Times New Roman"/>
          <w:sz w:val="18"/>
          <w:szCs w:val="18"/>
          <w:color w:val="auto"/>
        </w:rPr>
      </w:pPr>
    </w:p>
    <w:p>
      <w:pPr>
        <w:ind w:left="1580" w:hanging="324"/>
        <w:spacing w:after="0"/>
        <w:tabs>
          <w:tab w:leader="none" w:pos="15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$8,000</w:t>
      </w:r>
    </w:p>
    <w:p>
      <w:pPr>
        <w:spacing w:after="0" w:line="126" w:lineRule="exact"/>
        <w:rPr>
          <w:rFonts w:ascii="Times New Roman" w:cs="Times New Roman" w:eastAsia="Times New Roman" w:hAnsi="Times New Roman"/>
          <w:sz w:val="18"/>
          <w:szCs w:val="18"/>
          <w:color w:val="auto"/>
        </w:rPr>
      </w:pPr>
    </w:p>
    <w:p>
      <w:pPr>
        <w:ind w:left="1580" w:hanging="324"/>
        <w:spacing w:after="0"/>
        <w:tabs>
          <w:tab w:leader="none" w:pos="15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$7,000</w:t>
      </w:r>
    </w:p>
    <w:p>
      <w:pPr>
        <w:spacing w:after="0" w:line="126" w:lineRule="exact"/>
        <w:rPr>
          <w:rFonts w:ascii="Times New Roman" w:cs="Times New Roman" w:eastAsia="Times New Roman" w:hAnsi="Times New Roman"/>
          <w:sz w:val="18"/>
          <w:szCs w:val="18"/>
          <w:color w:val="auto"/>
        </w:rPr>
      </w:pPr>
    </w:p>
    <w:p>
      <w:pPr>
        <w:ind w:left="1580" w:hanging="324"/>
        <w:spacing w:after="0"/>
        <w:tabs>
          <w:tab w:leader="none" w:pos="15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$4,000</w:t>
      </w:r>
    </w:p>
    <w:p>
      <w:pPr>
        <w:spacing w:after="0" w:line="126" w:lineRule="exact"/>
        <w:rPr>
          <w:rFonts w:ascii="Times New Roman" w:cs="Times New Roman" w:eastAsia="Times New Roman" w:hAnsi="Times New Roman"/>
          <w:sz w:val="18"/>
          <w:szCs w:val="18"/>
          <w:color w:val="auto"/>
        </w:rPr>
      </w:pPr>
    </w:p>
    <w:p>
      <w:pPr>
        <w:ind w:left="1580" w:hanging="324"/>
        <w:spacing w:after="0"/>
        <w:tabs>
          <w:tab w:leader="none" w:pos="15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$4,000</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Annual cash retainers will be paid in quarterly installments in arrears and will be pro-rated for any partial calendar quarter of service.</w:t>
      </w:r>
    </w:p>
    <w:p>
      <w:pPr>
        <w:spacing w:after="0" w:line="3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Equity Compensation</w:t>
      </w:r>
    </w:p>
    <w:p>
      <w:pPr>
        <w:spacing w:after="0" w:line="125" w:lineRule="exact"/>
        <w:rPr>
          <w:sz w:val="20"/>
          <w:szCs w:val="20"/>
          <w:color w:val="auto"/>
        </w:rPr>
      </w:pPr>
    </w:p>
    <w:p>
      <w:pPr>
        <w:ind w:left="1140" w:right="220" w:hanging="432"/>
        <w:spacing w:after="0" w:line="255" w:lineRule="auto"/>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Grant</w:t>
      </w:r>
      <w:r>
        <w:rPr>
          <w:rFonts w:ascii="Times New Roman" w:cs="Times New Roman" w:eastAsia="Times New Roman" w:hAnsi="Times New Roman"/>
          <w:sz w:val="18"/>
          <w:szCs w:val="18"/>
          <w:color w:val="auto"/>
        </w:rPr>
        <w:t>: Each Eligible Director who is initially elected or appointed to serve on the Board after the effective date of this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automatically will be granted a restricted stock unit award with a value of approximately $420,000 on the date on which such Eligible Director is appointed or elected to serve on the Board. These initial grants will vest as to one-third of the shares underlying the grant on each of the first three anniversaries of the grant date, subject to such Eligible Director’s continued service through the applicable vesting date.</w:t>
      </w:r>
    </w:p>
    <w:p>
      <w:pPr>
        <w:spacing w:after="0" w:line="89" w:lineRule="exact"/>
        <w:rPr>
          <w:rFonts w:ascii="Times New Roman" w:cs="Times New Roman" w:eastAsia="Times New Roman" w:hAnsi="Times New Roman"/>
          <w:sz w:val="18"/>
          <w:szCs w:val="18"/>
          <w:color w:val="auto"/>
        </w:rPr>
      </w:pPr>
    </w:p>
    <w:p>
      <w:pPr>
        <w:ind w:left="1140" w:right="20" w:hanging="432"/>
        <w:spacing w:after="0" w:line="255" w:lineRule="auto"/>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Grant</w:t>
      </w:r>
      <w:r>
        <w:rPr>
          <w:rFonts w:ascii="Times New Roman" w:cs="Times New Roman" w:eastAsia="Times New Roman" w:hAnsi="Times New Roman"/>
          <w:sz w:val="18"/>
          <w:szCs w:val="18"/>
          <w:color w:val="auto"/>
        </w:rPr>
        <w:t>: An Eligible Director who is serving on the Board as of the date of the annual meeting of the Company’s stockholders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calendar year beginning with calendar year 2021 will be granted, on such annual meeting date, a restricted stock unit award with a value of approximately of $210,000. Each annual grant will vest in full on the earlier to occur of (i) the one-year anniversary of the applicable grant date and (ii) the date of the next annual meeting following the grant date, subject to such Eligible Director’s continued service through the applicable vesting date.</w:t>
      </w:r>
    </w:p>
    <w:p>
      <w:pPr>
        <w:spacing w:after="0" w:line="185" w:lineRule="exact"/>
        <w:rPr>
          <w:sz w:val="20"/>
          <w:szCs w:val="20"/>
          <w:color w:val="auto"/>
        </w:rPr>
      </w:pPr>
    </w:p>
    <w:p>
      <w:pPr>
        <w:ind w:left="180" w:right="100" w:firstLine="436"/>
        <w:spacing w:after="0" w:line="277" w:lineRule="auto"/>
        <w:rPr>
          <w:sz w:val="20"/>
          <w:szCs w:val="20"/>
          <w:color w:val="auto"/>
        </w:rPr>
      </w:pPr>
      <w:r>
        <w:rPr>
          <w:rFonts w:ascii="Times New Roman" w:cs="Times New Roman" w:eastAsia="Times New Roman" w:hAnsi="Times New Roman"/>
          <w:sz w:val="18"/>
          <w:szCs w:val="18"/>
          <w:color w:val="auto"/>
        </w:rPr>
        <w:t>In addition, each Initial Grant and Annual Grant will vest in full upon a change in control, other than a non-transactional change in control, of the Company (both as defined in the 2020 Plan).</w:t>
      </w:r>
    </w:p>
    <w:p>
      <w:pPr>
        <w:spacing w:after="0" w:line="163" w:lineRule="exact"/>
        <w:rPr>
          <w:sz w:val="20"/>
          <w:szCs w:val="20"/>
          <w:color w:val="auto"/>
        </w:rPr>
      </w:pPr>
    </w:p>
    <w:p>
      <w:pPr>
        <w:ind w:left="180" w:right="100" w:firstLine="436"/>
        <w:spacing w:after="0" w:line="277" w:lineRule="auto"/>
        <w:rPr>
          <w:sz w:val="20"/>
          <w:szCs w:val="20"/>
          <w:color w:val="auto"/>
        </w:rPr>
      </w:pPr>
      <w:r>
        <w:rPr>
          <w:rFonts w:ascii="Times New Roman" w:cs="Times New Roman" w:eastAsia="Times New Roman" w:hAnsi="Times New Roman"/>
          <w:sz w:val="18"/>
          <w:szCs w:val="18"/>
          <w:color w:val="auto"/>
        </w:rPr>
        <w:t>Compensation under our Director Compensation Program will be subject to the annual limits on non-employee director compensation set forth in the 2020 Plan, as described below.</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60"/>
          </w:cols>
          <w:pgMar w:left="320" w:top="454" w:right="51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2015 Equity Incentive Plan</w:t>
      </w:r>
    </w:p>
    <w:p>
      <w:pPr>
        <w:spacing w:after="0" w:line="118" w:lineRule="exact"/>
        <w:rPr>
          <w:sz w:val="20"/>
          <w:szCs w:val="20"/>
          <w:color w:val="auto"/>
        </w:rPr>
      </w:pPr>
    </w:p>
    <w:p>
      <w:pPr>
        <w:ind w:left="180" w:right="100" w:firstLine="436"/>
        <w:spacing w:after="0" w:line="277" w:lineRule="auto"/>
        <w:rPr>
          <w:sz w:val="20"/>
          <w:szCs w:val="20"/>
          <w:color w:val="auto"/>
        </w:rPr>
      </w:pPr>
      <w:r>
        <w:rPr>
          <w:rFonts w:ascii="Times New Roman" w:cs="Times New Roman" w:eastAsia="Times New Roman" w:hAnsi="Times New Roman"/>
          <w:sz w:val="18"/>
          <w:szCs w:val="18"/>
          <w:color w:val="auto"/>
        </w:rPr>
        <w:t>We maintain the Fifth Amended and Restated Equity Incentive Plan, or the 2015 Plan. A total of 39,095,360 shares of our Class A common stock are reserved for issuance under the 2015 Plan. The 2015 Plan will expire in January 2030 unless earlier terminated by our board of directors.</w:t>
      </w:r>
    </w:p>
    <w:p>
      <w:pPr>
        <w:spacing w:after="0" w:line="163" w:lineRule="exact"/>
        <w:rPr>
          <w:sz w:val="20"/>
          <w:szCs w:val="20"/>
          <w:color w:val="auto"/>
        </w:rPr>
      </w:pPr>
    </w:p>
    <w:p>
      <w:pPr>
        <w:ind w:left="180" w:firstLine="436"/>
        <w:spacing w:after="0" w:line="255" w:lineRule="auto"/>
        <w:rPr>
          <w:sz w:val="20"/>
          <w:szCs w:val="20"/>
          <w:color w:val="auto"/>
        </w:rPr>
      </w:pPr>
      <w:r>
        <w:rPr>
          <w:rFonts w:ascii="Times New Roman" w:cs="Times New Roman" w:eastAsia="Times New Roman" w:hAnsi="Times New Roman"/>
          <w:sz w:val="18"/>
          <w:szCs w:val="18"/>
          <w:color w:val="auto"/>
        </w:rPr>
        <w:t>Following the effectiveness of the 2020 Plan, the 2015 Plan will terminate and we will not make any further awards under the 2015 Plan. However, any outstanding awards granted under the 2015 Plan will remain outstanding, subject to the terms of the 2015 Plan and applicable award agreement. Shares of our Class A common stock subject to awards granted under the 2015 Plan that expire unexercised or are cancelled, terminated or forfeited in any manner without issuance of shares thereunder following the effective date of the 2020 Plan, will become available for issuance under the 2020 Plan in accordance with its terms.</w:t>
      </w:r>
    </w:p>
    <w:p>
      <w:pPr>
        <w:spacing w:after="0" w:line="181" w:lineRule="exact"/>
        <w:rPr>
          <w:sz w:val="20"/>
          <w:szCs w:val="20"/>
          <w:color w:val="auto"/>
        </w:rPr>
      </w:pPr>
    </w:p>
    <w:p>
      <w:pPr>
        <w:ind w:left="180" w:right="4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Eligibility and Administration</w:t>
      </w:r>
      <w:r>
        <w:rPr>
          <w:rFonts w:ascii="Times New Roman" w:cs="Times New Roman" w:eastAsia="Times New Roman" w:hAnsi="Times New Roman"/>
          <w:sz w:val="18"/>
          <w:szCs w:val="18"/>
          <w:color w:val="auto"/>
        </w:rPr>
        <w:t>. Our executives, directors, consultants, other service providers, and key employees are eligible to receive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2015 Plan. The 2015 Plan is administered by our board of directors or a committee appointed thereby, each of which may delegate its duties and responsibilities as it deems appropriate. The board of directors has the sole authority to select participants, grant awards to participants in such form and amounts as it shall determine, impose such limitations, restrictions and conditions upon such awards as it deems appropriate, interpret the 2015 Plan and adopt, amend, and rescind administrative guidelines and other rules and regulations relating to the 2015 Plan, correct any defect or omission or reconcile any inconsistency in the 2015 Plan or in any award granted hereunder, and make all other determinations and take all other actions necessary or advisable for the implementation and administration of the 2015 Plan.</w:t>
      </w:r>
    </w:p>
    <w:p>
      <w:pPr>
        <w:spacing w:after="0" w:line="182" w:lineRule="exact"/>
        <w:rPr>
          <w:sz w:val="20"/>
          <w:szCs w:val="20"/>
          <w:color w:val="auto"/>
        </w:rPr>
      </w:pPr>
    </w:p>
    <w:p>
      <w:pPr>
        <w:jc w:val="both"/>
        <w:ind w:left="180" w:right="100" w:firstLine="436"/>
        <w:spacing w:after="0" w:line="263"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The 2015 Plan provides for the grant of nonqualified stock options and restricted stock units and for the sale or grant of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award under the 2015 Plan is evidenced by a separate agreement between the Company and the participant, which details all terms and conditions of the awards, including any applicable vesting and payment terms and post-termination exercise limitations.</w:t>
      </w:r>
    </w:p>
    <w:p>
      <w:pPr>
        <w:spacing w:after="0" w:line="83" w:lineRule="exact"/>
        <w:rPr>
          <w:sz w:val="20"/>
          <w:szCs w:val="20"/>
          <w:color w:val="auto"/>
        </w:rPr>
      </w:pPr>
    </w:p>
    <w:p>
      <w:pPr>
        <w:ind w:left="1140" w:hanging="432"/>
        <w:spacing w:after="0" w:line="253"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Nonqualified Stock Options</w:t>
      </w:r>
      <w:r>
        <w:rPr>
          <w:rFonts w:ascii="Times New Roman" w:cs="Times New Roman" w:eastAsia="Times New Roman" w:hAnsi="Times New Roman"/>
          <w:sz w:val="18"/>
          <w:szCs w:val="18"/>
          <w:color w:val="auto"/>
        </w:rPr>
        <w:t>. Nonqualified stock options provide for the purchase of shares of our Class A common stock in the future at an exercise price set on the grant date. The exercise price of a stock option is fixed by the board of directors and may not be less than 100% of the fair market value of the underlying share on the date of grant. The term of a stock option is determined by our board of directors, but may not exceed ten years. Vesting conditions determined by the plan administrator may apply to stock options and may include the occurrence of certain events, the passage of a specified period of time, achievement by us of certain performance goals, and/or other fulfillment of certain conditions.</w:t>
      </w:r>
    </w:p>
    <w:p>
      <w:pPr>
        <w:spacing w:after="0" w:line="93" w:lineRule="exact"/>
        <w:rPr>
          <w:rFonts w:ascii="Times New Roman" w:cs="Times New Roman" w:eastAsia="Times New Roman" w:hAnsi="Times New Roman"/>
          <w:sz w:val="18"/>
          <w:szCs w:val="18"/>
          <w:color w:val="auto"/>
        </w:rPr>
      </w:pPr>
    </w:p>
    <w:p>
      <w:pPr>
        <w:ind w:left="1140" w:right="20" w:hanging="432"/>
        <w:spacing w:after="0" w:line="252"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Restricted stock units, or RSUs, are contractual promises to deliver shares of our Class A common stock (or the cash equivalent thereof) in the future, which may also remain forfeitable unless and until specified conditions are met, and may be accompanied by the right to receive the equivalent value of dividends paid on shares of our Class A common stock prior to the delivery of the underlying shares. Settlement of RSUs may be deferred under the terms of the award or at the election of the participant, if the plan administrator permits such a deferral. Vesting conditions determined by the plan administrator may be applicable to RSUs and may include the occurrence of certain events, the passage of a specified period of time, achievement by us of certain performance goals, and/or other fulfillment of certain conditions.</w:t>
      </w:r>
    </w:p>
    <w:p>
      <w:pPr>
        <w:spacing w:after="0" w:line="95" w:lineRule="exact"/>
        <w:rPr>
          <w:rFonts w:ascii="Times New Roman" w:cs="Times New Roman" w:eastAsia="Times New Roman" w:hAnsi="Times New Roman"/>
          <w:sz w:val="18"/>
          <w:szCs w:val="18"/>
          <w:color w:val="auto"/>
        </w:rPr>
      </w:pPr>
    </w:p>
    <w:p>
      <w:pPr>
        <w:ind w:left="1140" w:right="100" w:hanging="432"/>
        <w:spacing w:after="0" w:line="257"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Restricted stock is an award of nontransferable shares of our Class A common stock that remain forfeitable unless and until specified conditions are met, and which may be subject to a purchase price. The board may issue, sell, or grant to any participant shares of restricted stock at any time prior to the termination of the 2015 Plan in such quantity, at such price, on such terms, and subject to such conditions and restrictions that are established by the board of directors and consistent with the 2015 Plan.</w:t>
      </w:r>
    </w:p>
    <w:p>
      <w:pPr>
        <w:spacing w:after="0" w:line="115" w:lineRule="exact"/>
        <w:rPr>
          <w:rFonts w:ascii="Times New Roman" w:cs="Times New Roman" w:eastAsia="Times New Roman" w:hAnsi="Times New Roman"/>
          <w:sz w:val="18"/>
          <w:szCs w:val="18"/>
          <w:color w:val="auto"/>
        </w:rPr>
      </w:pPr>
    </w:p>
    <w:p>
      <w:pPr>
        <w:ind w:left="5500" w:hanging="113"/>
        <w:spacing w:after="0"/>
        <w:tabs>
          <w:tab w:leader="none" w:pos="55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161 -</w:t>
      </w:r>
    </w:p>
    <w:p>
      <w:pPr>
        <w:sectPr>
          <w:pgSz w:w="11900" w:h="16838" w:orient="portrait"/>
          <w:cols w:equalWidth="0" w:num="1">
            <w:col w:w="11060"/>
          </w:cols>
          <w:pgMar w:left="320" w:top="454" w:right="51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80" w:firstLine="436"/>
        <w:spacing w:after="0" w:line="251" w:lineRule="auto"/>
        <w:rPr>
          <w:sz w:val="20"/>
          <w:szCs w:val="20"/>
          <w:color w:val="auto"/>
        </w:rPr>
      </w:pPr>
      <w:r>
        <w:rPr>
          <w:rFonts w:ascii="Times New Roman" w:cs="Times New Roman" w:eastAsia="Times New Roman" w:hAnsi="Times New Roman"/>
          <w:sz w:val="18"/>
          <w:szCs w:val="18"/>
          <w:i w:val="1"/>
          <w:iCs w:val="1"/>
          <w:color w:val="auto"/>
        </w:rPr>
        <w:t>Certain Transactions</w:t>
      </w:r>
      <w:r>
        <w:rPr>
          <w:rFonts w:ascii="Times New Roman" w:cs="Times New Roman" w:eastAsia="Times New Roman" w:hAnsi="Times New Roman"/>
          <w:sz w:val="18"/>
          <w:szCs w:val="18"/>
          <w:color w:val="auto"/>
        </w:rPr>
        <w:t>. In the event of certain transactions and events affecting our Class A common stock, such as stock dividends, stock splits,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combination or other change in shares of our Class A common stock, the plan administrator shall make adjustments to the number, type of shares and exercise price (if applicable) of awards granted under the 2015 Plan, to prevent the dilution or enlargement of rights. In addition, in the event of a sale of the Company, except as otherwise provided in a participant’s award agreement, the board of directors may provide in its discretion that any unvested award shall be terminated without payment, any unvested award shall immediately vest causing the award to be immediately exercisable, or that any award (vested or unvested) shall be terminated in exchange for a cash payment in an amount determined by the board of directors, but not less than the fair market value per share of Class A common stock as of the sale date or, in the case of any option, not less than the product of the excess of fair market value per share as of the sale date over such option’s exercise price multiplied by the number of shares of Class A common stock issuable upon exercise of such option.</w:t>
      </w:r>
    </w:p>
    <w:p>
      <w:pPr>
        <w:spacing w:after="0" w:line="189" w:lineRule="exact"/>
        <w:rPr>
          <w:sz w:val="20"/>
          <w:szCs w:val="20"/>
          <w:color w:val="auto"/>
        </w:rPr>
      </w:pPr>
    </w:p>
    <w:p>
      <w:pPr>
        <w:ind w:left="180" w:right="2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Plan Amendment and Termination</w:t>
      </w:r>
      <w:r>
        <w:rPr>
          <w:rFonts w:ascii="Times New Roman" w:cs="Times New Roman" w:eastAsia="Times New Roman" w:hAnsi="Times New Roman"/>
          <w:sz w:val="18"/>
          <w:szCs w:val="18"/>
          <w:color w:val="auto"/>
        </w:rPr>
        <w:t>. Our board of directors may suspend or terminate the 2015 Plan or any portion thereof at any time and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 it from time to time in such respects as our board of directors may deem advisable, provided that no such amendment shall be made without stockholder approval to the extent such approval is required by law, agreement, or the rules of any exchange upon which the Class A common stock is listed. Further, no such amendment, suspension or termination shall materially impair the rights of participants under outstanding options without the consent of the affected participants and, excepting the circumstances discussed herein, no such amendment shall increase the number of securities that may be issued by the 2015 Plan without the approval of the holders of at least 80% of the preferred stock of the Company. As described above, the 2015 Plan will terminate as of the effective date of the 2020 Incentive Award Plan.</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2020 Incentive Award Plan</w:t>
      </w:r>
    </w:p>
    <w:p>
      <w:pPr>
        <w:spacing w:after="0" w:line="118" w:lineRule="exact"/>
        <w:rPr>
          <w:sz w:val="20"/>
          <w:szCs w:val="20"/>
          <w:color w:val="auto"/>
        </w:rPr>
      </w:pPr>
    </w:p>
    <w:p>
      <w:pPr>
        <w:jc w:val="both"/>
        <w:ind w:left="180" w:right="60" w:firstLine="436"/>
        <w:spacing w:after="0" w:line="262" w:lineRule="auto"/>
        <w:rPr>
          <w:sz w:val="20"/>
          <w:szCs w:val="20"/>
          <w:color w:val="auto"/>
        </w:rPr>
      </w:pPr>
      <w:r>
        <w:rPr>
          <w:rFonts w:ascii="Times New Roman" w:cs="Times New Roman" w:eastAsia="Times New Roman" w:hAnsi="Times New Roman"/>
          <w:sz w:val="18"/>
          <w:szCs w:val="18"/>
          <w:color w:val="auto"/>
        </w:rPr>
        <w:t>In connection with this offering, our board of directors adopted, and our stockholders approved, the 2020 Incentive Award Plan, or the 2020 Plan, under which we may grant cash and equity incentive awards to eligible service providers in order to attract, motivate and retain the talent for which we compete. The material terms of the 2020 Plan are summarized below.</w:t>
      </w:r>
    </w:p>
    <w:p>
      <w:pPr>
        <w:spacing w:after="0" w:line="173" w:lineRule="exact"/>
        <w:rPr>
          <w:sz w:val="20"/>
          <w:szCs w:val="20"/>
          <w:color w:val="auto"/>
        </w:rPr>
      </w:pPr>
    </w:p>
    <w:p>
      <w:pPr>
        <w:ind w:left="180" w:firstLine="436"/>
        <w:spacing w:after="0" w:line="252" w:lineRule="auto"/>
        <w:rPr>
          <w:sz w:val="20"/>
          <w:szCs w:val="20"/>
          <w:color w:val="auto"/>
        </w:rPr>
      </w:pPr>
      <w:r>
        <w:rPr>
          <w:rFonts w:ascii="Times New Roman" w:cs="Times New Roman" w:eastAsia="Times New Roman" w:hAnsi="Times New Roman"/>
          <w:sz w:val="18"/>
          <w:szCs w:val="18"/>
          <w:i w:val="1"/>
          <w:iCs w:val="1"/>
          <w:color w:val="auto"/>
        </w:rPr>
        <w:t>Eligibility and Administration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employees, consultants and directors, and employees, consultants and directors of our subsidiaries,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to receive awards under the 2020 Plan. Following this offering, the 2020 Plan will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Section 16 of the Securities Exchange Act of 1934, as amended, or the Exchange Act, and/or stock exchange rules, as applicable. The plan administrator will have the authority to make all determinations and interpretations under, prescribe all forms for use with, and adopt rules for the administration of, the 2020 Plan, subject to its express terms and conditions. The plan administrator will also set the terms and conditions of all awards under the 2020 Plan, including any vesting and vesting acceleration conditions.</w:t>
      </w:r>
    </w:p>
    <w:p>
      <w:pPr>
        <w:spacing w:after="0" w:line="185" w:lineRule="exact"/>
        <w:rPr>
          <w:sz w:val="20"/>
          <w:szCs w:val="20"/>
          <w:color w:val="auto"/>
        </w:rPr>
      </w:pPr>
    </w:p>
    <w:p>
      <w:pPr>
        <w:ind w:left="180" w:firstLine="436"/>
        <w:spacing w:after="0" w:line="251" w:lineRule="auto"/>
        <w:rPr>
          <w:sz w:val="20"/>
          <w:szCs w:val="20"/>
          <w:color w:val="auto"/>
        </w:rPr>
      </w:pPr>
      <w:r>
        <w:rPr>
          <w:rFonts w:ascii="Times New Roman" w:cs="Times New Roman" w:eastAsia="Times New Roman" w:hAnsi="Times New Roman"/>
          <w:sz w:val="18"/>
          <w:szCs w:val="18"/>
          <w:i w:val="1"/>
          <w:iCs w:val="1"/>
          <w:color w:val="auto"/>
        </w:rPr>
        <w:t>Limitation on Awards and Shares Available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adjustment described in the following sentence, an aggregate of 35,000,000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Class A and Class B common stock are available for issuance under awards granted pursuant to the 2020 Plan, which shares may be authorized but unissued shares, treasury shares or shares purchased in the open market. This initial share reserve may be adjusted upwards to a number of shares of common stock equal to 8% of the number of shares of our outstanding Class A common stock and Class B common stock upon completion of this offering, which we expect will be equal to 32,845,680 shares of common stock, excluding any shares that may be issued by us upon exercise of the underwriters’ over-allotment option, on a fully diluted basis (i.e., including shares underlying equity awards, other than the Founders Awards). In addition, a number of shares equal to the shares underlying the Founders Awards (24,633,066 shares) will be added to the aggregate share limit under the 2020 Plan. Shares may be issued under the 2020 Plan as either Class A Class B common stock. Notwithstanding anything to the contrary in the 2020 Plan, no more than 300,000,000 shares of our common stock (either Class A or Class B common stock) may be issued pursuant to the exercise of incentive stock options under the 2020 Plan.</w:t>
      </w:r>
    </w:p>
    <w:p>
      <w:pPr>
        <w:spacing w:after="0" w:line="1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40"/>
          </w:cols>
          <w:pgMar w:left="320" w:top="454" w:right="53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80" w:firstLine="436"/>
        <w:spacing w:after="0" w:line="252" w:lineRule="auto"/>
        <w:rPr>
          <w:sz w:val="20"/>
          <w:szCs w:val="20"/>
          <w:color w:val="auto"/>
        </w:rPr>
      </w:pPr>
      <w:r>
        <w:rPr>
          <w:rFonts w:ascii="Times New Roman" w:cs="Times New Roman" w:eastAsia="Times New Roman" w:hAnsi="Times New Roman"/>
          <w:sz w:val="18"/>
          <w:szCs w:val="18"/>
          <w:color w:val="auto"/>
        </w:rPr>
        <w:t>The number of shares available for issuance will be increased by (i) the number of shares available under the 2015 Plan and the number of shares represented by awards outstanding under our 2015 Plan that expire, lapse or are terminated, exchanged for or settled in cash, surrendered, repurchased, cancelled without having been fully experienced or forfeited following the effective date of the 2020 Plan, with the maximum number of shares to be added to the 2020 Plan equal to 24,362,562 shares, and (ii) an annual increase on the first day of each calendar year beginning January 1, 2021 and ending on and including January 1, 2030, equal to the lessor of (A) 5% of the aggregate number of shares of Class A and Class B common stock outstanding on the final day of the immediately preceding calendar year and (B) such smaller number of shares as is determined by our board of directors.</w:t>
      </w:r>
    </w:p>
    <w:p>
      <w:pPr>
        <w:spacing w:after="0" w:line="189" w:lineRule="exact"/>
        <w:rPr>
          <w:sz w:val="20"/>
          <w:szCs w:val="20"/>
          <w:color w:val="auto"/>
        </w:rPr>
      </w:pPr>
    </w:p>
    <w:p>
      <w:pPr>
        <w:ind w:left="180" w:right="80" w:firstLine="436"/>
        <w:spacing w:after="0" w:line="251" w:lineRule="auto"/>
        <w:rPr>
          <w:sz w:val="20"/>
          <w:szCs w:val="20"/>
          <w:color w:val="auto"/>
        </w:rPr>
      </w:pPr>
      <w:r>
        <w:rPr>
          <w:rFonts w:ascii="Times New Roman" w:cs="Times New Roman" w:eastAsia="Times New Roman" w:hAnsi="Times New Roman"/>
          <w:sz w:val="18"/>
          <w:szCs w:val="18"/>
          <w:color w:val="auto"/>
        </w:rPr>
        <w:t>If an award under the 2020 Plan expires, lapses or is terminated, exchanged for or settled for cash, surrendered, repurchased, cancelled without having been fully exercised or forfeited, any shares subject to such award may, to the extent of such forfeiture, expiration or cash settlement, be used again for new grants under the 2020 Plan. Further, shares delivered to us to satisfy the applicable exercise or purchase price of an award under the 2020 Plan or the 2015 Plan and/or to satisfy any applicable tax withholding obligations (including shares retained by us from the award under the 2020 Plan or the 2015 Plan being exercised or purchased and/or creating the tax obligation) will become or again be available for award grants under the 2020 Plan. The payment of dividend equivalents in cash in conjunction with any awards under the 2020 Plan will not reduce the shares available for grant under the 2020 Plan. However, the following shares may not be used again for grant under the 2020 Plan: (i) shares subject to stock appreciation rights, or SARs, that are not issued in connection with the stock settlement of the SAR on exercise, and (ii) shares purchased on the open market with the cash proceeds from the exercise of options.</w:t>
      </w:r>
    </w:p>
    <w:p>
      <w:pPr>
        <w:spacing w:after="0" w:line="189" w:lineRule="exact"/>
        <w:rPr>
          <w:sz w:val="20"/>
          <w:szCs w:val="20"/>
          <w:color w:val="auto"/>
        </w:rPr>
      </w:pPr>
    </w:p>
    <w:p>
      <w:pPr>
        <w:ind w:left="180" w:right="160" w:firstLine="436"/>
        <w:spacing w:after="0" w:line="253" w:lineRule="auto"/>
        <w:rPr>
          <w:sz w:val="20"/>
          <w:szCs w:val="20"/>
          <w:color w:val="auto"/>
        </w:rPr>
      </w:pPr>
      <w:r>
        <w:rPr>
          <w:rFonts w:ascii="Times New Roman" w:cs="Times New Roman" w:eastAsia="Times New Roman" w:hAnsi="Times New Roman"/>
          <w:sz w:val="18"/>
          <w:szCs w:val="18"/>
          <w:color w:val="auto"/>
        </w:rPr>
        <w:t>Awards granted under the 2020 Plan upon the assumption of, or in substitution for, awards authorized or outstanding under a qualifying equity plan maintained by an entity with which we enter into a merger or similar corporate transaction will not reduce the shares available for grant under the 2020 Plan. The 2020 Plan provides that, commencing with the calendar year following the calendar year in which the effective date of the 2020 Plan occurs, the sum of any cash compensation and the aggregate grant date fair value (determined as of the date of the grant under ASC Topic 718, or any successor thereto) of all awards granted to a non-employee director as compensation for services as a non-employee director during any calendar year may not exceed the amount equal to $750,000.</w:t>
      </w:r>
    </w:p>
    <w:p>
      <w:pPr>
        <w:spacing w:after="0" w:line="185"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Awards. </w:t>
      </w:r>
      <w:r>
        <w:rPr>
          <w:rFonts w:ascii="Times New Roman" w:cs="Times New Roman" w:eastAsia="Times New Roman" w:hAnsi="Times New Roman"/>
          <w:sz w:val="18"/>
          <w:szCs w:val="18"/>
          <w:color w:val="auto"/>
        </w:rPr>
        <w:t>The 2020 Plan provides for the grant of stock options, including incentive stock options, or ISOs, and nonqualified stock options,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NSOs, restricted stock, dividend equivalents, stock payments, restricted stock units, or RSUs, performance shares, other incentive awards, stock appreciation rights, or SARs, and cash awards. Certain awards under the 2020 Plan may constitute or provide for a deferral of compensation, subject to Section 409A of the Code, which may impose additional requirements on the terms and conditions of such awards. All awards under the 2020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91" w:lineRule="exact"/>
        <w:rPr>
          <w:sz w:val="20"/>
          <w:szCs w:val="20"/>
          <w:color w:val="auto"/>
        </w:rPr>
      </w:pPr>
    </w:p>
    <w:p>
      <w:pPr>
        <w:ind w:left="1140" w:right="60" w:hanging="432"/>
        <w:spacing w:after="0" w:line="251" w:lineRule="auto"/>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Stock options provide for the purchase of shares of our common stock in the future at an exercise price set on the grant date.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individuals then owning more than 10% of the total combined voting power of all classes of our common stock), except with respect to certain substitute options granted in connection with a corporate transaction. The term of a stock option may not be longer than ten years (or five years in the case of ISOs granted to individuals then owning more than 10% of the total combined voting power of all classes of our common stock). Vesting conditions determined by the plan administrator may apply to stock options and may include continued service, performance and/or other conditions.</w:t>
      </w:r>
    </w:p>
    <w:p>
      <w:pPr>
        <w:spacing w:after="0" w:line="93" w:lineRule="exact"/>
        <w:rPr>
          <w:rFonts w:ascii="Times New Roman" w:cs="Times New Roman" w:eastAsia="Times New Roman" w:hAnsi="Times New Roman"/>
          <w:sz w:val="18"/>
          <w:szCs w:val="18"/>
          <w:color w:val="auto"/>
        </w:rPr>
      </w:pPr>
    </w:p>
    <w:p>
      <w:pPr>
        <w:ind w:left="1140" w:right="180" w:hanging="432"/>
        <w:spacing w:after="0" w:line="279" w:lineRule="auto"/>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SARs entitle their holder, upon exercise, to receive from us an amount equal to the appreciation of the shares subject to the award between the grant date and the exercise date. The exercise price of a</w:t>
      </w:r>
    </w:p>
    <w:p>
      <w:pPr>
        <w:spacing w:after="0" w:line="95" w:lineRule="exact"/>
        <w:rPr>
          <w:rFonts w:ascii="Times New Roman" w:cs="Times New Roman" w:eastAsia="Times New Roman" w:hAnsi="Times New Roman"/>
          <w:sz w:val="18"/>
          <w:szCs w:val="18"/>
          <w:color w:val="auto"/>
        </w:rPr>
      </w:pPr>
    </w:p>
    <w:p>
      <w:pPr>
        <w:ind w:left="5500" w:hanging="113"/>
        <w:spacing w:after="0"/>
        <w:tabs>
          <w:tab w:leader="none" w:pos="55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163 -</w:t>
      </w:r>
    </w:p>
    <w:p>
      <w:pPr>
        <w:sectPr>
          <w:pgSz w:w="11900" w:h="16838" w:orient="portrait"/>
          <w:cols w:equalWidth="0" w:num="1">
            <w:col w:w="11040"/>
          </w:cols>
          <w:pgMar w:left="320" w:top="454" w:right="5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140" w:right="440"/>
        <w:spacing w:after="0" w:line="257" w:lineRule="auto"/>
        <w:rPr>
          <w:sz w:val="20"/>
          <w:szCs w:val="20"/>
          <w:color w:val="auto"/>
        </w:rPr>
      </w:pPr>
      <w:r>
        <w:rPr>
          <w:rFonts w:ascii="Times New Roman" w:cs="Times New Roman" w:eastAsia="Times New Roman" w:hAnsi="Times New Roman"/>
          <w:sz w:val="18"/>
          <w:szCs w:val="18"/>
          <w:color w:val="auto"/>
        </w:rPr>
        <w:t>SAR may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89" w:lineRule="exact"/>
        <w:rPr>
          <w:sz w:val="20"/>
          <w:szCs w:val="20"/>
          <w:color w:val="auto"/>
        </w:rPr>
      </w:pPr>
    </w:p>
    <w:p>
      <w:pPr>
        <w:ind w:left="1140" w:right="60" w:hanging="432"/>
        <w:spacing w:after="0" w:line="252" w:lineRule="auto"/>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and RSUs</w:t>
      </w:r>
      <w:r>
        <w:rPr>
          <w:rFonts w:ascii="Times New Roman" w:cs="Times New Roman" w:eastAsia="Times New Roman" w:hAnsi="Times New Roman"/>
          <w:sz w:val="18"/>
          <w:szCs w:val="18"/>
          <w:color w:val="auto"/>
        </w:rPr>
        <w:t>. Restricted stock is an award of nontransferable shares of our common stock that remain forfeitable unless and until specified conditions are met, and which may be subject to a purchase price. RSUs are contractual promises to deliver shares of our common stock in the future, which may also remain forfeitable unless and until specified conditions are met, and may be accompanied by the right to receive the equivalent value of dividends paid on shares of our common stock prior to the delivery of the underlying shares. Settlement of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w:t>
      </w:r>
    </w:p>
    <w:p>
      <w:pPr>
        <w:spacing w:after="0" w:line="95" w:lineRule="exact"/>
        <w:rPr>
          <w:rFonts w:ascii="Times New Roman" w:cs="Times New Roman" w:eastAsia="Times New Roman" w:hAnsi="Times New Roman"/>
          <w:sz w:val="18"/>
          <w:szCs w:val="18"/>
          <w:color w:val="auto"/>
        </w:rPr>
      </w:pPr>
    </w:p>
    <w:p>
      <w:pPr>
        <w:ind w:left="1140" w:right="140" w:hanging="432"/>
        <w:spacing w:after="0" w:line="255" w:lineRule="auto"/>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Stock or Cash Based Awards</w:t>
      </w:r>
      <w:r>
        <w:rPr>
          <w:rFonts w:ascii="Times New Roman" w:cs="Times New Roman" w:eastAsia="Times New Roman" w:hAnsi="Times New Roman"/>
          <w:sz w:val="18"/>
          <w:szCs w:val="18"/>
          <w:color w:val="auto"/>
        </w:rPr>
        <w:t>. Other stock or cash based awards of cash, fully vested shares of our common stock and other awards valued wholly or partially by referring to, or otherwise based on, shares of our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w:t>
      </w:r>
    </w:p>
    <w:p>
      <w:pPr>
        <w:spacing w:after="0" w:line="89" w:lineRule="exact"/>
        <w:rPr>
          <w:rFonts w:ascii="Times New Roman" w:cs="Times New Roman" w:eastAsia="Times New Roman" w:hAnsi="Times New Roman"/>
          <w:sz w:val="18"/>
          <w:szCs w:val="18"/>
          <w:color w:val="auto"/>
        </w:rPr>
      </w:pPr>
    </w:p>
    <w:p>
      <w:pPr>
        <w:ind w:left="1140" w:right="60" w:hanging="432"/>
        <w:spacing w:after="0" w:line="257" w:lineRule="auto"/>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Dividend equivalents represent the right to receive the equivalent value of dividends paid on shares of our common stock and 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w:t>
      </w:r>
    </w:p>
    <w:p>
      <w:pPr>
        <w:spacing w:after="0" w:line="180" w:lineRule="exact"/>
        <w:rPr>
          <w:sz w:val="20"/>
          <w:szCs w:val="20"/>
          <w:color w:val="auto"/>
        </w:rPr>
      </w:pPr>
    </w:p>
    <w:p>
      <w:pPr>
        <w:ind w:left="180" w:right="60" w:firstLine="436"/>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Performance Awards. </w:t>
      </w:r>
      <w:r>
        <w:rPr>
          <w:rFonts w:ascii="Times New Roman" w:cs="Times New Roman" w:eastAsia="Times New Roman" w:hAnsi="Times New Roman"/>
          <w:sz w:val="17"/>
          <w:szCs w:val="17"/>
          <w:color w:val="auto"/>
        </w:rPr>
        <w:t>Performance awards include any of the foregoing awards that are granted subject to vesting and/or payment based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attainment of specified performance goals or other criteria the plan administrator may determine, which may or may not be objectively determinable. Performance criteria upon which performance goals are established by the plan administrator may include but are not limited to: (1) net earnings (either before or after one or more of the following: (a) interest, (b) taxes, (c) depreciation, (d) amortization and (e) non-cash equity-based compensation expense); (2) gross or net sales or revenue; (3) net income (either before or after taxes); (4) adjusted net income; (5) operating earnings or profit;</w:t>
      </w:r>
    </w:p>
    <w:p>
      <w:pPr>
        <w:spacing w:after="0" w:line="2" w:lineRule="exact"/>
        <w:rPr>
          <w:sz w:val="20"/>
          <w:szCs w:val="20"/>
          <w:color w:val="auto"/>
        </w:rPr>
      </w:pPr>
    </w:p>
    <w:p>
      <w:pPr>
        <w:ind w:left="180" w:right="180" w:hanging="6"/>
        <w:spacing w:after="0" w:line="262" w:lineRule="auto"/>
        <w:tabs>
          <w:tab w:leader="none" w:pos="432"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flow (including, but not limited to, operating cash flow and free cash flow); (7) return on assets; (8) return on capital; (9) return on stockholders’ equity; (10) total stockholder return; (11) return on sales; (12) gross or net profit or operating margin; (13) costs; (14) funds from operations; (15) expenses; (16) working capital; (17) earnings per share; (18) adjusted earnings per share; (19) price per share of our Class A common stock; (20) regulatory achievements or compliance; (21) implementation or completion of critical projects; (22) market share; (23) economic value;</w:t>
      </w:r>
    </w:p>
    <w:p>
      <w:pPr>
        <w:spacing w:after="0" w:line="1" w:lineRule="exact"/>
        <w:rPr>
          <w:rFonts w:ascii="Times New Roman" w:cs="Times New Roman" w:eastAsia="Times New Roman" w:hAnsi="Times New Roman"/>
          <w:sz w:val="17"/>
          <w:szCs w:val="17"/>
          <w:color w:val="auto"/>
        </w:rPr>
      </w:pPr>
    </w:p>
    <w:p>
      <w:pPr>
        <w:ind w:left="520" w:hanging="346"/>
        <w:spacing w:after="0"/>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levels or reduction; (25) sales-related goals; (26) comparisons with other stock market indices; (27) operating efficiency; (28) employee</w:t>
      </w:r>
    </w:p>
    <w:p>
      <w:pPr>
        <w:spacing w:after="0" w:line="6" w:lineRule="exact"/>
        <w:rPr>
          <w:rFonts w:ascii="Times New Roman" w:cs="Times New Roman" w:eastAsia="Times New Roman" w:hAnsi="Times New Roman"/>
          <w:sz w:val="18"/>
          <w:szCs w:val="18"/>
          <w:color w:val="auto"/>
        </w:rPr>
      </w:pPr>
    </w:p>
    <w:p>
      <w:pPr>
        <w:ind w:left="1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satisfaction; (29) financing and other capital raising transactions; (30) recruiting and maintaining personnel; and (31) year-end cash, any of which may be measured either in absolute terms for us or any operating unit of our company or as compared to any incremental increase or decrease or as compared to results of a peer group or to market performance indicators or indices.</w:t>
      </w:r>
    </w:p>
    <w:p>
      <w:pPr>
        <w:spacing w:after="0" w:line="185" w:lineRule="exact"/>
        <w:rPr>
          <w:sz w:val="20"/>
          <w:szCs w:val="20"/>
          <w:color w:val="auto"/>
        </w:rPr>
      </w:pPr>
    </w:p>
    <w:p>
      <w:pPr>
        <w:ind w:left="180" w:right="8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Certain Transactions. </w:t>
      </w:r>
      <w:r>
        <w:rPr>
          <w:rFonts w:ascii="Times New Roman" w:cs="Times New Roman" w:eastAsia="Times New Roman" w:hAnsi="Times New Roman"/>
          <w:sz w:val="18"/>
          <w:szCs w:val="18"/>
          <w:color w:val="auto"/>
        </w:rPr>
        <w:t>The plan administrator has broad discretion to take action under the 2020 Plan, as well as make adjustments to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40"/>
          </w:cols>
          <w:pgMar w:left="320" w:top="454" w:right="5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20"/>
        <w:spacing w:after="0" w:line="255" w:lineRule="auto"/>
        <w:rPr>
          <w:sz w:val="20"/>
          <w:szCs w:val="20"/>
          <w:color w:val="auto"/>
        </w:rPr>
      </w:pPr>
      <w:r>
        <w:rPr>
          <w:rFonts w:ascii="Times New Roman" w:cs="Times New Roman" w:eastAsia="Times New Roman" w:hAnsi="Times New Roman"/>
          <w:sz w:val="18"/>
          <w:szCs w:val="18"/>
          <w:color w:val="auto"/>
        </w:rPr>
        <w:t>to the 2020 Plan and outstanding awards. In the event of a change in control of our company (as defined in the 2020 Plan), to the extent that the surviving entity declines to continue, convert, assume or replace outstanding awards, then all such awards will become fully vested and exercisable in connection with the transaction. Upon or in anticipation of a change of control, the plan administrator may cause any outstanding awards to terminate at a specified time in the future and give the participant the right to exercise such awards during a period of time determined by the plan administrator in its sole discretion. Individual award agreements may provide for additional accelerated vesting and payment provisions.</w:t>
      </w:r>
    </w:p>
    <w:p>
      <w:pPr>
        <w:spacing w:after="0" w:line="181" w:lineRule="exact"/>
        <w:rPr>
          <w:sz w:val="20"/>
          <w:szCs w:val="20"/>
          <w:color w:val="auto"/>
        </w:rPr>
      </w:pPr>
    </w:p>
    <w:p>
      <w:pPr>
        <w:ind w:left="180" w:right="60" w:firstLine="436"/>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Foreign Participants, Claw-Back Provisions, Transferability, and Participant Payments. </w:t>
      </w:r>
      <w:r>
        <w:rPr>
          <w:rFonts w:ascii="Times New Roman" w:cs="Times New Roman" w:eastAsia="Times New Roman" w:hAnsi="Times New Roman"/>
          <w:sz w:val="17"/>
          <w:szCs w:val="17"/>
          <w:color w:val="auto"/>
        </w:rPr>
        <w:t>The plan administrator may modify award terms,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our company to the extent set forth in such claw-back policy and/or in the applicable award agreement. With limited exceptions for estate planning, domestic relations orders, certain beneficiary designations and the laws of descent and distribution, awards under the 2020 Plan are generally non-transferable prior to vesting, and are exercisable only by the participant. With regard to tax withholding, exercise price and purchase price obligations arising in connection with awards under the 2020 Plan, the plan administrator may, in its discretion, accept cash or check, shares of our common stock that meet specified conditions, a “market sell order” or such other consideration as it deems suitable.</w:t>
      </w:r>
    </w:p>
    <w:p>
      <w:pPr>
        <w:spacing w:after="0" w:line="171" w:lineRule="exact"/>
        <w:rPr>
          <w:sz w:val="20"/>
          <w:szCs w:val="20"/>
          <w:color w:val="auto"/>
        </w:rPr>
      </w:pPr>
    </w:p>
    <w:p>
      <w:pPr>
        <w:ind w:left="180" w:right="2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Plan Amendment and Termination. </w:t>
      </w:r>
      <w:r>
        <w:rPr>
          <w:rFonts w:ascii="Times New Roman" w:cs="Times New Roman" w:eastAsia="Times New Roman" w:hAnsi="Times New Roman"/>
          <w:sz w:val="18"/>
          <w:szCs w:val="18"/>
          <w:color w:val="auto"/>
        </w:rPr>
        <w:t>Our board of directors may amend or terminate the 2020 Plan at any time; however, except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changes in our capital structure, stockholder approval will be required for any amendment that increases the number of shares available under the 2020 Plan. Stockholder approval is not required for any amendment that “reprices” any stock option or SAR, or cancels any stock option or SAR in exchange for cash or another award when the option or SAR price per share exceeds the fair market value of the underlying shares. No award may be granted pursuant to the 2020 Plan after the tenth anniversary of the earlier of the date on which our stockholders approved the 2020 Plan or the date on which our board of directors adopted the 2020 Plan.</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connection with the offering, our board of directors adopted, and our stockholders approved, the 2020 Employee Stock Purchase Plan, or ESPP.</w:t>
      </w: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material terms of the ESPP are summarized below.</w:t>
      </w:r>
    </w:p>
    <w:p>
      <w:pPr>
        <w:spacing w:after="0" w:line="200" w:lineRule="exact"/>
        <w:rPr>
          <w:sz w:val="20"/>
          <w:szCs w:val="20"/>
          <w:color w:val="auto"/>
        </w:rPr>
      </w:pPr>
    </w:p>
    <w:p>
      <w:pPr>
        <w:ind w:left="180" w:right="120" w:firstLine="436"/>
        <w:spacing w:after="0" w:line="274" w:lineRule="auto"/>
        <w:rPr>
          <w:sz w:val="20"/>
          <w:szCs w:val="20"/>
          <w:color w:val="auto"/>
        </w:rPr>
      </w:pPr>
      <w:r>
        <w:rPr>
          <w:rFonts w:ascii="Times New Roman" w:cs="Times New Roman" w:eastAsia="Times New Roman" w:hAnsi="Times New Roman"/>
          <w:sz w:val="17"/>
          <w:szCs w:val="17"/>
          <w:i w:val="1"/>
          <w:iCs w:val="1"/>
          <w:color w:val="auto"/>
        </w:rPr>
        <w:t>Shares Available; Administration</w:t>
      </w:r>
      <w:r>
        <w:rPr>
          <w:rFonts w:ascii="Times New Roman" w:cs="Times New Roman" w:eastAsia="Times New Roman" w:hAnsi="Times New Roman"/>
          <w:sz w:val="17"/>
          <w:szCs w:val="17"/>
          <w:color w:val="auto"/>
        </w:rPr>
        <w:t>. We expect a total of 9,000,000 shares of our Class A common stock to be initially reserved for issuance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ESPP. In addition, we expect that the number of shares available for issuance under the ESPP will be annually increased on January 1 of each calendar year beginning in 2021 and ending in 2030, by an amount equal to the lesser of: (i) 1% of the aggregate number of shares of Class A and Class B common stock outstanding on the final day of the immediately preceding calendar year and (ii) such smaller number of shares as is determined by our board of directors. In no event will more than 100,000,000 shares of our Class A common stock be available for issuance under the ESPP.</w:t>
      </w:r>
    </w:p>
    <w:p>
      <w:pPr>
        <w:spacing w:after="0" w:line="169" w:lineRule="exact"/>
        <w:rPr>
          <w:sz w:val="20"/>
          <w:szCs w:val="20"/>
          <w:color w:val="auto"/>
        </w:rPr>
      </w:pPr>
    </w:p>
    <w:p>
      <w:pPr>
        <w:ind w:left="180" w:right="260" w:firstLine="436"/>
        <w:spacing w:after="0" w:line="277" w:lineRule="auto"/>
        <w:rPr>
          <w:sz w:val="20"/>
          <w:szCs w:val="20"/>
          <w:color w:val="auto"/>
        </w:rPr>
      </w:pPr>
      <w:r>
        <w:rPr>
          <w:rFonts w:ascii="Times New Roman" w:cs="Times New Roman" w:eastAsia="Times New Roman" w:hAnsi="Times New Roman"/>
          <w:sz w:val="18"/>
          <w:szCs w:val="18"/>
          <w:color w:val="auto"/>
        </w:rPr>
        <w:t>Our board of directors or a committee designated by our board of directors will have authority to interpret the terms of the ESPP and determine eligibility of participants. The compensation committee will be the administrator of the ESPP.</w:t>
      </w:r>
    </w:p>
    <w:p>
      <w:pPr>
        <w:spacing w:after="0" w:line="161" w:lineRule="exact"/>
        <w:rPr>
          <w:sz w:val="20"/>
          <w:szCs w:val="20"/>
          <w:color w:val="auto"/>
        </w:rPr>
      </w:pPr>
    </w:p>
    <w:p>
      <w:pPr>
        <w:ind w:left="18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The plan administrator may designate certain of our subsidiaries as participating “designated subsidiaries” in the ESPP and may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designations from time to time. Employees of our company and our designated subsidiaries are eligible to participate in the ESPP if they meet the eligibility requirements under the ESPP established from time to time by the plan administrator. However, an employee may not be granted rights to purchase stock under the ESPP if such employee, immediately after the grant, would own (directly or through attribution) stock possessing 5% or more of the total combined voting power or value of all classes of our common or other class of stock.</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80"/>
          </w:cols>
          <w:pgMar w:left="320" w:top="454" w:right="49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160" w:firstLine="436"/>
        <w:spacing w:after="0" w:line="257" w:lineRule="auto"/>
        <w:rPr>
          <w:sz w:val="20"/>
          <w:szCs w:val="20"/>
          <w:color w:val="auto"/>
        </w:rPr>
      </w:pPr>
      <w:r>
        <w:rPr>
          <w:rFonts w:ascii="Times New Roman" w:cs="Times New Roman" w:eastAsia="Times New Roman" w:hAnsi="Times New Roman"/>
          <w:sz w:val="18"/>
          <w:szCs w:val="18"/>
          <w:color w:val="auto"/>
        </w:rPr>
        <w:t>If the grant of a purchase right under the ESPP to any eligible employee who is a citizen or resident of a foreign jurisdiction would be prohibited under the laws of such foreign jurisdiction or the grant of a purchase right to such employee in compliance with the laws of such foreign jurisdiction would cause the ESPP to violate the requirements of Section 423 of the Code, as determined by the plan administrator in its sole discretion, such employee will not be permitted to participate in the ESPP.</w:t>
      </w:r>
    </w:p>
    <w:p>
      <w:pPr>
        <w:spacing w:after="0" w:line="182" w:lineRule="exact"/>
        <w:rPr>
          <w:sz w:val="20"/>
          <w:szCs w:val="20"/>
          <w:color w:val="auto"/>
        </w:rPr>
      </w:pPr>
    </w:p>
    <w:p>
      <w:pPr>
        <w:ind w:left="180" w:right="100" w:firstLine="436"/>
        <w:spacing w:after="0" w:line="257" w:lineRule="auto"/>
        <w:rPr>
          <w:sz w:val="20"/>
          <w:szCs w:val="20"/>
          <w:color w:val="auto"/>
        </w:rPr>
      </w:pPr>
      <w:r>
        <w:rPr>
          <w:rFonts w:ascii="Times New Roman" w:cs="Times New Roman" w:eastAsia="Times New Roman" w:hAnsi="Times New Roman"/>
          <w:sz w:val="18"/>
          <w:szCs w:val="18"/>
          <w:color w:val="auto"/>
        </w:rPr>
        <w:t>Eligible employees become participants in the ESPP by enrolling and authorizing payroll deductions by the deadline established by the plan administrator prior to the relevant offering date. Directors who are not employees, as well as consultants, are not eligible to participate. Employees who choose to not participate, or are not eligible to participate at the start of an offering period but who become eligible thereafter, may enroll in any subsequent offering period.</w:t>
      </w:r>
    </w:p>
    <w:p>
      <w:pPr>
        <w:spacing w:after="0" w:line="180" w:lineRule="exact"/>
        <w:rPr>
          <w:sz w:val="20"/>
          <w:szCs w:val="20"/>
          <w:color w:val="auto"/>
        </w:rPr>
      </w:pPr>
    </w:p>
    <w:p>
      <w:pPr>
        <w:ind w:left="180" w:right="16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Participation in an Offering</w:t>
      </w:r>
      <w:r>
        <w:rPr>
          <w:rFonts w:ascii="Times New Roman" w:cs="Times New Roman" w:eastAsia="Times New Roman" w:hAnsi="Times New Roman"/>
          <w:sz w:val="18"/>
          <w:szCs w:val="18"/>
          <w:color w:val="auto"/>
        </w:rPr>
        <w:t>. We intend for the ESPP to qualify under Section 423 of the Code and stock will be offered under the ESPP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periods. The length of offering periods under the ESPP will be determined by the plan administrator and may be up to 27 months long. Employee payroll deductions will be used to purchase shares on each purchase date during an offering period. The number of purchase periods within, and purchase dates during, each offering period will be established by the plan administrator. Offering periods under the ESPP will commence when determined by the plan administrator. The plan administrator may, in its discretion, modify the terms of future offering periods.</w:t>
      </w:r>
    </w:p>
    <w:p>
      <w:pPr>
        <w:spacing w:after="0" w:line="185" w:lineRule="exact"/>
        <w:rPr>
          <w:sz w:val="20"/>
          <w:szCs w:val="20"/>
          <w:color w:val="auto"/>
        </w:rPr>
      </w:pPr>
    </w:p>
    <w:p>
      <w:pPr>
        <w:ind w:left="180" w:right="40" w:firstLine="436"/>
        <w:spacing w:after="0" w:line="252" w:lineRule="auto"/>
        <w:rPr>
          <w:sz w:val="20"/>
          <w:szCs w:val="20"/>
          <w:color w:val="auto"/>
        </w:rPr>
      </w:pPr>
      <w:r>
        <w:rPr>
          <w:rFonts w:ascii="Times New Roman" w:cs="Times New Roman" w:eastAsia="Times New Roman" w:hAnsi="Times New Roman"/>
          <w:sz w:val="18"/>
          <w:szCs w:val="18"/>
          <w:color w:val="auto"/>
        </w:rPr>
        <w:t>The ESPP will permit participants to purchase our Class A common stock through payroll deductions of up to 15% of their eligible compensation, unless otherwise determined by the plan administrator, which will include a participant’s gross base compensation for services to us, including overtime payments, periodic bonuses, and sales commissions, and excluding one-time bonuses, expense reimbursements, fringe benefits and other special payments. The plan administrator will establish a maximum number of shares that may be purchased by a participant during any offering period or purchase period, which, in the absence of a contrary designation, will be 1,000 shares for an offering period and/or a purchase period. In addition, no employee will be permitted to accrue the right to purchase stock under the ESPP at a rate in excess of $25,000 worth of shares during any calendar year during which such a purchase right is outstanding (based on the fair market value per share of our Class A common stock as of the first day of the offering period).</w:t>
      </w:r>
    </w:p>
    <w:p>
      <w:pPr>
        <w:spacing w:after="0" w:line="185" w:lineRule="exact"/>
        <w:rPr>
          <w:sz w:val="20"/>
          <w:szCs w:val="20"/>
          <w:color w:val="auto"/>
        </w:rPr>
      </w:pPr>
    </w:p>
    <w:p>
      <w:pPr>
        <w:ind w:left="180" w:right="300" w:firstLine="436"/>
        <w:spacing w:after="0" w:line="255" w:lineRule="auto"/>
        <w:rPr>
          <w:sz w:val="20"/>
          <w:szCs w:val="20"/>
          <w:color w:val="auto"/>
        </w:rPr>
      </w:pPr>
      <w:r>
        <w:rPr>
          <w:rFonts w:ascii="Times New Roman" w:cs="Times New Roman" w:eastAsia="Times New Roman" w:hAnsi="Times New Roman"/>
          <w:sz w:val="18"/>
          <w:szCs w:val="18"/>
          <w:color w:val="auto"/>
        </w:rPr>
        <w:t>On the first trading day of each offering period, each participant automatically will be granted an option to purchase shares of our Class A common stock. The option will be exercised on the applicable purchase date(s) during the offering period, to the extent of the payroll deductions accumulated during the applicable purchase period. The purchase price of the shares, in the absence of a contrary determination by the plan administrator, will be 85% of the lower of the fair market value of our Class A common stock on the first trading day of the offering period or on the applicable purchase date, which will be the final trading day of the applicable purchase period.</w:t>
      </w:r>
    </w:p>
    <w:p>
      <w:pPr>
        <w:spacing w:after="0" w:line="183" w:lineRule="exact"/>
        <w:rPr>
          <w:sz w:val="20"/>
          <w:szCs w:val="20"/>
          <w:color w:val="auto"/>
        </w:rPr>
      </w:pPr>
    </w:p>
    <w:p>
      <w:pPr>
        <w:ind w:left="180" w:firstLine="436"/>
        <w:spacing w:after="0" w:line="262" w:lineRule="auto"/>
        <w:rPr>
          <w:sz w:val="20"/>
          <w:szCs w:val="20"/>
          <w:color w:val="auto"/>
        </w:rPr>
      </w:pPr>
      <w:r>
        <w:rPr>
          <w:rFonts w:ascii="Times New Roman" w:cs="Times New Roman" w:eastAsia="Times New Roman" w:hAnsi="Times New Roman"/>
          <w:sz w:val="18"/>
          <w:szCs w:val="18"/>
          <w:color w:val="auto"/>
        </w:rPr>
        <w:t>Participants may voluntarily end their participation in the ESPP at any time at least two weeks prior to the end of the applicable offering period (or such longer or shorter period specified by the plan administrator), and will be paid their accrued payroll deductions that have not yet been used to purchase shares of Class A common stock. Participation ends automatically upon a participant’s termination of employment.</w:t>
      </w:r>
    </w:p>
    <w:p>
      <w:pPr>
        <w:spacing w:after="0" w:line="175" w:lineRule="exact"/>
        <w:rPr>
          <w:sz w:val="20"/>
          <w:szCs w:val="20"/>
          <w:color w:val="auto"/>
        </w:rPr>
      </w:pPr>
    </w:p>
    <w:p>
      <w:pPr>
        <w:ind w:left="180" w:right="660" w:firstLine="436"/>
        <w:spacing w:after="0" w:line="279"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 participant may not transfer rights granted under the ESPP other than by will, the laws of descent and distribution or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provided in the ESPP.</w:t>
      </w:r>
    </w:p>
    <w:p>
      <w:pPr>
        <w:spacing w:after="0" w:line="160" w:lineRule="exact"/>
        <w:rPr>
          <w:sz w:val="20"/>
          <w:szCs w:val="20"/>
          <w:color w:val="auto"/>
        </w:rPr>
      </w:pPr>
    </w:p>
    <w:p>
      <w:pPr>
        <w:ind w:left="180" w:right="4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Certain Transactions</w:t>
      </w:r>
      <w:r>
        <w:rPr>
          <w:rFonts w:ascii="Times New Roman" w:cs="Times New Roman" w:eastAsia="Times New Roman" w:hAnsi="Times New Roman"/>
          <w:sz w:val="18"/>
          <w:szCs w:val="18"/>
          <w:color w:val="auto"/>
        </w:rPr>
        <w:t>. In the event of certain transactions or events affecting our Class A common stock, such as any stock dividend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change in control, reorganization, merger, consolidation or other corporate transaction, the plan administrator will make equitable adjustments to the ESPP and outstanding rights. In addition, in the event of the foregoing transactions or events or certain significant transactions, including a change in control, the plan administrator may provide for (i) either the replacement of outstanding rights with</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60"/>
          </w:cols>
          <w:pgMar w:left="320" w:top="454" w:right="51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40"/>
        <w:spacing w:after="0" w:line="255" w:lineRule="auto"/>
        <w:rPr>
          <w:sz w:val="20"/>
          <w:szCs w:val="20"/>
          <w:color w:val="auto"/>
        </w:rPr>
      </w:pPr>
      <w:r>
        <w:rPr>
          <w:rFonts w:ascii="Times New Roman" w:cs="Times New Roman" w:eastAsia="Times New Roman" w:hAnsi="Times New Roman"/>
          <w:sz w:val="18"/>
          <w:szCs w:val="18"/>
          <w:color w:val="auto"/>
        </w:rPr>
        <w:t>other rights or property or termination of outstanding rights in exchange for cash, (ii) the assumption or substitution of outstanding rights by the successor or survivor corporation or parent or subsidiary thereof,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 Under the ESPP, a change in control has the same definition as given to such term in the 2020 Plan.</w:t>
      </w:r>
    </w:p>
    <w:p>
      <w:pPr>
        <w:spacing w:after="0" w:line="181" w:lineRule="exact"/>
        <w:rPr>
          <w:sz w:val="20"/>
          <w:szCs w:val="20"/>
          <w:color w:val="auto"/>
        </w:rPr>
      </w:pPr>
    </w:p>
    <w:p>
      <w:pPr>
        <w:jc w:val="both"/>
        <w:ind w:left="180" w:firstLine="436"/>
        <w:spacing w:after="0" w:line="255" w:lineRule="auto"/>
        <w:rPr>
          <w:sz w:val="20"/>
          <w:szCs w:val="20"/>
          <w:color w:val="auto"/>
        </w:rPr>
      </w:pPr>
      <w:r>
        <w:rPr>
          <w:rFonts w:ascii="Times New Roman" w:cs="Times New Roman" w:eastAsia="Times New Roman" w:hAnsi="Times New Roman"/>
          <w:sz w:val="18"/>
          <w:szCs w:val="18"/>
          <w:i w:val="1"/>
          <w:iCs w:val="1"/>
          <w:color w:val="auto"/>
        </w:rPr>
        <w:t>Plan Amendment; Termination</w:t>
      </w:r>
      <w:r>
        <w:rPr>
          <w:rFonts w:ascii="Times New Roman" w:cs="Times New Roman" w:eastAsia="Times New Roman" w:hAnsi="Times New Roman"/>
          <w:sz w:val="18"/>
          <w:szCs w:val="18"/>
          <w:color w:val="auto"/>
        </w:rPr>
        <w:t>. The plan administrator may amend, suspend or terminate the ESPP at any time. However, stockholder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amendment to the ESPP must be obtained for any amendment which increases the aggregate number or changes the type of shares that may be sold pursuant to rights under the ESPP, changes the ESPP in any manner that would be considered the adoption of a new plan within the meaning of Treasury regulation Section 1.423-2(c)(4), or changes the ESPP in any manner that would cause the ESPP to no longer be an employee stock purchase plan within the meaning of Section 423(b) of the Code.</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80"/>
          </w:cols>
          <w:pgMar w:left="320" w:top="453" w:right="49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4" w:lineRule="exact"/>
        <w:rPr>
          <w:sz w:val="20"/>
          <w:szCs w:val="20"/>
          <w:color w:val="auto"/>
        </w:rPr>
      </w:pPr>
    </w:p>
    <w:p>
      <w:pPr>
        <w:ind w:left="180" w:right="60" w:firstLine="436"/>
        <w:spacing w:after="0" w:line="308" w:lineRule="auto"/>
        <w:rPr>
          <w:sz w:val="20"/>
          <w:szCs w:val="20"/>
          <w:color w:val="auto"/>
        </w:rPr>
      </w:pPr>
      <w:r>
        <w:rPr>
          <w:rFonts w:ascii="Times New Roman" w:cs="Times New Roman" w:eastAsia="Times New Roman" w:hAnsi="Times New Roman"/>
          <w:sz w:val="17"/>
          <w:szCs w:val="17"/>
          <w:color w:val="auto"/>
        </w:rPr>
        <w:t>In addition to the equity and other compensation, termination, change in control and other arrangements discussed in the section titled “Executive and Director Compensation,” the following is a description of each transaction since January 1, 2017 and each currently proposed transaction which:</w:t>
      </w:r>
    </w:p>
    <w:p>
      <w:pPr>
        <w:spacing w:after="0" w:line="46" w:lineRule="exact"/>
        <w:rPr>
          <w:sz w:val="20"/>
          <w:szCs w:val="20"/>
          <w:color w:val="auto"/>
        </w:rPr>
      </w:pPr>
    </w:p>
    <w:p>
      <w:pPr>
        <w:ind w:left="1140" w:hanging="432"/>
        <w:spacing w:after="0"/>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$120,000; and</w:t>
      </w:r>
    </w:p>
    <w:p>
      <w:pPr>
        <w:spacing w:after="0" w:line="126" w:lineRule="exact"/>
        <w:rPr>
          <w:rFonts w:ascii="Times New Roman" w:cs="Times New Roman" w:eastAsia="Times New Roman" w:hAnsi="Times New Roman"/>
          <w:sz w:val="18"/>
          <w:szCs w:val="18"/>
          <w:color w:val="auto"/>
        </w:rPr>
      </w:pPr>
    </w:p>
    <w:p>
      <w:pPr>
        <w:ind w:left="1140" w:right="60" w:hanging="432"/>
        <w:spacing w:after="0" w:line="277" w:lineRule="auto"/>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to our knowledge, beneficial owners of more than 5% of our capital stock or any member of the immediate family of any of the foregoing persons had or will have a direct or indirect material interest.</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Preferred Stock Financing</w:t>
      </w:r>
    </w:p>
    <w:p>
      <w:pPr>
        <w:spacing w:after="0" w:line="118" w:lineRule="exact"/>
        <w:rPr>
          <w:sz w:val="20"/>
          <w:szCs w:val="20"/>
          <w:color w:val="auto"/>
        </w:rPr>
      </w:pPr>
    </w:p>
    <w:p>
      <w:pPr>
        <w:ind w:left="180" w:right="60" w:firstLine="436"/>
        <w:spacing w:after="0" w:line="255" w:lineRule="auto"/>
        <w:rPr>
          <w:sz w:val="20"/>
          <w:szCs w:val="20"/>
          <w:color w:val="auto"/>
        </w:rPr>
      </w:pPr>
      <w:r>
        <w:rPr>
          <w:rFonts w:ascii="Times New Roman" w:cs="Times New Roman" w:eastAsia="Times New Roman" w:hAnsi="Times New Roman"/>
          <w:sz w:val="18"/>
          <w:szCs w:val="18"/>
          <w:color w:val="auto"/>
        </w:rPr>
        <w:t>In August 2018, we entered into a purchase and recapitalization agreement with Silver Lake Partners V, L.P. In October 2018, the agreement was assigned by Silver Lake to its affiliate, SLP Geology Aggregator, L.P. Pursuant to the agreement, in October 2018, GoodRx Holdings, Inc. issued 126,045,531 shares of redeemable convertible preferred stock for an aggregate purchase price of approximately $748.8 million. In connection with the issuance of these redeemable convertible preferred stock, our existing shares of preferred stock of GoodRx Holdings, Inc. were converted into shares of common stock.</w:t>
      </w:r>
    </w:p>
    <w:p>
      <w:pPr>
        <w:spacing w:after="0" w:line="183" w:lineRule="exact"/>
        <w:rPr>
          <w:sz w:val="20"/>
          <w:szCs w:val="20"/>
          <w:color w:val="auto"/>
        </w:rPr>
      </w:pPr>
    </w:p>
    <w:p>
      <w:pPr>
        <w:ind w:left="180" w:right="720" w:firstLine="436"/>
        <w:spacing w:after="0" w:line="277" w:lineRule="auto"/>
        <w:rPr>
          <w:sz w:val="20"/>
          <w:szCs w:val="20"/>
          <w:color w:val="auto"/>
        </w:rPr>
      </w:pPr>
      <w:r>
        <w:rPr>
          <w:rFonts w:ascii="Times New Roman" w:cs="Times New Roman" w:eastAsia="Times New Roman" w:hAnsi="Times New Roman"/>
          <w:sz w:val="18"/>
          <w:szCs w:val="18"/>
          <w:color w:val="auto"/>
        </w:rPr>
        <w:t>As holders of our redeemable convertible preferred stock, SLP Geology Aggregator, L.P. is entitled to specified registration rights. For a description of these registration rights, see the section titled “Description of Capital Stock—Registration Rights.”</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118" w:lineRule="exact"/>
        <w:rPr>
          <w:sz w:val="20"/>
          <w:szCs w:val="20"/>
          <w:color w:val="auto"/>
        </w:rPr>
      </w:pPr>
    </w:p>
    <w:p>
      <w:pPr>
        <w:ind w:left="180" w:right="260" w:firstLine="436"/>
        <w:spacing w:after="0" w:line="257" w:lineRule="auto"/>
        <w:rPr>
          <w:sz w:val="20"/>
          <w:szCs w:val="20"/>
          <w:color w:val="auto"/>
        </w:rPr>
      </w:pPr>
      <w:r>
        <w:rPr>
          <w:rFonts w:ascii="Times New Roman" w:cs="Times New Roman" w:eastAsia="Times New Roman" w:hAnsi="Times New Roman"/>
          <w:sz w:val="18"/>
          <w:szCs w:val="18"/>
          <w:color w:val="auto"/>
        </w:rPr>
        <w:t>In October 2018, we entered into an amended and restated investor rights agreement with Francisco Partners IV, L.P., Francisco Partners IV-A, L.P., Spectrum Equity VII, L.P., Spectrum VII Investment Managers’ Fund, L.P., Spectrum VII Co-Investment Fund, L.P., Idea Men, LLC, and SLP Geology Aggregator, L.P. These stockholders are entitled to rights with respect to the registration of their shares following this offering. For a description of these registration rights, see the section titled “Description of Capital Stock—Registration Rights.”</w:t>
      </w: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Silver Lake Purchase Agreement</w:t>
      </w:r>
    </w:p>
    <w:p>
      <w:pPr>
        <w:spacing w:after="0" w:line="118" w:lineRule="exact"/>
        <w:rPr>
          <w:sz w:val="20"/>
          <w:szCs w:val="20"/>
          <w:color w:val="auto"/>
        </w:rPr>
      </w:pPr>
    </w:p>
    <w:p>
      <w:pPr>
        <w:ind w:left="180" w:firstLine="436"/>
        <w:spacing w:after="0" w:line="255" w:lineRule="auto"/>
        <w:rPr>
          <w:sz w:val="20"/>
          <w:szCs w:val="20"/>
          <w:color w:val="auto"/>
        </w:rPr>
      </w:pPr>
      <w:r>
        <w:rPr>
          <w:rFonts w:ascii="Times New Roman" w:cs="Times New Roman" w:eastAsia="Times New Roman" w:hAnsi="Times New Roman"/>
          <w:sz w:val="18"/>
          <w:szCs w:val="18"/>
          <w:color w:val="auto"/>
        </w:rPr>
        <w:t>On September 13, 2020, we entered into a purchase agreement with Silver Lake, pursuant to which Silver Lake agreed to purchase, subject to customary closing conditions, $100.0 million of our Class A common stock in a private placement concurrent with or shortly after the completion of this offering, at a purchase price per share equal to the initial public offering price per share at which our Class A common stock is sold to the public in this offering. The sale of such shares will not be registered under the Securities Act. The closing of this offering is not conditioned upon the closing of the private placement.</w:t>
      </w:r>
    </w:p>
    <w:p>
      <w:pPr>
        <w:spacing w:after="0" w:line="183" w:lineRule="exact"/>
        <w:rPr>
          <w:sz w:val="20"/>
          <w:szCs w:val="20"/>
          <w:color w:val="auto"/>
        </w:rPr>
      </w:pPr>
    </w:p>
    <w:p>
      <w:pPr>
        <w:ind w:left="180" w:right="80" w:firstLine="436"/>
        <w:spacing w:after="0" w:line="262" w:lineRule="auto"/>
        <w:rPr>
          <w:sz w:val="20"/>
          <w:szCs w:val="20"/>
          <w:color w:val="auto"/>
        </w:rPr>
      </w:pPr>
      <w:r>
        <w:rPr>
          <w:rFonts w:ascii="Times New Roman" w:cs="Times New Roman" w:eastAsia="Times New Roman" w:hAnsi="Times New Roman"/>
          <w:sz w:val="18"/>
          <w:szCs w:val="18"/>
          <w:color w:val="auto"/>
        </w:rPr>
        <w:t>The lock-up agreement that Silver Lake has entered into with the underwriters in connection with this offering will prohibit the sale of any shares of Class A common stock Silver Lake purchases in the private placement for a period of 180 days after the date of this prospectus, subject to certain exceptions. See “Shares Eligible for Future Sale—Lock-Up Agreements.”</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Stockholders Agreements</w:t>
      </w:r>
    </w:p>
    <w:p>
      <w:pPr>
        <w:spacing w:after="0" w:line="118" w:lineRule="exact"/>
        <w:rPr>
          <w:sz w:val="20"/>
          <w:szCs w:val="20"/>
          <w:color w:val="auto"/>
        </w:rPr>
      </w:pPr>
    </w:p>
    <w:p>
      <w:pPr>
        <w:ind w:left="180" w:right="20" w:firstLine="436"/>
        <w:spacing w:after="0" w:line="285" w:lineRule="auto"/>
        <w:rPr>
          <w:sz w:val="20"/>
          <w:szCs w:val="20"/>
          <w:color w:val="auto"/>
        </w:rPr>
      </w:pPr>
      <w:r>
        <w:rPr>
          <w:rFonts w:ascii="Times New Roman" w:cs="Times New Roman" w:eastAsia="Times New Roman" w:hAnsi="Times New Roman"/>
          <w:sz w:val="17"/>
          <w:szCs w:val="17"/>
          <w:color w:val="auto"/>
        </w:rPr>
        <w:t>In October 2018, we entered into an amended and restated stockholders agreement with Francisco Partners IV, L.P., Francisco Partners IV-A, L.P., Spectrum Equity VII, L.P., Spectrum VII Investment Managers’ Fund, L.P., Spectrum VII Co-Investment Fund, L.P., Idea Men, LLC, SLP Geology Aggregator, L.P., Douglas Hirsch, Trevor Bezdek, Scott Marlette and certain other stockholders. The agreement contains certain nomination rights to</w:t>
      </w:r>
    </w:p>
    <w:p>
      <w:pPr>
        <w:spacing w:after="0" w:line="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40"/>
          </w:cols>
          <w:pgMar w:left="320" w:top="454" w:right="5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40"/>
        <w:spacing w:after="0" w:line="255" w:lineRule="auto"/>
        <w:rPr>
          <w:sz w:val="20"/>
          <w:szCs w:val="20"/>
          <w:color w:val="auto"/>
        </w:rPr>
      </w:pPr>
      <w:r>
        <w:rPr>
          <w:rFonts w:ascii="Times New Roman" w:cs="Times New Roman" w:eastAsia="Times New Roman" w:hAnsi="Times New Roman"/>
          <w:sz w:val="18"/>
          <w:szCs w:val="18"/>
          <w:color w:val="auto"/>
        </w:rPr>
        <w:t>designate candidates for nomination to our board of directors, to appoint members to each board committee and to designate non-voting observers to the Board. The agreement also contains agreements among the parties, including transfer restrictions, tag-along rights, drag-along rights and rights of first refusal. In addition, the agreement contains certain negative covenants that require us to obtain the consent of Francisco Partners IV, L.P., Francisco Partners IV-A, L.P., Spectrum Equity VII, L.P., Spectrum VII Investment Managers’ Fund, L.P., Spectrum VII Co-Investment Fund, L.P., SLP Geology Aggregator, L.P. and Idea Men, LLC before taking certain actions.</w:t>
      </w:r>
    </w:p>
    <w:p>
      <w:pPr>
        <w:spacing w:after="0" w:line="183" w:lineRule="exact"/>
        <w:rPr>
          <w:sz w:val="20"/>
          <w:szCs w:val="20"/>
          <w:color w:val="auto"/>
        </w:rPr>
      </w:pPr>
    </w:p>
    <w:p>
      <w:pPr>
        <w:ind w:left="180" w:firstLine="436"/>
        <w:spacing w:after="0" w:line="252" w:lineRule="auto"/>
        <w:rPr>
          <w:sz w:val="20"/>
          <w:szCs w:val="20"/>
          <w:color w:val="auto"/>
        </w:rPr>
      </w:pPr>
      <w:r>
        <w:rPr>
          <w:rFonts w:ascii="Times New Roman" w:cs="Times New Roman" w:eastAsia="Times New Roman" w:hAnsi="Times New Roman"/>
          <w:sz w:val="18"/>
          <w:szCs w:val="18"/>
          <w:color w:val="auto"/>
        </w:rPr>
        <w:t>As a result of this offering, most of the provisions set forth in the amended and restated stockholders agreement that apply to us will terminate, including rights regarding the nomination, appointment and designation of members of our board of directors and board committees, transfer restrictions, tag-along rights, drag-along rights, rights of first refusal and negative covenants. Following this offering, we will continue to be required to maintain directors and officers indemnity insurance coverage reasonably satisfactory to the Board, indemnify and exculpate directors to the fullest extent permitted under applicable law and, at the request of Francisco Partners IV, L.P., Francisco Partners IV-A, L.P., Spectrum Equity VII, L.P., Spectrum VII Investment Managers’ Fund, L.P., Spectrum VII Co-Investment Fund, L.P., SLP Geology Aggregator, L.P. or Idea Men, LLC, enter into a voting agreement pursuant to which the parties will agree to vote in favor of any directors nominated by such parties.</w:t>
      </w:r>
    </w:p>
    <w:p>
      <w:pPr>
        <w:spacing w:after="0" w:line="189" w:lineRule="exact"/>
        <w:rPr>
          <w:sz w:val="20"/>
          <w:szCs w:val="20"/>
          <w:color w:val="auto"/>
        </w:rPr>
      </w:pPr>
    </w:p>
    <w:p>
      <w:pPr>
        <w:ind w:left="180" w:firstLine="436"/>
        <w:spacing w:after="0" w:line="249" w:lineRule="auto"/>
        <w:rPr>
          <w:sz w:val="20"/>
          <w:szCs w:val="20"/>
          <w:color w:val="auto"/>
        </w:rPr>
      </w:pPr>
      <w:r>
        <w:rPr>
          <w:rFonts w:ascii="Times New Roman" w:cs="Times New Roman" w:eastAsia="Times New Roman" w:hAnsi="Times New Roman"/>
          <w:sz w:val="18"/>
          <w:szCs w:val="18"/>
          <w:color w:val="auto"/>
        </w:rPr>
        <w:t>In connection with this offering, we intend to enter into a new stockholders agreement, or the stockholders agreement, with SLP Geology Aggregator, L.P., Francisco Partners IV, L.P., Francisco Partners IV-A, L.P., Spectrum Equity VII, L.P., Spectrum VII Investment Managers’ Fund, L.P., Spectrum VII Co-Investment Fund, L.P. and Idea Men, LLC, or the parties to our stockholders agreement, granting them certain board designation rights so long as they maintain a certain percentage of ownership of our outstanding common stock. This stockholders agreement will require us to, among other things, nominate a number of individuals for election as our directors at any meeting of our stockholders, designated by SLP Geology Aggregator, L.P. (each such individual a “Silver Lake Designee”), Francisco Partners IV, L.P. and Francisco Partners IV-A, L.P. (each such individual a “Francisco Partners Designee”), Spectrum Equity VII, L.P., Spectrum VII Investment Managers’ Fund, L.P., and Spectrum VII Co-Investment Fund, L.P. (each such individual a “Spectrum Designee”) and Idea Men, LLC (each such individual a “Idea Men Designee,” and together with the Silver Lake Designee, Francisco Partners Designee and Spectrum Designee, the “Stockholder Designees”), such that, upon the election of such individual and each other individual nominated by or at the direction of our board of directors or a duly-authorized committee of the board, as a director of our company, the number of: (A) Silver Lake Designees serving as directors will be equal to (i) three (3) directors, if certain affiliates of Silver Lake continue to beneficially own at least 20% of the aggregate number of shares of common stock outstanding immediately following this offering and the private placement, (ii) two (2) directors, if certain affiliates of Silver Lake continue to beneficially own less than 20% but more than 10% of the aggregate number of shares of common stock outstanding immediately following this offering and the private placement or (iii) one (1) director, if certain affiliates of Silver Lake continue to beneficially own less than 10% but more than 5% of the aggregate number of shares of common stock outstanding immediately following this offering and the private placement; (B) Francisco Partners Designees serving as directors will be equal to (i) two (2) directors, if certain affiliates of Francisco Partners continue to beneficially own at least 10% of the aggregate number of shares of common stock outstanding immediately following this offering and the private placement, or (ii) one (1) director, if certain affiliates of Francisco Partners continue to beneficially own less than 10% but more than 5% of the aggregate number of shares of common stock outstanding immediately following this offering and the private placement; (C) Spectrum Designees serving as directors will be equal to one (1) director, if certain affiliates of Spectrum continue to beneficially own at least 5% of the aggregate number of shares of common stock outstanding immediately following this offering and the private placement; and (D) Idea Men Designees serving as directors will be equal to two (2) directors, if Idea Men, LLC continues to beneficially own at least 5% of the aggregate number of shares of common stock outstanding immediately following this offering and the private placement provided that the Idea Men Designees shall be Trevor Bezdek, for so long as Trevor Bezdek serves as our Chief Executive Officer or Co-Chief Executive Officer, and Douglas Hirsch, for so long as Douglas Hirsch serves as our Chief Executive Officer or Co-Chief Executive Officer.</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60"/>
          </w:cols>
          <w:pgMar w:left="320" w:top="454" w:right="51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Each party to our stockholders agreement will also agree to vote, or cause to vote, all of their outstanding shares of our Class A common stock and Class B common stock at any annual or special meeting of stockholders in which directors are elected, so as to cause (i) the election of the Silver Lake Designees, Francisco Partners Designees, Spectrum Designee and Idea Men Designees and (ii) the election of two (2) directors who are not affiliated with any party to our stockholders agreement and who satisfy the standards of independence established for independent directors under the rules and the additional independence standards applicable to audit committee members established pursuant to Rule 10A-3 under the Exchange Act.</w:t>
      </w:r>
    </w:p>
    <w:p>
      <w:pPr>
        <w:spacing w:after="0" w:line="183" w:lineRule="exact"/>
        <w:rPr>
          <w:sz w:val="20"/>
          <w:szCs w:val="20"/>
          <w:color w:val="auto"/>
        </w:rPr>
      </w:pPr>
    </w:p>
    <w:p>
      <w:pPr>
        <w:ind w:left="180" w:right="120" w:firstLine="436"/>
        <w:spacing w:after="0" w:line="252" w:lineRule="auto"/>
        <w:rPr>
          <w:sz w:val="20"/>
          <w:szCs w:val="20"/>
          <w:color w:val="auto"/>
        </w:rPr>
      </w:pPr>
      <w:r>
        <w:rPr>
          <w:rFonts w:ascii="Times New Roman" w:cs="Times New Roman" w:eastAsia="Times New Roman" w:hAnsi="Times New Roman"/>
          <w:sz w:val="18"/>
          <w:szCs w:val="18"/>
          <w:color w:val="auto"/>
        </w:rPr>
        <w:t>In addition, pursuant to the stockholders agreement, if Idea Men, LLC continues to beneficially own at least 5% of the aggregate number of outstanding shares of common stock at any time that the number of Silver Lake Designees, Francisco Partners Designees or the Spectrum Designee is decreased pursuant to the terms above, then the number of Idea Men Designees serving as directors will be increased on a one to one basis. For so long as each of Silver Lake and Francisco Partners continue to maintain at least one (1) director as Silver Lake Designees and Francisco Partners Designees, respectively, Idea Men, LLC shall not nominate a director to fill a vacancy caused by a decrease in the number of Silver Lake Designees or Francisco Partners Designees, or by the removal of the Spectrum Designee, pursuant to the terms above without the consent of each of Silver Lake and Francisco Partners.</w:t>
      </w:r>
    </w:p>
    <w:p>
      <w:pPr>
        <w:spacing w:after="0" w:line="189"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color w:val="auto"/>
        </w:rPr>
        <w:t>If the number of individuals that Silver Lake, Francisco Partners, Spectrum or Idea Men, LLC have the right to designate is decreased because of the decrease in its in ownership, then the corresponding Silver Lake Designee, Francisco Partners Designee, Spectrum Designee or Idea Men Designee will immediately tender his or her resignation for consideration by our board of directors and, unless a majority of our board of directors agrees that such director shall not resign following the decrease, such director shall resign within thirty (30) days. The last remaining Silver Lake Designee, Francisco Partners Designee, Spectrum Designee or Idea Men Designee may remain on our board of directors through the end of his or her then current term; provided, that a director may resign at any time regardless of the period of time left in his or her then current term.</w:t>
      </w:r>
    </w:p>
    <w:p>
      <w:pPr>
        <w:spacing w:after="0" w:line="187"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color w:val="auto"/>
        </w:rPr>
        <w:t>Each party to our stockholders agreement will also agree, subject to certain limited exceptions, to certain limitations on their ability to sell or transfer any shares of common stock during the three-year period following this offering. For example, each party must generally provide written notice to the other parties prior to exercising registration rights or making any transfer of such party’s shares. Following such notice, each other party shall have the ability to participate in the contemplated transaction on a pro rata basis. These restrictions on transfer terminate with respect to each party on the earlier of the three-year period following the closing of this offering or the time at which such party beneficially owns less than 5% of the shares of common stock outstanding and does not have a director designee on our board of directors.</w:t>
      </w:r>
    </w:p>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Disposition Agreement</w:t>
      </w:r>
    </w:p>
    <w:p>
      <w:pPr>
        <w:spacing w:after="0" w:line="224" w:lineRule="exact"/>
        <w:rPr>
          <w:sz w:val="20"/>
          <w:szCs w:val="20"/>
          <w:color w:val="auto"/>
        </w:rPr>
      </w:pPr>
    </w:p>
    <w:p>
      <w:pPr>
        <w:ind w:left="180" w:right="20" w:firstLine="436"/>
        <w:spacing w:after="0" w:line="255" w:lineRule="auto"/>
        <w:rPr>
          <w:sz w:val="20"/>
          <w:szCs w:val="20"/>
          <w:color w:val="auto"/>
        </w:rPr>
      </w:pPr>
      <w:r>
        <w:rPr>
          <w:rFonts w:ascii="Times New Roman" w:cs="Times New Roman" w:eastAsia="Times New Roman" w:hAnsi="Times New Roman"/>
          <w:sz w:val="18"/>
          <w:szCs w:val="18"/>
          <w:color w:val="auto"/>
        </w:rPr>
        <w:t>In October 2018, we entered into an amended and restated disposition agreement with Francisco Partners IV, L.P., Spectrum Equity VII, L.P., SLP Geology Aggregator L.P., Idea Men, LLC, Douglas Hirsch, Trevor Bezdek and Scott Marlette. The agreement restricts the ability of Idea Men, LLC, Douglas Hirsch, Trevor Bezdek and Scott Marlette from selling or transferring their equity interests in us or issuing equity or debt without first obtaining the written consent of certain of Francisco Partners IV, L.P., Spectrum Equity VII, L.P., SLP Geology Aggregator L.P. The amended and restated disposition agreement will terminate by its terms in connection with the completion of this offering.</w:t>
      </w:r>
    </w:p>
    <w:p>
      <w:pPr>
        <w:spacing w:after="0" w:line="2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Services Agreement</w:t>
      </w:r>
    </w:p>
    <w:p>
      <w:pPr>
        <w:spacing w:after="0" w:line="118" w:lineRule="exact"/>
        <w:rPr>
          <w:sz w:val="20"/>
          <w:szCs w:val="20"/>
          <w:color w:val="auto"/>
        </w:rPr>
      </w:pPr>
    </w:p>
    <w:p>
      <w:pPr>
        <w:ind w:left="180" w:right="180" w:firstLine="436"/>
        <w:spacing w:after="0" w:line="262" w:lineRule="auto"/>
        <w:rPr>
          <w:sz w:val="20"/>
          <w:szCs w:val="20"/>
          <w:color w:val="auto"/>
        </w:rPr>
      </w:pPr>
      <w:r>
        <w:rPr>
          <w:rFonts w:ascii="Times New Roman" w:cs="Times New Roman" w:eastAsia="Times New Roman" w:hAnsi="Times New Roman"/>
          <w:sz w:val="18"/>
          <w:szCs w:val="18"/>
          <w:color w:val="auto"/>
        </w:rPr>
        <w:t>In October 2018, we entered into a services agreement with Silver Lake Management Company V, L.L.C., or SLMC. Pursuant to the agreement, SLMC may render to us or any of our affiliates, by and through itself and its affiliates, each as an independent contractor, monitoring, advisory and consulting services, among others.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80"/>
          </w:cols>
          <w:pgMar w:left="320" w:top="454" w:right="49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240"/>
        <w:spacing w:after="0" w:line="308" w:lineRule="auto"/>
        <w:rPr>
          <w:sz w:val="20"/>
          <w:szCs w:val="20"/>
          <w:color w:val="auto"/>
        </w:rPr>
      </w:pPr>
      <w:r>
        <w:rPr>
          <w:rFonts w:ascii="Times New Roman" w:cs="Times New Roman" w:eastAsia="Times New Roman" w:hAnsi="Times New Roman"/>
          <w:sz w:val="17"/>
          <w:szCs w:val="17"/>
          <w:color w:val="auto"/>
        </w:rPr>
        <w:t>Pursuant to the agreement, we also granted SLMC a non-exclusive license to use our trademarks and logos in connection with the describing SLMC’s relationship with us. No services have been rendered to us pursuant to this agreement, and we have not paid any management fees to SLMC to date.</w:t>
      </w:r>
    </w:p>
    <w:p>
      <w:pPr>
        <w:spacing w:after="0" w:line="2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18" w:lineRule="exact"/>
        <w:rPr>
          <w:sz w:val="20"/>
          <w:szCs w:val="20"/>
          <w:color w:val="auto"/>
        </w:rPr>
      </w:pPr>
    </w:p>
    <w:p>
      <w:pPr>
        <w:ind w:left="180" w:right="540" w:firstLine="436"/>
        <w:spacing w:after="0" w:line="277" w:lineRule="auto"/>
        <w:rPr>
          <w:sz w:val="20"/>
          <w:szCs w:val="20"/>
          <w:color w:val="auto"/>
        </w:rPr>
      </w:pPr>
      <w:r>
        <w:rPr>
          <w:rFonts w:ascii="Times New Roman" w:cs="Times New Roman" w:eastAsia="Times New Roman" w:hAnsi="Times New Roman"/>
          <w:sz w:val="18"/>
          <w:szCs w:val="18"/>
          <w:color w:val="auto"/>
        </w:rPr>
        <w:t>We have granted options to our executive officers and certain of our directors as more fully described in the section entitled “Executive and Director Compensation.”</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18" w:lineRule="exact"/>
        <w:rPr>
          <w:sz w:val="20"/>
          <w:szCs w:val="20"/>
          <w:color w:val="auto"/>
        </w:rPr>
      </w:pPr>
    </w:p>
    <w:p>
      <w:pPr>
        <w:ind w:left="180" w:firstLine="436"/>
        <w:spacing w:after="0" w:line="262" w:lineRule="auto"/>
        <w:rPr>
          <w:sz w:val="20"/>
          <w:szCs w:val="20"/>
          <w:color w:val="auto"/>
        </w:rPr>
      </w:pPr>
      <w:r>
        <w:rPr>
          <w:rFonts w:ascii="Times New Roman" w:cs="Times New Roman" w:eastAsia="Times New Roman" w:hAnsi="Times New Roman"/>
          <w:sz w:val="18"/>
          <w:szCs w:val="18"/>
          <w:color w:val="auto"/>
        </w:rPr>
        <w:t>At our request, the underwriters have reserved for sale at the initial public offering price per share up to 5% of the shares of Class A common stock offered by this prospectus, to certain individuals through a directed share program, including our directors, employees and certain other individuals identified by management.</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18" w:lineRule="exact"/>
        <w:rPr>
          <w:sz w:val="20"/>
          <w:szCs w:val="20"/>
          <w:color w:val="auto"/>
        </w:rPr>
      </w:pPr>
    </w:p>
    <w:p>
      <w:pPr>
        <w:ind w:left="180" w:right="40" w:firstLine="436"/>
        <w:spacing w:after="0" w:line="277" w:lineRule="auto"/>
        <w:rPr>
          <w:sz w:val="20"/>
          <w:szCs w:val="20"/>
          <w:color w:val="auto"/>
        </w:rPr>
      </w:pPr>
      <w:r>
        <w:rPr>
          <w:rFonts w:ascii="Times New Roman" w:cs="Times New Roman" w:eastAsia="Times New Roman" w:hAnsi="Times New Roman"/>
          <w:sz w:val="18"/>
          <w:szCs w:val="18"/>
          <w:color w:val="auto"/>
        </w:rPr>
        <w:t>We have entered into, and plan on entering into, indemnification agreements with each of our directors and executive officers. See “Description of Capital Stock—Limitations on Liability and Indemnification Matters.”</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18" w:lineRule="exact"/>
        <w:rPr>
          <w:sz w:val="20"/>
          <w:szCs w:val="20"/>
          <w:color w:val="auto"/>
        </w:rPr>
      </w:pPr>
    </w:p>
    <w:p>
      <w:pPr>
        <w:ind w:left="180" w:right="40" w:firstLine="436"/>
        <w:spacing w:after="0" w:line="251"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 policy, to be effective upon the closing of this offering,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80"/>
          </w:cols>
          <w:pgMar w:left="320" w:top="454" w:right="49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224" w:lineRule="exact"/>
        <w:rPr>
          <w:sz w:val="20"/>
          <w:szCs w:val="20"/>
          <w:color w:val="auto"/>
        </w:rPr>
      </w:pPr>
    </w:p>
    <w:p>
      <w:pPr>
        <w:ind w:left="180" w:right="140" w:firstLine="436"/>
        <w:spacing w:after="0" w:line="26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July 31, 2020, and as adjusted to reflect the sale of Class A common stock offered by us and the selling stockholders in this offering and the sale of Class A common stock in the private placement, assuming no exercise of the underwriters’ option to purchase additional shares, by:</w:t>
      </w:r>
    </w:p>
    <w:p>
      <w:pPr>
        <w:spacing w:after="0" w:line="84" w:lineRule="exact"/>
        <w:rPr>
          <w:sz w:val="20"/>
          <w:szCs w:val="20"/>
          <w:color w:val="auto"/>
        </w:rPr>
      </w:pPr>
    </w:p>
    <w:p>
      <w:pPr>
        <w:ind w:left="1140" w:hanging="432"/>
        <w:spacing w:after="0"/>
        <w:tabs>
          <w:tab w:leader="none" w:pos="11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26" w:lineRule="exact"/>
        <w:rPr>
          <w:rFonts w:ascii="Times New Roman" w:cs="Times New Roman" w:eastAsia="Times New Roman" w:hAnsi="Times New Roman"/>
          <w:sz w:val="18"/>
          <w:szCs w:val="18"/>
          <w:color w:val="auto"/>
        </w:rPr>
      </w:pPr>
    </w:p>
    <w:p>
      <w:pPr>
        <w:ind w:left="1140" w:right="160" w:hanging="432"/>
        <w:spacing w:after="0" w:line="277" w:lineRule="auto"/>
        <w:tabs>
          <w:tab w:leader="none" w:pos="11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outstanding shares of Class A or Class B common stock; and</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w:t>
      </w:r>
    </w:p>
    <w:p>
      <w:pPr>
        <w:spacing w:after="0" w:line="220" w:lineRule="exact"/>
        <w:rPr>
          <w:sz w:val="20"/>
          <w:szCs w:val="20"/>
          <w:color w:val="auto"/>
        </w:rPr>
      </w:pPr>
    </w:p>
    <w:p>
      <w:pPr>
        <w:ind w:left="180" w:right="80" w:firstLine="436"/>
        <w:spacing w:after="0" w:line="255"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beneficially owned by them, subject to any applicable community property laws.</w:t>
      </w:r>
    </w:p>
    <w:p>
      <w:pPr>
        <w:spacing w:after="0" w:line="183" w:lineRule="exact"/>
        <w:rPr>
          <w:sz w:val="20"/>
          <w:szCs w:val="20"/>
          <w:color w:val="auto"/>
        </w:rPr>
      </w:pPr>
    </w:p>
    <w:p>
      <w:pPr>
        <w:ind w:left="180" w:right="40" w:firstLine="436"/>
        <w:spacing w:after="0" w:line="252" w:lineRule="auto"/>
        <w:rPr>
          <w:sz w:val="20"/>
          <w:szCs w:val="20"/>
          <w:color w:val="auto"/>
        </w:rPr>
      </w:pPr>
      <w:r>
        <w:rPr>
          <w:rFonts w:ascii="Times New Roman" w:cs="Times New Roman" w:eastAsia="Times New Roman" w:hAnsi="Times New Roman"/>
          <w:sz w:val="18"/>
          <w:szCs w:val="18"/>
          <w:color w:val="auto"/>
        </w:rPr>
        <w:t>Applicable percentage ownership before the offering and the private placement is based on 356,660,837 shares of our common stock outstanding as of July 31, 2020 after giving effect to the Preferred Stock Conversion. Applicable percentage ownership after the offering and the private placement assumes the sale of 34,615,384 shares of our Class A common stock in this offering (including 284,536 shares to be issued upon exercise of options by certain selling stockholder sin connection with the sale of such shares in this offering) and 3,846,153 shares of our Class A common stock in the private placement, which is based on an assumed initial public offering price of $26.00 per share, which is the midpoint of the estimated price range set forth on the cover page of this prospectus, after giving further effect to the filing and effectiveness of our amended and restated certificate of incorporation and the Class B Reclassification.</w:t>
      </w:r>
    </w:p>
    <w:p>
      <w:pPr>
        <w:spacing w:after="0" w:line="189" w:lineRule="exact"/>
        <w:rPr>
          <w:sz w:val="20"/>
          <w:szCs w:val="20"/>
          <w:color w:val="auto"/>
        </w:rPr>
      </w:pPr>
    </w:p>
    <w:p>
      <w:pPr>
        <w:ind w:left="180" w:right="60" w:firstLine="436"/>
        <w:spacing w:after="0" w:line="253" w:lineRule="auto"/>
        <w:rPr>
          <w:sz w:val="20"/>
          <w:szCs w:val="20"/>
          <w:color w:val="auto"/>
        </w:rPr>
      </w:pPr>
      <w:r>
        <w:rPr>
          <w:rFonts w:ascii="Times New Roman" w:cs="Times New Roman" w:eastAsia="Times New Roman" w:hAnsi="Times New Roman"/>
          <w:sz w:val="18"/>
          <w:szCs w:val="18"/>
          <w:color w:val="auto"/>
        </w:rPr>
        <w:t>In computing the number of shares beneficially owned by a person and the percentage ownership of such person, we deemed to be outstanding all shares subject to options held by the person that are currently exercisable, or would become exercisable or would vest based on service-based vesting conditions within 60 days of July 31, 2020. However, except as described above, we did not deem such shares outstanding for the purpose of computing the percentage ownership of any other person. The table below excludes any purchases that may be made through our directed share program or otherwise in this offering. See “Underwriting—Directed Share Program.” Unless otherwise indicated, the address of each beneficial owners in the table below is c/o GoodRx Holdings, Inc., 233 Wilshire Blvd., Suite 990, Santa Monica, CA 90401.</w:t>
      </w: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38"/>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9"/>
          </w:tcPr>
          <w:p>
            <w:pPr>
              <w:ind w:left="200"/>
              <w:spacing w:after="0"/>
              <w:rPr>
                <w:sz w:val="20"/>
                <w:szCs w:val="20"/>
                <w:color w:val="auto"/>
              </w:rPr>
            </w:pPr>
            <w:r>
              <w:rPr>
                <w:rFonts w:ascii="Times New Roman" w:cs="Times New Roman" w:eastAsia="Times New Roman" w:hAnsi="Times New Roman"/>
                <w:sz w:val="12"/>
                <w:szCs w:val="12"/>
                <w:b w:val="1"/>
                <w:bCs w:val="1"/>
                <w:color w:val="auto"/>
              </w:rPr>
              <w:t>Beneficial Ownership Before the Offering</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20" w:type="dxa"/>
            <w:vAlign w:val="bottom"/>
            <w:gridSpan w:val="12"/>
          </w:tcPr>
          <w:p>
            <w:pPr>
              <w:ind w:left="540"/>
              <w:spacing w:after="0"/>
              <w:rPr>
                <w:sz w:val="20"/>
                <w:szCs w:val="20"/>
                <w:color w:val="auto"/>
              </w:rPr>
            </w:pPr>
            <w:r>
              <w:rPr>
                <w:rFonts w:ascii="Times New Roman" w:cs="Times New Roman" w:eastAsia="Times New Roman" w:hAnsi="Times New Roman"/>
                <w:sz w:val="12"/>
                <w:szCs w:val="12"/>
                <w:b w:val="1"/>
                <w:bCs w:val="1"/>
                <w:color w:val="auto"/>
              </w:rPr>
              <w:t>Beneficial Ownership After the Offering and Private</w:t>
            </w:r>
          </w:p>
        </w:tc>
        <w:tc>
          <w:tcPr>
            <w:tcW w:w="0" w:type="dxa"/>
            <w:vAlign w:val="bottom"/>
          </w:tcPr>
          <w:p>
            <w:pPr>
              <w:spacing w:after="0"/>
              <w:rPr>
                <w:sz w:val="1"/>
                <w:szCs w:val="1"/>
                <w:color w:val="auto"/>
              </w:rPr>
            </w:pPr>
          </w:p>
        </w:tc>
      </w:tr>
      <w:tr>
        <w:trPr>
          <w:trHeight w:val="154"/>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2"/>
                <w:szCs w:val="12"/>
                <w:b w:val="1"/>
                <w:bCs w:val="1"/>
                <w:color w:val="auto"/>
              </w:rPr>
              <w:t>and Private Placement</w:t>
            </w: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Placement</w:t>
            </w: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right="100"/>
              <w:spacing w:after="0" w:line="107" w:lineRule="exact"/>
              <w:rPr>
                <w:sz w:val="20"/>
                <w:szCs w:val="20"/>
                <w:color w:val="auto"/>
              </w:rPr>
            </w:pPr>
            <w:r>
              <w:rPr>
                <w:rFonts w:ascii="Times New Roman" w:cs="Times New Roman" w:eastAsia="Times New Roman" w:hAnsi="Times New Roman"/>
                <w:sz w:val="12"/>
                <w:szCs w:val="12"/>
                <w:b w:val="1"/>
                <w:bCs w:val="1"/>
                <w:color w:val="auto"/>
              </w:rPr>
              <w:t>% of</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60" w:type="dxa"/>
            <w:vAlign w:val="bottom"/>
            <w:gridSpan w:val="2"/>
          </w:tcPr>
          <w:p>
            <w:pPr>
              <w:ind w:left="320"/>
              <w:spacing w:after="0" w:line="107" w:lineRule="exact"/>
              <w:rPr>
                <w:sz w:val="20"/>
                <w:szCs w:val="20"/>
                <w:color w:val="auto"/>
              </w:rPr>
            </w:pPr>
            <w:r>
              <w:rPr>
                <w:rFonts w:ascii="Times New Roman" w:cs="Times New Roman" w:eastAsia="Times New Roman" w:hAnsi="Times New Roman"/>
                <w:sz w:val="12"/>
                <w:szCs w:val="12"/>
                <w:b w:val="1"/>
                <w:bCs w:val="1"/>
                <w:color w:val="auto"/>
              </w:rPr>
              <w:t>Class A</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3"/>
          </w:tcPr>
          <w:p>
            <w:pPr>
              <w:jc w:val="right"/>
              <w:ind w:right="71"/>
              <w:spacing w:after="0" w:line="107" w:lineRule="exact"/>
              <w:rPr>
                <w:sz w:val="20"/>
                <w:szCs w:val="20"/>
                <w:color w:val="auto"/>
              </w:rPr>
            </w:pPr>
            <w:r>
              <w:rPr>
                <w:rFonts w:ascii="Times New Roman" w:cs="Times New Roman" w:eastAsia="Times New Roman" w:hAnsi="Times New Roman"/>
                <w:sz w:val="12"/>
                <w:szCs w:val="12"/>
                <w:b w:val="1"/>
                <w:bCs w:val="1"/>
                <w:color w:val="auto"/>
              </w:rPr>
              <w:t>Class B Common</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right"/>
              <w:ind w:right="111"/>
              <w:spacing w:after="0" w:line="134"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1"/>
                <w:szCs w:val="11"/>
                <w:color w:val="auto"/>
              </w:rPr>
            </w:pPr>
          </w:p>
        </w:tc>
        <w:tc>
          <w:tcPr>
            <w:tcW w:w="64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spacing w:after="0"/>
              <w:rPr>
                <w:sz w:val="11"/>
                <w:szCs w:val="11"/>
                <w:color w:val="auto"/>
              </w:rPr>
            </w:pPr>
          </w:p>
        </w:tc>
        <w:tc>
          <w:tcPr>
            <w:tcW w:w="76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2"/>
                <w:szCs w:val="12"/>
                <w:b w:val="1"/>
                <w:bCs w:val="1"/>
                <w:color w:val="auto"/>
              </w:rPr>
              <w:t>% of Total</w:t>
            </w:r>
          </w:p>
        </w:tc>
        <w:tc>
          <w:tcPr>
            <w:tcW w:w="74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Common</w:t>
            </w:r>
          </w:p>
        </w:tc>
        <w:tc>
          <w:tcPr>
            <w:tcW w:w="1180" w:type="dxa"/>
            <w:vAlign w:val="bottom"/>
            <w:gridSpan w:val="4"/>
          </w:tcPr>
          <w:p>
            <w:pPr>
              <w:ind w:left="120"/>
              <w:spacing w:after="0" w:line="134"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900" w:type="dxa"/>
            <w:vAlign w:val="bottom"/>
            <w:gridSpan w:val="2"/>
          </w:tcPr>
          <w:p>
            <w:pPr>
              <w:ind w:left="440"/>
              <w:spacing w:after="0" w:line="134" w:lineRule="exact"/>
              <w:rPr>
                <w:sz w:val="20"/>
                <w:szCs w:val="20"/>
                <w:color w:val="auto"/>
              </w:rPr>
            </w:pPr>
            <w:r>
              <w:rPr>
                <w:rFonts w:ascii="Times New Roman" w:cs="Times New Roman" w:eastAsia="Times New Roman" w:hAnsi="Times New Roman"/>
                <w:sz w:val="12"/>
                <w:szCs w:val="12"/>
                <w:b w:val="1"/>
                <w:bCs w:val="1"/>
                <w:color w:val="auto"/>
              </w:rPr>
              <w:t>Stock</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 of Total</w:t>
            </w:r>
          </w:p>
        </w:tc>
        <w:tc>
          <w:tcPr>
            <w:tcW w:w="140" w:type="dxa"/>
            <w:vAlign w:val="bottom"/>
          </w:tcPr>
          <w:p>
            <w:pPr>
              <w:spacing w:after="0"/>
              <w:rPr>
                <w:sz w:val="11"/>
                <w:szCs w:val="11"/>
                <w:color w:val="auto"/>
              </w:rPr>
            </w:pPr>
          </w:p>
        </w:tc>
        <w:tc>
          <w:tcPr>
            <w:tcW w:w="66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2"/>
                <w:szCs w:val="12"/>
                <w:b w:val="1"/>
                <w:bCs w:val="1"/>
                <w:color w:val="auto"/>
              </w:rPr>
              <w:t>% of Total</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40" w:type="dxa"/>
            <w:vAlign w:val="bottom"/>
            <w:gridSpan w:val="2"/>
            <w:vMerge w:val="restart"/>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Voting</w:t>
            </w:r>
          </w:p>
        </w:tc>
        <w:tc>
          <w:tcPr>
            <w:tcW w:w="60" w:type="dxa"/>
            <w:vAlign w:val="bottom"/>
            <w:vMerge w:val="restart"/>
          </w:tcPr>
          <w:p>
            <w:pPr>
              <w:spacing w:after="0" w:line="20" w:lineRule="exact"/>
              <w:rPr>
                <w:sz w:val="1"/>
                <w:szCs w:val="1"/>
                <w:color w:val="auto"/>
              </w:rPr>
            </w:pPr>
          </w:p>
        </w:tc>
        <w:tc>
          <w:tcPr>
            <w:tcW w:w="760" w:type="dxa"/>
            <w:vAlign w:val="bottom"/>
            <w:gridSpan w:val="2"/>
            <w:vMerge w:val="restart"/>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Common</w:t>
            </w:r>
          </w:p>
        </w:tc>
        <w:tc>
          <w:tcPr>
            <w:tcW w:w="740" w:type="dxa"/>
            <w:vAlign w:val="bottom"/>
            <w:gridSpan w:val="2"/>
            <w:vMerge w:val="restart"/>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Stock to</w:t>
            </w: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7"/>
              </w:rPr>
              <w:t>Voting</w:t>
            </w:r>
          </w:p>
        </w:tc>
        <w:tc>
          <w:tcPr>
            <w:tcW w:w="140" w:type="dxa"/>
            <w:vAlign w:val="bottom"/>
          </w:tcPr>
          <w:p>
            <w:pPr>
              <w:spacing w:after="0" w:line="20" w:lineRule="exact"/>
              <w:rPr>
                <w:sz w:val="1"/>
                <w:szCs w:val="1"/>
                <w:color w:val="auto"/>
              </w:rPr>
            </w:pPr>
          </w:p>
        </w:tc>
        <w:tc>
          <w:tcPr>
            <w:tcW w:w="660" w:type="dxa"/>
            <w:vAlign w:val="bottom"/>
            <w:gridSpan w:val="2"/>
            <w:vMerge w:val="restart"/>
          </w:tcPr>
          <w:p>
            <w:pPr>
              <w:jc w:val="center"/>
              <w:ind w:right="60"/>
              <w:spacing w:after="0" w:line="134" w:lineRule="exact"/>
              <w:rPr>
                <w:sz w:val="20"/>
                <w:szCs w:val="20"/>
                <w:color w:val="auto"/>
              </w:rPr>
            </w:pPr>
            <w:r>
              <w:rPr>
                <w:rFonts w:ascii="Times New Roman" w:cs="Times New Roman" w:eastAsia="Times New Roman" w:hAnsi="Times New Roman"/>
                <w:sz w:val="12"/>
                <w:szCs w:val="12"/>
                <w:b w:val="1"/>
                <w:bCs w:val="1"/>
                <w:color w:val="auto"/>
              </w:rPr>
              <w:t>Common</w:t>
            </w:r>
          </w:p>
        </w:tc>
        <w:tc>
          <w:tcPr>
            <w:tcW w:w="0" w:type="dxa"/>
            <w:vAlign w:val="bottom"/>
          </w:tcPr>
          <w:p>
            <w:pPr>
              <w:spacing w:after="0"/>
              <w:rPr>
                <w:sz w:val="1"/>
                <w:szCs w:val="1"/>
                <w:color w:val="auto"/>
              </w:rPr>
            </w:pPr>
          </w:p>
        </w:tc>
      </w:tr>
      <w:tr>
        <w:trPr>
          <w:trHeight w:val="93"/>
        </w:trPr>
        <w:tc>
          <w:tcPr>
            <w:tcW w:w="3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Power</w:t>
            </w:r>
          </w:p>
        </w:tc>
        <w:tc>
          <w:tcPr>
            <w:tcW w:w="60" w:type="dxa"/>
            <w:vAlign w:val="bottom"/>
          </w:tcPr>
          <w:p>
            <w:pPr>
              <w:spacing w:after="0"/>
              <w:rPr>
                <w:sz w:val="11"/>
                <w:szCs w:val="11"/>
                <w:color w:val="auto"/>
              </w:rPr>
            </w:pPr>
          </w:p>
        </w:tc>
        <w:tc>
          <w:tcPr>
            <w:tcW w:w="76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Stock</w:t>
            </w:r>
          </w:p>
        </w:tc>
        <w:tc>
          <w:tcPr>
            <w:tcW w:w="74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be Sold in</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Power</w:t>
            </w:r>
          </w:p>
        </w:tc>
        <w:tc>
          <w:tcPr>
            <w:tcW w:w="140" w:type="dxa"/>
            <w:vAlign w:val="bottom"/>
          </w:tcPr>
          <w:p>
            <w:pPr>
              <w:spacing w:after="0"/>
              <w:rPr>
                <w:sz w:val="11"/>
                <w:szCs w:val="11"/>
                <w:color w:val="auto"/>
              </w:rPr>
            </w:pPr>
          </w:p>
        </w:tc>
        <w:tc>
          <w:tcPr>
            <w:tcW w:w="66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0" w:type="dxa"/>
            <w:vAlign w:val="bottom"/>
          </w:tcPr>
          <w:p>
            <w:pPr>
              <w:spacing w:after="0"/>
              <w:rPr>
                <w:sz w:val="1"/>
                <w:szCs w:val="1"/>
                <w:color w:val="auto"/>
              </w:rPr>
            </w:pPr>
          </w:p>
        </w:tc>
      </w:tr>
      <w:tr>
        <w:trPr>
          <w:trHeight w:val="134"/>
        </w:trPr>
        <w:tc>
          <w:tcPr>
            <w:tcW w:w="3360" w:type="dxa"/>
            <w:vAlign w:val="bottom"/>
            <w:vMerge w:val="restart"/>
          </w:tcPr>
          <w:p>
            <w:pPr>
              <w:ind w:left="980"/>
              <w:spacing w:after="0"/>
              <w:rPr>
                <w:sz w:val="20"/>
                <w:szCs w:val="20"/>
                <w:color w:val="auto"/>
              </w:rPr>
            </w:pPr>
            <w:r>
              <w:rPr>
                <w:rFonts w:ascii="Times New Roman" w:cs="Times New Roman" w:eastAsia="Times New Roman" w:hAnsi="Times New Roman"/>
                <w:sz w:val="12"/>
                <w:szCs w:val="12"/>
                <w:b w:val="1"/>
                <w:bCs w:val="1"/>
                <w:color w:val="auto"/>
              </w:rPr>
              <w:t>Name of Beneficial Owner</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Before the</w:t>
            </w:r>
          </w:p>
        </w:tc>
        <w:tc>
          <w:tcPr>
            <w:tcW w:w="820" w:type="dxa"/>
            <w:vAlign w:val="bottom"/>
            <w:gridSpan w:val="3"/>
          </w:tcPr>
          <w:p>
            <w:pPr>
              <w:jc w:val="right"/>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Beneficially</w:t>
            </w:r>
          </w:p>
        </w:tc>
        <w:tc>
          <w:tcPr>
            <w:tcW w:w="74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w w:val="99"/>
              </w:rPr>
              <w:t>the</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After the</w:t>
            </w:r>
          </w:p>
        </w:tc>
        <w:tc>
          <w:tcPr>
            <w:tcW w:w="800" w:type="dxa"/>
            <w:vAlign w:val="bottom"/>
            <w:gridSpan w:val="3"/>
          </w:tcPr>
          <w:p>
            <w:pPr>
              <w:jc w:val="right"/>
              <w:ind w:right="40"/>
              <w:spacing w:after="0" w:line="134" w:lineRule="exact"/>
              <w:rPr>
                <w:sz w:val="20"/>
                <w:szCs w:val="20"/>
                <w:color w:val="auto"/>
              </w:rPr>
            </w:pPr>
            <w:r>
              <w:rPr>
                <w:rFonts w:ascii="Times New Roman" w:cs="Times New Roman" w:eastAsia="Times New Roman" w:hAnsi="Times New Roman"/>
                <w:sz w:val="12"/>
                <w:szCs w:val="12"/>
                <w:b w:val="1"/>
                <w:bCs w:val="1"/>
                <w:color w:val="auto"/>
              </w:rPr>
              <w:t>Beneficially</w:t>
            </w:r>
          </w:p>
        </w:tc>
        <w:tc>
          <w:tcPr>
            <w:tcW w:w="0" w:type="dxa"/>
            <w:vAlign w:val="bottom"/>
          </w:tcPr>
          <w:p>
            <w:pPr>
              <w:spacing w:after="0"/>
              <w:rPr>
                <w:sz w:val="1"/>
                <w:szCs w:val="1"/>
                <w:color w:val="auto"/>
              </w:rPr>
            </w:pPr>
          </w:p>
        </w:tc>
      </w:tr>
      <w:tr>
        <w:trPr>
          <w:trHeight w:val="154"/>
        </w:trPr>
        <w:tc>
          <w:tcPr>
            <w:tcW w:w="33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3"/>
                <w:szCs w:val="13"/>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60" w:type="dxa"/>
            <w:vAlign w:val="bottom"/>
          </w:tcPr>
          <w:p>
            <w:pPr>
              <w:spacing w:after="0"/>
              <w:rPr>
                <w:sz w:val="13"/>
                <w:szCs w:val="13"/>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Owned</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Offering</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3"/>
                <w:szCs w:val="13"/>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300" w:type="dxa"/>
            <w:vAlign w:val="bottom"/>
          </w:tcPr>
          <w:p>
            <w:pPr>
              <w:jc w:val="right"/>
              <w:ind w:right="31"/>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Offering(1)</w:t>
            </w:r>
          </w:p>
        </w:tc>
        <w:tc>
          <w:tcPr>
            <w:tcW w:w="140" w:type="dxa"/>
            <w:vAlign w:val="bottom"/>
          </w:tcPr>
          <w:p>
            <w:pPr>
              <w:spacing w:after="0"/>
              <w:rPr>
                <w:sz w:val="13"/>
                <w:szCs w:val="13"/>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Owned</w:t>
            </w:r>
          </w:p>
        </w:tc>
        <w:tc>
          <w:tcPr>
            <w:tcW w:w="0" w:type="dxa"/>
            <w:vAlign w:val="bottom"/>
          </w:tcPr>
          <w:p>
            <w:pPr>
              <w:spacing w:after="0"/>
              <w:rPr>
                <w:sz w:val="1"/>
                <w:szCs w:val="1"/>
                <w:color w:val="auto"/>
              </w:rPr>
            </w:pPr>
          </w:p>
        </w:tc>
      </w:tr>
      <w:tr>
        <w:trPr>
          <w:trHeight w:val="140"/>
        </w:trPr>
        <w:tc>
          <w:tcPr>
            <w:tcW w:w="336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5% Stockholders:</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3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Entities affiliated with Silver Lake</w:t>
            </w:r>
            <w:r>
              <w:rPr>
                <w:rFonts w:ascii="Times New Roman" w:cs="Times New Roman" w:eastAsia="Times New Roman" w:hAnsi="Times New Roman"/>
                <w:sz w:val="12"/>
                <w:szCs w:val="12"/>
                <w:color w:val="auto"/>
              </w:rPr>
              <w:t>(2)</w:t>
            </w:r>
          </w:p>
        </w:tc>
        <w:tc>
          <w:tcPr>
            <w:tcW w:w="8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126,045,531</w:t>
            </w:r>
          </w:p>
        </w:tc>
        <w:tc>
          <w:tcPr>
            <w:tcW w:w="140" w:type="dxa"/>
            <w:vAlign w:val="bottom"/>
          </w:tcPr>
          <w:p>
            <w:pPr>
              <w:spacing w:after="0"/>
              <w:rPr>
                <w:sz w:val="12"/>
                <w:szCs w:val="12"/>
                <w:color w:val="auto"/>
              </w:rPr>
            </w:pPr>
          </w:p>
        </w:tc>
        <w:tc>
          <w:tcPr>
            <w:tcW w:w="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35.3</w:t>
            </w:r>
          </w:p>
        </w:tc>
        <w:tc>
          <w:tcPr>
            <w:tcW w:w="7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35.3</w:t>
            </w:r>
          </w:p>
        </w:tc>
        <w:tc>
          <w:tcPr>
            <w:tcW w:w="80" w:type="dxa"/>
            <w:vAlign w:val="bottom"/>
          </w:tcPr>
          <w:p>
            <w:pPr>
              <w:spacing w:after="0"/>
              <w:rPr>
                <w:sz w:val="12"/>
                <w:szCs w:val="12"/>
                <w:color w:val="auto"/>
              </w:rPr>
            </w:pPr>
          </w:p>
        </w:tc>
        <w:tc>
          <w:tcPr>
            <w:tcW w:w="6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35.3</w:t>
            </w:r>
          </w:p>
        </w:tc>
        <w:tc>
          <w:tcPr>
            <w:tcW w:w="140" w:type="dxa"/>
            <w:vAlign w:val="bottom"/>
          </w:tcPr>
          <w:p>
            <w:pPr>
              <w:spacing w:after="0"/>
              <w:rPr>
                <w:sz w:val="12"/>
                <w:szCs w:val="12"/>
                <w:color w:val="auto"/>
              </w:rPr>
            </w:pPr>
          </w:p>
        </w:tc>
        <w:tc>
          <w:tcPr>
            <w:tcW w:w="74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w w:val="99"/>
              </w:rPr>
              <w:t>3,846,153</w:t>
            </w:r>
          </w:p>
        </w:tc>
        <w:tc>
          <w:tcPr>
            <w:tcW w:w="140" w:type="dxa"/>
            <w:vAlign w:val="bottom"/>
          </w:tcPr>
          <w:p>
            <w:pPr>
              <w:spacing w:after="0"/>
              <w:rPr>
                <w:sz w:val="12"/>
                <w:szCs w:val="12"/>
                <w:color w:val="auto"/>
              </w:rPr>
            </w:pPr>
          </w:p>
        </w:tc>
        <w:tc>
          <w:tcPr>
            <w:tcW w:w="28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w w:val="89"/>
              </w:rPr>
              <w:t>10.0</w:t>
            </w:r>
          </w:p>
        </w:tc>
        <w:tc>
          <w:tcPr>
            <w:tcW w:w="14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126,045,531</w:t>
            </w:r>
          </w:p>
        </w:tc>
        <w:tc>
          <w:tcPr>
            <w:tcW w:w="140" w:type="dxa"/>
            <w:vAlign w:val="bottom"/>
          </w:tcPr>
          <w:p>
            <w:pPr>
              <w:spacing w:after="0"/>
              <w:rPr>
                <w:sz w:val="12"/>
                <w:szCs w:val="12"/>
                <w:color w:val="auto"/>
              </w:rPr>
            </w:pPr>
          </w:p>
        </w:tc>
        <w:tc>
          <w:tcPr>
            <w:tcW w:w="3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36.5</w:t>
            </w:r>
          </w:p>
        </w:tc>
        <w:tc>
          <w:tcPr>
            <w:tcW w:w="7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36.2</w:t>
            </w:r>
          </w:p>
        </w:tc>
        <w:tc>
          <w:tcPr>
            <w:tcW w:w="7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33.8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3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Entities affiliated with Francisco Partners</w:t>
            </w:r>
            <w:r>
              <w:rPr>
                <w:rFonts w:ascii="Times New Roman" w:cs="Times New Roman" w:eastAsia="Times New Roman" w:hAnsi="Times New Roman"/>
                <w:sz w:val="12"/>
                <w:szCs w:val="12"/>
                <w:color w:val="auto"/>
              </w:rPr>
              <w:t>(3)</w:t>
            </w:r>
          </w:p>
        </w:tc>
        <w:tc>
          <w:tcPr>
            <w:tcW w:w="8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84,700,550</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23.7</w:t>
            </w:r>
          </w:p>
        </w:tc>
        <w:tc>
          <w:tcPr>
            <w:tcW w:w="7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23.7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23.7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84,700,550</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24.5</w:t>
            </w:r>
          </w:p>
        </w:tc>
        <w:tc>
          <w:tcPr>
            <w:tcW w:w="7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24.2</w:t>
            </w:r>
          </w:p>
        </w:tc>
        <w:tc>
          <w:tcPr>
            <w:tcW w:w="7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22.1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3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Entities affiliates with Spectrum</w:t>
            </w:r>
            <w:r>
              <w:rPr>
                <w:rFonts w:ascii="Times New Roman" w:cs="Times New Roman" w:eastAsia="Times New Roman" w:hAnsi="Times New Roman"/>
                <w:sz w:val="12"/>
                <w:szCs w:val="12"/>
                <w:color w:val="auto"/>
              </w:rPr>
              <w:t>(4)</w:t>
            </w:r>
          </w:p>
        </w:tc>
        <w:tc>
          <w:tcPr>
            <w:tcW w:w="8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54,945,075</w:t>
            </w:r>
          </w:p>
        </w:tc>
        <w:tc>
          <w:tcPr>
            <w:tcW w:w="140" w:type="dxa"/>
            <w:vAlign w:val="bottom"/>
          </w:tcPr>
          <w:p>
            <w:pPr>
              <w:spacing w:after="0"/>
              <w:rPr>
                <w:sz w:val="12"/>
                <w:szCs w:val="12"/>
                <w:color w:val="auto"/>
              </w:rPr>
            </w:pPr>
          </w:p>
        </w:tc>
        <w:tc>
          <w:tcPr>
            <w:tcW w:w="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15.4</w:t>
            </w:r>
          </w:p>
        </w:tc>
        <w:tc>
          <w:tcPr>
            <w:tcW w:w="7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2"/>
                <w:szCs w:val="12"/>
                <w:color w:val="auto"/>
              </w:rPr>
            </w:pPr>
          </w:p>
        </w:tc>
        <w:tc>
          <w:tcPr>
            <w:tcW w:w="6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15.4</w:t>
            </w:r>
          </w:p>
        </w:tc>
        <w:tc>
          <w:tcPr>
            <w:tcW w:w="14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6,800,000</w:t>
            </w:r>
          </w:p>
        </w:tc>
        <w:tc>
          <w:tcPr>
            <w:tcW w:w="120" w:type="dxa"/>
            <w:vAlign w:val="bottom"/>
          </w:tcPr>
          <w:p>
            <w:pPr>
              <w:spacing w:after="0"/>
              <w:rPr>
                <w:sz w:val="12"/>
                <w:szCs w:val="12"/>
                <w:color w:val="auto"/>
              </w:rPr>
            </w:pPr>
          </w:p>
        </w:tc>
        <w:tc>
          <w:tcPr>
            <w:tcW w:w="76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48,145,075</w:t>
            </w:r>
          </w:p>
        </w:tc>
        <w:tc>
          <w:tcPr>
            <w:tcW w:w="140" w:type="dxa"/>
            <w:vAlign w:val="bottom"/>
          </w:tcPr>
          <w:p>
            <w:pPr>
              <w:spacing w:after="0"/>
              <w:rPr>
                <w:sz w:val="12"/>
                <w:szCs w:val="12"/>
                <w:color w:val="auto"/>
              </w:rPr>
            </w:pPr>
          </w:p>
        </w:tc>
        <w:tc>
          <w:tcPr>
            <w:tcW w:w="3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13.9</w:t>
            </w:r>
          </w:p>
        </w:tc>
        <w:tc>
          <w:tcPr>
            <w:tcW w:w="7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13.8</w:t>
            </w:r>
          </w:p>
        </w:tc>
        <w:tc>
          <w:tcPr>
            <w:tcW w:w="7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3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Idea Men, LLC</w:t>
            </w:r>
            <w:r>
              <w:rPr>
                <w:rFonts w:ascii="Times New Roman" w:cs="Times New Roman" w:eastAsia="Times New Roman" w:hAnsi="Times New Roman"/>
                <w:sz w:val="12"/>
                <w:szCs w:val="12"/>
                <w:color w:val="auto"/>
              </w:rPr>
              <w:t>(5)</w:t>
            </w:r>
          </w:p>
        </w:tc>
        <w:tc>
          <w:tcPr>
            <w:tcW w:w="8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63,866,100</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17.9</w:t>
            </w:r>
          </w:p>
        </w:tc>
        <w:tc>
          <w:tcPr>
            <w:tcW w:w="7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17.9</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3,773,585</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60,092,515</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17.4</w:t>
            </w:r>
          </w:p>
        </w:tc>
        <w:tc>
          <w:tcPr>
            <w:tcW w:w="7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17.2</w:t>
            </w:r>
          </w:p>
        </w:tc>
        <w:tc>
          <w:tcPr>
            <w:tcW w:w="7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15.6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80"/>
          </w:cols>
          <w:pgMar w:left="320" w:top="454" w:right="49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gridSpan w:val="9"/>
          </w:tcPr>
          <w:p>
            <w:pPr>
              <w:ind w:left="160"/>
              <w:spacing w:after="0"/>
              <w:rPr>
                <w:sz w:val="20"/>
                <w:szCs w:val="20"/>
                <w:color w:val="auto"/>
              </w:rPr>
            </w:pPr>
            <w:r>
              <w:rPr>
                <w:rFonts w:ascii="Times New Roman" w:cs="Times New Roman" w:eastAsia="Times New Roman" w:hAnsi="Times New Roman"/>
                <w:sz w:val="12"/>
                <w:szCs w:val="12"/>
                <w:b w:val="1"/>
                <w:bCs w:val="1"/>
                <w:color w:val="auto"/>
              </w:rPr>
              <w:t>Beneficial Ownership Before the Offering</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gridSpan w:val="6"/>
          </w:tcPr>
          <w:p>
            <w:pPr>
              <w:jc w:val="center"/>
              <w:ind w:right="210"/>
              <w:spacing w:after="0"/>
              <w:rPr>
                <w:sz w:val="20"/>
                <w:szCs w:val="20"/>
                <w:color w:val="auto"/>
              </w:rPr>
            </w:pPr>
            <w:r>
              <w:rPr>
                <w:rFonts w:ascii="Times New Roman" w:cs="Times New Roman" w:eastAsia="Times New Roman" w:hAnsi="Times New Roman"/>
                <w:sz w:val="12"/>
                <w:szCs w:val="12"/>
                <w:b w:val="1"/>
                <w:bCs w:val="1"/>
                <w:color w:val="auto"/>
              </w:rPr>
              <w:t>Beneficial Ownership After the</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2"/>
                <w:szCs w:val="12"/>
                <w:b w:val="1"/>
                <w:bCs w:val="1"/>
                <w:color w:val="auto"/>
              </w:rPr>
              <w:t>and Private Placement</w:t>
            </w: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center"/>
              <w:ind w:left="172"/>
              <w:spacing w:after="0"/>
              <w:rPr>
                <w:sz w:val="20"/>
                <w:szCs w:val="20"/>
                <w:color w:val="auto"/>
              </w:rPr>
            </w:pPr>
            <w:r>
              <w:rPr>
                <w:rFonts w:ascii="Times New Roman" w:cs="Times New Roman" w:eastAsia="Times New Roman" w:hAnsi="Times New Roman"/>
                <w:sz w:val="12"/>
                <w:szCs w:val="12"/>
                <w:b w:val="1"/>
                <w:bCs w:val="1"/>
                <w:color w:val="auto"/>
              </w:rPr>
              <w:t>Private Placement</w:t>
            </w: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 of Total</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ind w:left="300"/>
              <w:spacing w:after="0" w:line="107" w:lineRule="exact"/>
              <w:rPr>
                <w:sz w:val="20"/>
                <w:szCs w:val="20"/>
                <w:color w:val="auto"/>
              </w:rPr>
            </w:pPr>
            <w:r>
              <w:rPr>
                <w:rFonts w:ascii="Times New Roman" w:cs="Times New Roman" w:eastAsia="Times New Roman" w:hAnsi="Times New Roman"/>
                <w:sz w:val="12"/>
                <w:szCs w:val="12"/>
                <w:b w:val="1"/>
                <w:bCs w:val="1"/>
                <w:color w:val="auto"/>
              </w:rPr>
              <w:t>Class A</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tcPr>
          <w:p>
            <w:pPr>
              <w:jc w:val="center"/>
              <w:ind w:left="172"/>
              <w:spacing w:after="0" w:line="107" w:lineRule="exact"/>
              <w:rPr>
                <w:sz w:val="20"/>
                <w:szCs w:val="20"/>
                <w:color w:val="auto"/>
              </w:rPr>
            </w:pPr>
            <w:r>
              <w:rPr>
                <w:rFonts w:ascii="Times New Roman" w:cs="Times New Roman" w:eastAsia="Times New Roman" w:hAnsi="Times New Roman"/>
                <w:sz w:val="12"/>
                <w:szCs w:val="12"/>
                <w:b w:val="1"/>
                <w:bCs w:val="1"/>
                <w:color w:val="auto"/>
                <w:w w:val="98"/>
              </w:rPr>
              <w:t>Class B</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 of Total</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Class A</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jc w:val="right"/>
              <w:ind w:right="9"/>
              <w:spacing w:after="0" w:line="134"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1"/>
                <w:szCs w:val="11"/>
                <w:color w:val="auto"/>
              </w:rPr>
            </w:pPr>
          </w:p>
        </w:tc>
        <w:tc>
          <w:tcPr>
            <w:tcW w:w="1200" w:type="dxa"/>
            <w:vAlign w:val="bottom"/>
            <w:gridSpan w:val="4"/>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2"/>
                <w:szCs w:val="12"/>
                <w:b w:val="1"/>
                <w:bCs w:val="1"/>
                <w:color w:val="auto"/>
              </w:rPr>
              <w:t>Class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80" w:type="dxa"/>
            <w:vAlign w:val="bottom"/>
            <w:gridSpan w:val="2"/>
            <w:vMerge w:val="restart"/>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 of</w:t>
            </w:r>
          </w:p>
        </w:tc>
        <w:tc>
          <w:tcPr>
            <w:tcW w:w="20" w:type="dxa"/>
            <w:vAlign w:val="bottom"/>
            <w:vMerge w:val="restart"/>
          </w:tcPr>
          <w:p>
            <w:pPr>
              <w:spacing w:after="0" w:line="20" w:lineRule="exact"/>
              <w:rPr>
                <w:sz w:val="1"/>
                <w:szCs w:val="1"/>
                <w:color w:val="auto"/>
              </w:rPr>
            </w:pPr>
          </w:p>
        </w:tc>
        <w:tc>
          <w:tcPr>
            <w:tcW w:w="760" w:type="dxa"/>
            <w:vAlign w:val="bottom"/>
            <w:gridSpan w:val="2"/>
            <w:vMerge w:val="restart"/>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and</w:t>
            </w:r>
          </w:p>
        </w:tc>
        <w:tc>
          <w:tcPr>
            <w:tcW w:w="640" w:type="dxa"/>
            <w:vAlign w:val="bottom"/>
            <w:gridSpan w:val="2"/>
            <w:vMerge w:val="restart"/>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Class A</w:t>
            </w: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vMerge w:val="restart"/>
          </w:tcPr>
          <w:p>
            <w:pPr>
              <w:jc w:val="center"/>
              <w:ind w:right="60"/>
              <w:spacing w:after="0" w:line="134" w:lineRule="exact"/>
              <w:rPr>
                <w:sz w:val="20"/>
                <w:szCs w:val="20"/>
                <w:color w:val="auto"/>
              </w:rPr>
            </w:pPr>
            <w:r>
              <w:rPr>
                <w:rFonts w:ascii="Times New Roman" w:cs="Times New Roman" w:eastAsia="Times New Roman" w:hAnsi="Times New Roman"/>
                <w:sz w:val="12"/>
                <w:szCs w:val="12"/>
                <w:b w:val="1"/>
                <w:bCs w:val="1"/>
                <w:color w:val="auto"/>
              </w:rPr>
              <w:t>and</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Total</w:t>
            </w:r>
          </w:p>
        </w:tc>
        <w:tc>
          <w:tcPr>
            <w:tcW w:w="20" w:type="dxa"/>
            <w:vAlign w:val="bottom"/>
          </w:tcPr>
          <w:p>
            <w:pPr>
              <w:spacing w:after="0"/>
              <w:rPr>
                <w:sz w:val="11"/>
                <w:szCs w:val="11"/>
                <w:color w:val="auto"/>
              </w:rPr>
            </w:pPr>
          </w:p>
        </w:tc>
        <w:tc>
          <w:tcPr>
            <w:tcW w:w="76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Class B</w:t>
            </w:r>
          </w:p>
        </w:tc>
        <w:tc>
          <w:tcPr>
            <w:tcW w:w="64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Common</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b w:val="1"/>
                <w:bCs w:val="1"/>
                <w:color w:val="auto"/>
              </w:rPr>
              <w:t>% of Total</w:t>
            </w:r>
          </w:p>
        </w:tc>
        <w:tc>
          <w:tcPr>
            <w:tcW w:w="140" w:type="dxa"/>
            <w:vAlign w:val="bottom"/>
          </w:tcPr>
          <w:p>
            <w:pPr>
              <w:spacing w:after="0"/>
              <w:rPr>
                <w:sz w:val="11"/>
                <w:szCs w:val="11"/>
                <w:color w:val="auto"/>
              </w:rPr>
            </w:pPr>
          </w:p>
        </w:tc>
        <w:tc>
          <w:tcPr>
            <w:tcW w:w="66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2"/>
                <w:szCs w:val="12"/>
                <w:b w:val="1"/>
                <w:bCs w:val="1"/>
                <w:color w:val="auto"/>
              </w:rPr>
              <w:t>Class B</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Voting</w:t>
            </w:r>
          </w:p>
        </w:tc>
        <w:tc>
          <w:tcPr>
            <w:tcW w:w="20" w:type="dxa"/>
            <w:vAlign w:val="bottom"/>
          </w:tcPr>
          <w:p>
            <w:pPr>
              <w:spacing w:after="0"/>
              <w:rPr>
                <w:sz w:val="11"/>
                <w:szCs w:val="11"/>
                <w:color w:val="auto"/>
              </w:rPr>
            </w:pPr>
          </w:p>
        </w:tc>
        <w:tc>
          <w:tcPr>
            <w:tcW w:w="76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Common</w:t>
            </w:r>
          </w:p>
        </w:tc>
        <w:tc>
          <w:tcPr>
            <w:tcW w:w="64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Stock to</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70"/>
              <w:spacing w:after="0" w:line="134" w:lineRule="exact"/>
              <w:rPr>
                <w:sz w:val="20"/>
                <w:szCs w:val="20"/>
                <w:color w:val="auto"/>
              </w:rPr>
            </w:pPr>
            <w:r>
              <w:rPr>
                <w:rFonts w:ascii="Times New Roman" w:cs="Times New Roman" w:eastAsia="Times New Roman" w:hAnsi="Times New Roman"/>
                <w:sz w:val="12"/>
                <w:szCs w:val="12"/>
                <w:b w:val="1"/>
                <w:bCs w:val="1"/>
                <w:color w:val="auto"/>
              </w:rPr>
              <w:t>Voting</w:t>
            </w:r>
          </w:p>
        </w:tc>
        <w:tc>
          <w:tcPr>
            <w:tcW w:w="140" w:type="dxa"/>
            <w:vAlign w:val="bottom"/>
          </w:tcPr>
          <w:p>
            <w:pPr>
              <w:spacing w:after="0"/>
              <w:rPr>
                <w:sz w:val="11"/>
                <w:szCs w:val="11"/>
                <w:color w:val="auto"/>
              </w:rPr>
            </w:pPr>
          </w:p>
        </w:tc>
        <w:tc>
          <w:tcPr>
            <w:tcW w:w="66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2"/>
                <w:szCs w:val="12"/>
                <w:b w:val="1"/>
                <w:bCs w:val="1"/>
                <w:color w:val="auto"/>
              </w:rPr>
              <w:t>Common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Power</w:t>
            </w:r>
          </w:p>
        </w:tc>
        <w:tc>
          <w:tcPr>
            <w:tcW w:w="20" w:type="dxa"/>
            <w:vAlign w:val="bottom"/>
          </w:tcPr>
          <w:p>
            <w:pPr>
              <w:spacing w:after="0"/>
              <w:rPr>
                <w:sz w:val="11"/>
                <w:szCs w:val="11"/>
                <w:color w:val="auto"/>
              </w:rPr>
            </w:pPr>
          </w:p>
        </w:tc>
        <w:tc>
          <w:tcPr>
            <w:tcW w:w="76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Stock</w:t>
            </w:r>
          </w:p>
        </w:tc>
        <w:tc>
          <w:tcPr>
            <w:tcW w:w="64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be Sold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70"/>
              <w:spacing w:after="0" w:line="134" w:lineRule="exact"/>
              <w:rPr>
                <w:sz w:val="20"/>
                <w:szCs w:val="20"/>
                <w:color w:val="auto"/>
              </w:rPr>
            </w:pPr>
            <w:r>
              <w:rPr>
                <w:rFonts w:ascii="Times New Roman" w:cs="Times New Roman" w:eastAsia="Times New Roman" w:hAnsi="Times New Roman"/>
                <w:sz w:val="12"/>
                <w:szCs w:val="12"/>
                <w:b w:val="1"/>
                <w:bCs w:val="1"/>
                <w:color w:val="auto"/>
              </w:rPr>
              <w:t>Power</w:t>
            </w:r>
          </w:p>
        </w:tc>
        <w:tc>
          <w:tcPr>
            <w:tcW w:w="140" w:type="dxa"/>
            <w:vAlign w:val="bottom"/>
          </w:tcPr>
          <w:p>
            <w:pPr>
              <w:spacing w:after="0"/>
              <w:rPr>
                <w:sz w:val="11"/>
                <w:szCs w:val="11"/>
                <w:color w:val="auto"/>
              </w:rPr>
            </w:pPr>
          </w:p>
        </w:tc>
        <w:tc>
          <w:tcPr>
            <w:tcW w:w="660" w:type="dxa"/>
            <w:vAlign w:val="bottom"/>
            <w:gridSpan w:val="2"/>
          </w:tcPr>
          <w:p>
            <w:pPr>
              <w:jc w:val="center"/>
              <w:ind w:right="60"/>
              <w:spacing w:after="0" w:line="134"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40" w:type="dxa"/>
            <w:vAlign w:val="bottom"/>
            <w:vMerge w:val="restart"/>
          </w:tcPr>
          <w:p>
            <w:pPr>
              <w:ind w:left="1160"/>
              <w:spacing w:after="0"/>
              <w:rPr>
                <w:sz w:val="20"/>
                <w:szCs w:val="20"/>
                <w:color w:val="auto"/>
              </w:rPr>
            </w:pPr>
            <w:r>
              <w:rPr>
                <w:rFonts w:ascii="Times New Roman" w:cs="Times New Roman" w:eastAsia="Times New Roman" w:hAnsi="Times New Roman"/>
                <w:sz w:val="12"/>
                <w:szCs w:val="12"/>
                <w:b w:val="1"/>
                <w:bCs w:val="1"/>
                <w:color w:val="auto"/>
              </w:rPr>
              <w:t>Name of Beneficial Owner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Before the</w:t>
            </w:r>
          </w:p>
        </w:tc>
        <w:tc>
          <w:tcPr>
            <w:tcW w:w="780" w:type="dxa"/>
            <w:vAlign w:val="bottom"/>
            <w:gridSpan w:val="3"/>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Beneficially</w:t>
            </w:r>
          </w:p>
        </w:tc>
        <w:tc>
          <w:tcPr>
            <w:tcW w:w="64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in the</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0"/>
              <w:spacing w:after="0" w:line="134" w:lineRule="exact"/>
              <w:rPr>
                <w:sz w:val="20"/>
                <w:szCs w:val="20"/>
                <w:color w:val="auto"/>
              </w:rPr>
            </w:pPr>
            <w:r>
              <w:rPr>
                <w:rFonts w:ascii="Times New Roman" w:cs="Times New Roman" w:eastAsia="Times New Roman" w:hAnsi="Times New Roman"/>
                <w:sz w:val="12"/>
                <w:szCs w:val="12"/>
                <w:b w:val="1"/>
                <w:bCs w:val="1"/>
                <w:color w:val="auto"/>
              </w:rPr>
              <w:t>After the</w:t>
            </w:r>
          </w:p>
        </w:tc>
        <w:tc>
          <w:tcPr>
            <w:tcW w:w="800" w:type="dxa"/>
            <w:vAlign w:val="bottom"/>
            <w:gridSpan w:val="3"/>
          </w:tcPr>
          <w:p>
            <w:pPr>
              <w:jc w:val="center"/>
              <w:ind w:left="9"/>
              <w:spacing w:after="0" w:line="134" w:lineRule="exact"/>
              <w:rPr>
                <w:sz w:val="20"/>
                <w:szCs w:val="20"/>
                <w:color w:val="auto"/>
              </w:rPr>
            </w:pPr>
            <w:r>
              <w:rPr>
                <w:rFonts w:ascii="Times New Roman" w:cs="Times New Roman" w:eastAsia="Times New Roman" w:hAnsi="Times New Roman"/>
                <w:sz w:val="12"/>
                <w:szCs w:val="12"/>
                <w:b w:val="1"/>
                <w:bCs w:val="1"/>
                <w:color w:val="auto"/>
              </w:rPr>
              <w:t>Beneficially</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60" w:type="dxa"/>
            <w:vAlign w:val="bottom"/>
          </w:tcPr>
          <w:p>
            <w:pPr>
              <w:jc w:val="right"/>
              <w:ind w:right="9"/>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3"/>
                <w:szCs w:val="13"/>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20" w:type="dxa"/>
            <w:vAlign w:val="bottom"/>
          </w:tcPr>
          <w:p>
            <w:pPr>
              <w:spacing w:after="0"/>
              <w:rPr>
                <w:sz w:val="13"/>
                <w:szCs w:val="13"/>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Owned</w:t>
            </w: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3"/>
                <w:szCs w:val="13"/>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60" w:type="dxa"/>
            <w:vAlign w:val="bottom"/>
          </w:tcPr>
          <w:p>
            <w:pPr>
              <w:jc w:val="right"/>
              <w:ind w:right="9"/>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Offering(1)</w:t>
            </w:r>
          </w:p>
        </w:tc>
        <w:tc>
          <w:tcPr>
            <w:tcW w:w="140" w:type="dxa"/>
            <w:vAlign w:val="bottom"/>
          </w:tcPr>
          <w:p>
            <w:pPr>
              <w:spacing w:after="0"/>
              <w:rPr>
                <w:sz w:val="13"/>
                <w:szCs w:val="13"/>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Owned</w:t>
            </w: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3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Named Executive Officers and Directors:</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Christopher Adams</w:t>
            </w:r>
          </w:p>
        </w:tc>
        <w:tc>
          <w:tcPr>
            <w:tcW w:w="80" w:type="dxa"/>
            <w:vAlign w:val="bottom"/>
          </w:tcPr>
          <w:p>
            <w:pPr>
              <w:spacing w:after="0"/>
              <w:rPr>
                <w:sz w:val="12"/>
                <w:szCs w:val="12"/>
                <w:color w:val="auto"/>
              </w:rPr>
            </w:pPr>
          </w:p>
        </w:tc>
        <w:tc>
          <w:tcPr>
            <w:tcW w:w="820" w:type="dxa"/>
            <w:vAlign w:val="bottom"/>
            <w:gridSpan w:val="2"/>
          </w:tcPr>
          <w:p>
            <w:pPr>
              <w:jc w:val="center"/>
              <w:ind w:left="192"/>
              <w:spacing w:after="0" w:line="147"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ind w:left="3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760" w:type="dxa"/>
            <w:vAlign w:val="bottom"/>
            <w:gridSpan w:val="2"/>
          </w:tcPr>
          <w:p>
            <w:pPr>
              <w:ind w:left="4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center"/>
              <w:ind w:left="172"/>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Trevor Bezdek</w:t>
            </w:r>
            <w:r>
              <w:rPr>
                <w:rFonts w:ascii="Times New Roman" w:cs="Times New Roman" w:eastAsia="Times New Roman" w:hAnsi="Times New Roman"/>
                <w:sz w:val="12"/>
                <w:szCs w:val="12"/>
                <w:color w:val="auto"/>
              </w:rPr>
              <w:t>(6)</w:t>
            </w:r>
          </w:p>
        </w:tc>
        <w:tc>
          <w:tcPr>
            <w:tcW w:w="7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4,500,000</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7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4,500,000</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7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Julie Bradley</w:t>
            </w:r>
          </w:p>
        </w:tc>
        <w:tc>
          <w:tcPr>
            <w:tcW w:w="80" w:type="dxa"/>
            <w:vAlign w:val="bottom"/>
          </w:tcPr>
          <w:p>
            <w:pPr>
              <w:spacing w:after="0"/>
              <w:rPr>
                <w:sz w:val="12"/>
                <w:szCs w:val="12"/>
                <w:color w:val="auto"/>
              </w:rPr>
            </w:pPr>
          </w:p>
        </w:tc>
        <w:tc>
          <w:tcPr>
            <w:tcW w:w="820" w:type="dxa"/>
            <w:vAlign w:val="bottom"/>
            <w:gridSpan w:val="2"/>
          </w:tcPr>
          <w:p>
            <w:pPr>
              <w:jc w:val="center"/>
              <w:ind w:left="192"/>
              <w:spacing w:after="0" w:line="147"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ind w:left="4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center"/>
              <w:ind w:left="172"/>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Dipanjan Deb</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left="192"/>
              <w:spacing w:after="0" w:line="147"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ind w:left="3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left="172"/>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Douglas Hirsch</w:t>
            </w:r>
            <w:r>
              <w:rPr>
                <w:rFonts w:ascii="Times New Roman" w:cs="Times New Roman" w:eastAsia="Times New Roman" w:hAnsi="Times New Roman"/>
                <w:sz w:val="12"/>
                <w:szCs w:val="12"/>
                <w:color w:val="auto"/>
              </w:rPr>
              <w:t>(7)</w:t>
            </w:r>
          </w:p>
        </w:tc>
        <w:tc>
          <w:tcPr>
            <w:tcW w:w="7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4,500,000</w:t>
            </w:r>
          </w:p>
        </w:tc>
        <w:tc>
          <w:tcPr>
            <w:tcW w:w="14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7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2"/>
                <w:szCs w:val="12"/>
                <w:color w:val="auto"/>
              </w:rPr>
            </w:pPr>
          </w:p>
        </w:tc>
        <w:tc>
          <w:tcPr>
            <w:tcW w:w="6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2"/>
                <w:szCs w:val="12"/>
                <w:color w:val="auto"/>
              </w:rPr>
            </w:pPr>
          </w:p>
        </w:tc>
        <w:tc>
          <w:tcPr>
            <w:tcW w:w="640" w:type="dxa"/>
            <w:vAlign w:val="bottom"/>
            <w:gridSpan w:val="2"/>
          </w:tcPr>
          <w:p>
            <w:pPr>
              <w:ind w:left="3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4,500,000</w:t>
            </w:r>
          </w:p>
        </w:tc>
        <w:tc>
          <w:tcPr>
            <w:tcW w:w="14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7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Adam Karol</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left="192"/>
              <w:spacing w:after="0" w:line="147"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ind w:left="3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left="172"/>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Jacqueline Kosecoff</w:t>
            </w:r>
            <w:r>
              <w:rPr>
                <w:rFonts w:ascii="Times New Roman" w:cs="Times New Roman" w:eastAsia="Times New Roman" w:hAnsi="Times New Roman"/>
                <w:sz w:val="12"/>
                <w:szCs w:val="12"/>
                <w:color w:val="auto"/>
              </w:rPr>
              <w:t>(8)</w:t>
            </w:r>
          </w:p>
        </w:tc>
        <w:tc>
          <w:tcPr>
            <w:tcW w:w="7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567,590</w:t>
            </w:r>
          </w:p>
        </w:tc>
        <w:tc>
          <w:tcPr>
            <w:tcW w:w="14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ind w:left="3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240,871</w:t>
            </w:r>
          </w:p>
        </w:tc>
        <w:tc>
          <w:tcPr>
            <w:tcW w:w="140" w:type="dxa"/>
            <w:vAlign w:val="bottom"/>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326,719</w:t>
            </w:r>
          </w:p>
        </w:tc>
        <w:tc>
          <w:tcPr>
            <w:tcW w:w="14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Stephen LeSieur</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left="192"/>
              <w:spacing w:after="0" w:line="147"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ind w:left="3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left="172"/>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Gregory Mondre</w:t>
            </w:r>
          </w:p>
        </w:tc>
        <w:tc>
          <w:tcPr>
            <w:tcW w:w="80" w:type="dxa"/>
            <w:vAlign w:val="bottom"/>
          </w:tcPr>
          <w:p>
            <w:pPr>
              <w:spacing w:after="0"/>
              <w:rPr>
                <w:sz w:val="12"/>
                <w:szCs w:val="12"/>
                <w:color w:val="auto"/>
              </w:rPr>
            </w:pPr>
          </w:p>
        </w:tc>
        <w:tc>
          <w:tcPr>
            <w:tcW w:w="820" w:type="dxa"/>
            <w:vAlign w:val="bottom"/>
            <w:gridSpan w:val="2"/>
          </w:tcPr>
          <w:p>
            <w:pPr>
              <w:jc w:val="center"/>
              <w:ind w:left="192"/>
              <w:spacing w:after="0" w:line="147"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ind w:left="3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760" w:type="dxa"/>
            <w:vAlign w:val="bottom"/>
            <w:gridSpan w:val="2"/>
          </w:tcPr>
          <w:p>
            <w:pPr>
              <w:ind w:left="4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center"/>
              <w:ind w:left="172"/>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Agnes Rey-Giraud</w:t>
            </w:r>
            <w:r>
              <w:rPr>
                <w:rFonts w:ascii="Times New Roman" w:cs="Times New Roman" w:eastAsia="Times New Roman" w:hAnsi="Times New Roman"/>
                <w:sz w:val="12"/>
                <w:szCs w:val="12"/>
                <w:color w:val="auto"/>
              </w:rPr>
              <w:t>(9)</w:t>
            </w:r>
          </w:p>
        </w:tc>
        <w:tc>
          <w:tcPr>
            <w:tcW w:w="7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579,055</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194,685</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384,370</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Andrew Slutsky</w:t>
            </w:r>
            <w:r>
              <w:rPr>
                <w:rFonts w:ascii="Times New Roman" w:cs="Times New Roman" w:eastAsia="Times New Roman" w:hAnsi="Times New Roman"/>
                <w:sz w:val="12"/>
                <w:szCs w:val="12"/>
                <w:color w:val="auto"/>
              </w:rPr>
              <w:t>(10)</w:t>
            </w:r>
          </w:p>
        </w:tc>
        <w:tc>
          <w:tcPr>
            <w:tcW w:w="7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3,943,758</w:t>
            </w:r>
          </w:p>
        </w:tc>
        <w:tc>
          <w:tcPr>
            <w:tcW w:w="14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w:t>
            </w:r>
          </w:p>
        </w:tc>
        <w:tc>
          <w:tcPr>
            <w:tcW w:w="7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6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218,868</w:t>
            </w:r>
          </w:p>
        </w:tc>
        <w:tc>
          <w:tcPr>
            <w:tcW w:w="12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168,333</w:t>
            </w:r>
          </w:p>
        </w:tc>
        <w:tc>
          <w:tcPr>
            <w:tcW w:w="140" w:type="dxa"/>
            <w:vAlign w:val="bottom"/>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3,556,557</w:t>
            </w:r>
          </w:p>
        </w:tc>
        <w:tc>
          <w:tcPr>
            <w:tcW w:w="14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w:t>
            </w:r>
          </w:p>
        </w:tc>
        <w:tc>
          <w:tcPr>
            <w:tcW w:w="7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 xml:space="preserve">Babak Azad </w:t>
            </w:r>
            <w:r>
              <w:rPr>
                <w:rFonts w:ascii="Times New Roman" w:cs="Times New Roman" w:eastAsia="Times New Roman" w:hAnsi="Times New Roman"/>
                <w:sz w:val="12"/>
                <w:szCs w:val="12"/>
                <w:color w:val="auto"/>
              </w:rPr>
              <w:t>(11)</w:t>
            </w:r>
          </w:p>
        </w:tc>
        <w:tc>
          <w:tcPr>
            <w:tcW w:w="7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137,500</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137,500</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left="172"/>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74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All Executive Officers and Directors as a Group</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14,346,653</w:t>
            </w:r>
          </w:p>
        </w:tc>
        <w:tc>
          <w:tcPr>
            <w:tcW w:w="14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218,868</w:t>
            </w: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860,139</w:t>
            </w:r>
          </w:p>
        </w:tc>
        <w:tc>
          <w:tcPr>
            <w:tcW w:w="14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13,267,646</w:t>
            </w:r>
          </w:p>
        </w:tc>
        <w:tc>
          <w:tcPr>
            <w:tcW w:w="14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(14 individuals)</w:t>
            </w:r>
            <w:r>
              <w:rPr>
                <w:rFonts w:ascii="Times New Roman" w:cs="Times New Roman" w:eastAsia="Times New Roman" w:hAnsi="Times New Roman"/>
                <w:sz w:val="12"/>
                <w:szCs w:val="12"/>
                <w:color w:val="auto"/>
              </w:rPr>
              <w:t>(12)</w:t>
            </w:r>
            <w:r>
              <w:rPr>
                <w:rFonts w:ascii="Times New Roman" w:cs="Times New Roman" w:eastAsia="Times New Roman" w:hAnsi="Times New Roman"/>
                <w:sz w:val="14"/>
                <w:szCs w:val="14"/>
                <w:color w:val="auto"/>
              </w:rPr>
              <w:t>:</w:t>
            </w: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7"/>
                <w:szCs w:val="7"/>
                <w:color w:val="auto"/>
              </w:rPr>
            </w:pPr>
          </w:p>
        </w:tc>
        <w:tc>
          <w:tcPr>
            <w:tcW w:w="37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Other Selling Stockholders:</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Matthew Mohebbi</w:t>
            </w:r>
            <w:r>
              <w:rPr>
                <w:rFonts w:ascii="Times New Roman" w:cs="Times New Roman" w:eastAsia="Times New Roman" w:hAnsi="Times New Roman"/>
                <w:sz w:val="12"/>
                <w:szCs w:val="12"/>
                <w:color w:val="auto"/>
              </w:rPr>
              <w:t>(13)</w:t>
            </w:r>
          </w:p>
        </w:tc>
        <w:tc>
          <w:tcPr>
            <w:tcW w:w="7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1,554,315</w:t>
            </w:r>
          </w:p>
        </w:tc>
        <w:tc>
          <w:tcPr>
            <w:tcW w:w="14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1,284,315</w:t>
            </w:r>
          </w:p>
        </w:tc>
        <w:tc>
          <w:tcPr>
            <w:tcW w:w="140" w:type="dxa"/>
            <w:vAlign w:val="bottom"/>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3.3</w:t>
            </w:r>
          </w:p>
        </w:tc>
        <w:tc>
          <w:tcPr>
            <w:tcW w:w="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260,000</w:t>
            </w:r>
          </w:p>
        </w:tc>
        <w:tc>
          <w:tcPr>
            <w:tcW w:w="14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Thomas Goetz</w:t>
            </w:r>
            <w:r>
              <w:rPr>
                <w:rFonts w:ascii="Times New Roman" w:cs="Times New Roman" w:eastAsia="Times New Roman" w:hAnsi="Times New Roman"/>
                <w:sz w:val="12"/>
                <w:szCs w:val="12"/>
                <w:color w:val="auto"/>
              </w:rPr>
              <w:t>(14)</w:t>
            </w:r>
          </w:p>
        </w:tc>
        <w:tc>
          <w:tcPr>
            <w:tcW w:w="7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1,580,771</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15,000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1,565,671</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4.1</w:t>
            </w:r>
          </w:p>
        </w:tc>
        <w:tc>
          <w:tcPr>
            <w:tcW w:w="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Certain General and Administrative Department Employees</w:t>
            </w:r>
            <w:r>
              <w:rPr>
                <w:rFonts w:ascii="Times New Roman" w:cs="Times New Roman" w:eastAsia="Times New Roman" w:hAnsi="Times New Roman"/>
                <w:sz w:val="12"/>
                <w:szCs w:val="12"/>
                <w:color w:val="auto"/>
              </w:rPr>
              <w:t>(15)</w:t>
            </w:r>
          </w:p>
        </w:tc>
        <w:tc>
          <w:tcPr>
            <w:tcW w:w="7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1,334,574</w:t>
            </w:r>
          </w:p>
        </w:tc>
        <w:tc>
          <w:tcPr>
            <w:tcW w:w="14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21,667</w:t>
            </w:r>
          </w:p>
        </w:tc>
        <w:tc>
          <w:tcPr>
            <w:tcW w:w="12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152,558</w:t>
            </w:r>
          </w:p>
        </w:tc>
        <w:tc>
          <w:tcPr>
            <w:tcW w:w="140" w:type="dxa"/>
            <w:vAlign w:val="bottom"/>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1,160,349</w:t>
            </w:r>
          </w:p>
        </w:tc>
        <w:tc>
          <w:tcPr>
            <w:tcW w:w="14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Certain Product Development Department Employees</w:t>
            </w:r>
            <w:r>
              <w:rPr>
                <w:rFonts w:ascii="Times New Roman" w:cs="Times New Roman" w:eastAsia="Times New Roman" w:hAnsi="Times New Roman"/>
                <w:sz w:val="12"/>
                <w:szCs w:val="12"/>
                <w:color w:val="auto"/>
              </w:rPr>
              <w:t>(15)</w:t>
            </w:r>
          </w:p>
        </w:tc>
        <w:tc>
          <w:tcPr>
            <w:tcW w:w="7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385,496</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73,975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292,971</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18,550</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74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Certain Software Engineer</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295,312</w:t>
            </w:r>
          </w:p>
        </w:tc>
        <w:tc>
          <w:tcPr>
            <w:tcW w:w="14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26,667</w:t>
            </w: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147,812</w:t>
            </w:r>
          </w:p>
        </w:tc>
        <w:tc>
          <w:tcPr>
            <w:tcW w:w="14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120,833</w:t>
            </w:r>
          </w:p>
        </w:tc>
        <w:tc>
          <w:tcPr>
            <w:tcW w:w="14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Employees</w:t>
            </w:r>
            <w:r>
              <w:rPr>
                <w:rFonts w:ascii="Times New Roman" w:cs="Times New Roman" w:eastAsia="Times New Roman" w:hAnsi="Times New Roman"/>
                <w:sz w:val="12"/>
                <w:szCs w:val="12"/>
                <w:color w:val="auto"/>
              </w:rPr>
              <w:t>(15)</w:t>
            </w: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Certain Engineering Manager Employees</w:t>
            </w:r>
            <w:r>
              <w:rPr>
                <w:rFonts w:ascii="Times New Roman" w:cs="Times New Roman" w:eastAsia="Times New Roman" w:hAnsi="Times New Roman"/>
                <w:sz w:val="12"/>
                <w:szCs w:val="12"/>
                <w:color w:val="auto"/>
              </w:rPr>
              <w:t>(15)</w:t>
            </w:r>
          </w:p>
        </w:tc>
        <w:tc>
          <w:tcPr>
            <w:tcW w:w="7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190,676</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20,195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112,623</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57,858</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Certain Other Engineering Employees</w:t>
            </w:r>
            <w:r>
              <w:rPr>
                <w:rFonts w:ascii="Times New Roman" w:cs="Times New Roman" w:eastAsia="Times New Roman" w:hAnsi="Times New Roman"/>
                <w:sz w:val="12"/>
                <w:szCs w:val="12"/>
                <w:color w:val="auto"/>
              </w:rPr>
              <w:t>(15)</w:t>
            </w:r>
          </w:p>
        </w:tc>
        <w:tc>
          <w:tcPr>
            <w:tcW w:w="7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229,216</w:t>
            </w:r>
          </w:p>
        </w:tc>
        <w:tc>
          <w:tcPr>
            <w:tcW w:w="14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28,909</w:t>
            </w:r>
          </w:p>
        </w:tc>
        <w:tc>
          <w:tcPr>
            <w:tcW w:w="12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175,623</w:t>
            </w:r>
          </w:p>
        </w:tc>
        <w:tc>
          <w:tcPr>
            <w:tcW w:w="140" w:type="dxa"/>
            <w:vAlign w:val="bottom"/>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24,684</w:t>
            </w:r>
          </w:p>
        </w:tc>
        <w:tc>
          <w:tcPr>
            <w:tcW w:w="14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Certain Engineering Director Employees</w:t>
            </w:r>
            <w:r>
              <w:rPr>
                <w:rFonts w:ascii="Times New Roman" w:cs="Times New Roman" w:eastAsia="Times New Roman" w:hAnsi="Times New Roman"/>
                <w:sz w:val="12"/>
                <w:szCs w:val="12"/>
                <w:color w:val="auto"/>
              </w:rPr>
              <w:t>(15)</w:t>
            </w:r>
          </w:p>
        </w:tc>
        <w:tc>
          <w:tcPr>
            <w:tcW w:w="7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331,822</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17,761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87,811</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226,250</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Certain Senior Software Engineer Employees</w:t>
            </w:r>
            <w:r>
              <w:rPr>
                <w:rFonts w:ascii="Times New Roman" w:cs="Times New Roman" w:eastAsia="Times New Roman" w:hAnsi="Times New Roman"/>
                <w:sz w:val="12"/>
                <w:szCs w:val="12"/>
                <w:color w:val="auto"/>
              </w:rPr>
              <w:t>(15)</w:t>
            </w:r>
          </w:p>
        </w:tc>
        <w:tc>
          <w:tcPr>
            <w:tcW w:w="7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502,603</w:t>
            </w:r>
          </w:p>
        </w:tc>
        <w:tc>
          <w:tcPr>
            <w:tcW w:w="14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63,121</w:t>
            </w:r>
          </w:p>
        </w:tc>
        <w:tc>
          <w:tcPr>
            <w:tcW w:w="12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334,432</w:t>
            </w:r>
          </w:p>
        </w:tc>
        <w:tc>
          <w:tcPr>
            <w:tcW w:w="140" w:type="dxa"/>
            <w:vAlign w:val="bottom"/>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105,050</w:t>
            </w:r>
          </w:p>
        </w:tc>
        <w:tc>
          <w:tcPr>
            <w:tcW w:w="14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Certain Other Research and Development Employees</w:t>
            </w:r>
            <w:r>
              <w:rPr>
                <w:rFonts w:ascii="Times New Roman" w:cs="Times New Roman" w:eastAsia="Times New Roman" w:hAnsi="Times New Roman"/>
                <w:sz w:val="12"/>
                <w:szCs w:val="12"/>
                <w:color w:val="auto"/>
              </w:rPr>
              <w:t>(15)</w:t>
            </w:r>
          </w:p>
        </w:tc>
        <w:tc>
          <w:tcPr>
            <w:tcW w:w="7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337,652</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57,377</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236,276</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43,999</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Certain Sales and Marketing Department Employees</w:t>
            </w:r>
            <w:r>
              <w:rPr>
                <w:rFonts w:ascii="Times New Roman" w:cs="Times New Roman" w:eastAsia="Times New Roman" w:hAnsi="Times New Roman"/>
                <w:sz w:val="12"/>
                <w:szCs w:val="12"/>
                <w:color w:val="auto"/>
              </w:rPr>
              <w:t>(15)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1,348,777</w:t>
            </w:r>
          </w:p>
        </w:tc>
        <w:tc>
          <w:tcPr>
            <w:tcW w:w="1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65,532</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274,355</w:t>
            </w:r>
          </w:p>
        </w:tc>
        <w:tc>
          <w:tcPr>
            <w:tcW w:w="1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1,008,890</w:t>
            </w:r>
          </w:p>
        </w:tc>
        <w:tc>
          <w:tcPr>
            <w:tcW w:w="1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60960</wp:posOffset>
            </wp:positionV>
            <wp:extent cx="7550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15" w:lineRule="exact"/>
        <w:rPr>
          <w:sz w:val="20"/>
          <w:szCs w:val="20"/>
          <w:color w:val="auto"/>
        </w:rPr>
      </w:pPr>
    </w:p>
    <w:p>
      <w:pPr>
        <w:ind w:left="600" w:hanging="426"/>
        <w:spacing w:after="0"/>
        <w:tabs>
          <w:tab w:leader="none" w:pos="6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5" w:lineRule="exact"/>
        <w:rPr>
          <w:sz w:val="20"/>
          <w:szCs w:val="20"/>
          <w:color w:val="auto"/>
        </w:rPr>
      </w:pPr>
    </w:p>
    <w:p>
      <w:pPr>
        <w:ind w:left="600" w:right="20" w:hanging="426"/>
        <w:spacing w:after="0" w:line="261" w:lineRule="auto"/>
        <w:tabs>
          <w:tab w:leader="none" w:pos="6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of total voting power represents voting power with respect to all shares of our Class A common stock and Class B common stock, as a single class. The holders of our Class B common stock are entitled to 10 votes per share, and holders of our Class A common stock are entitled to one vote per share. See the section titled “Description of Capital Stock—Common Stock—Voting Rights” for additional information about the voting rights of our Class A common stock and Class B common stock.</w:t>
      </w:r>
    </w:p>
    <w:p>
      <w:pPr>
        <w:spacing w:after="0" w:line="1" w:lineRule="exact"/>
        <w:rPr>
          <w:rFonts w:ascii="Times New Roman" w:cs="Times New Roman" w:eastAsia="Times New Roman" w:hAnsi="Times New Roman"/>
          <w:sz w:val="16"/>
          <w:szCs w:val="16"/>
          <w:color w:val="auto"/>
        </w:rPr>
      </w:pPr>
    </w:p>
    <w:p>
      <w:pPr>
        <w:ind w:left="600" w:right="160" w:hanging="426"/>
        <w:spacing w:after="0" w:line="264" w:lineRule="auto"/>
        <w:tabs>
          <w:tab w:leader="none" w:pos="6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126,045,531 shares of common stock held by SLP Geology Aggregator, L.P. and (ii) 3,846,153 shares of common stock that will be issued and purchased by Silver Lake in connection with the private placement, which is based on an assumed initial public offering price of $26.00 per share, which is the midpoint of the estimated price range set forth on the cover page of this prospectus, after giving further effect to the filing and effectiveness of our amended and restated certificate of incorporation and the Class B Reclassification. Each of SLP Geology GP, L.L.C., as the general partner of SLP Geology Aggregator, L.P.; Silver Lake Technology Associates V, L.P., as the managing member of SLP Geology GP, L.L.C.; SLTA V (GP), L.L.C., as the general partner of Silver Lake Technology Associates V, L.P.; and Silver Lake Group, L.L.C., as the managing member of SLTA V (GP), L.L.C. may be deemed to share voting and dispositive power over the shares of Class A common stock held by SLP Geology Aggregator,</w:t>
      </w:r>
    </w:p>
    <w:p>
      <w:pPr>
        <w:spacing w:after="0" w:line="119" w:lineRule="exact"/>
        <w:rPr>
          <w:rFonts w:ascii="Times New Roman" w:cs="Times New Roman" w:eastAsia="Times New Roman" w:hAnsi="Times New Roman"/>
          <w:sz w:val="16"/>
          <w:szCs w:val="16"/>
          <w:color w:val="auto"/>
        </w:rPr>
      </w:pPr>
    </w:p>
    <w:p>
      <w:pPr>
        <w:ind w:left="5500" w:hanging="113"/>
        <w:spacing w:after="0"/>
        <w:tabs>
          <w:tab w:leader="none" w:pos="55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173 -</w:t>
      </w:r>
    </w:p>
    <w:p>
      <w:pPr>
        <w:sectPr>
          <w:pgSz w:w="11900" w:h="16838" w:orient="portrait"/>
          <w:cols w:equalWidth="0" w:num="1">
            <w:col w:w="11080"/>
          </w:cols>
          <w:pgMar w:left="320" w:top="454" w:right="49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600" w:right="80"/>
        <w:spacing w:after="0" w:line="263" w:lineRule="auto"/>
        <w:rPr>
          <w:sz w:val="20"/>
          <w:szCs w:val="20"/>
          <w:color w:val="auto"/>
        </w:rPr>
      </w:pPr>
      <w:r>
        <w:rPr>
          <w:rFonts w:ascii="Times New Roman" w:cs="Times New Roman" w:eastAsia="Times New Roman" w:hAnsi="Times New Roman"/>
          <w:sz w:val="16"/>
          <w:szCs w:val="16"/>
          <w:color w:val="auto"/>
        </w:rPr>
        <w:t>L.P. Silver Lake is controlled by Michael Bingle, Egon Durban, Kenneth Hao, Gregory Mondre and Joseph Osnoss. Adam Karol is a managing director at Silver Lake Technology Management, LLC. Each of Mr. Mondre and Mr. Karol are a member of our board of directors. Each of Mr. Mondre, Mr. Karol, Mr. Bingle, Mr. Durban, Mr. Hao and Mr. Osnoss disclaim beneficial ownership of any of the Class B common stock held by the entities affiliated with Silver Lake, except to the extent of their pecuniary interest. The address for each of the entities referenced above is c/o Silver Lake, 2775 Sand Hill Road, Suite 100, Menlo Park, CA 94025.</w:t>
      </w:r>
    </w:p>
    <w:p>
      <w:pPr>
        <w:spacing w:after="0" w:line="2" w:lineRule="exact"/>
        <w:rPr>
          <w:sz w:val="20"/>
          <w:szCs w:val="20"/>
          <w:color w:val="auto"/>
        </w:rPr>
      </w:pPr>
    </w:p>
    <w:p>
      <w:pPr>
        <w:ind w:left="600" w:right="20" w:hanging="426"/>
        <w:spacing w:after="0" w:line="261" w:lineRule="auto"/>
        <w:tabs>
          <w:tab w:leader="none" w:pos="6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56,420,750 shares of common stock held by Francisco Partners IV, L.P. and 28,279,800 shares of common stock held by Francisco Partners IV-A, L.P. Francisco Partners GP IV, L.P. is the general partner of each of Francisco Partners IV, L.P. and Francisco Partners IV-A, L.P. Francisco Partners GP IV Management Limited is the general partner of Francisco Partners GP IV, L.P. Francisco Partners Management, L.P. serves as the investment manager for each of Francisco Partners IV, L.P. and Francisco Partners IV-A, L.P. Voting and disposition decisions at Francisco Partners Management, L.P. with respect to the shares of Class B common stock held by Francisco Partners IV, L.P. and Francisco Partners IV-A, L.P. are made by an investment committee, the members of which include Dipanjan Deb, who is a member of our board of directors. Christopher Adams is a partner at Francisco Partners. Each of Mr. Adams, Mr. Deb and each of the members of the investment committee disclaims beneficial ownership of any of the Class B common stock held by Francisco Partners IV, L.P. and Francisco Partners IV-A, L.P., except to the extent of their pecuniary interest. The address for each of these entities is One Letterman Drive, Building C, Suite 410,</w:t>
      </w:r>
    </w:p>
    <w:p>
      <w:pPr>
        <w:spacing w:after="0" w:line="2" w:lineRule="exact"/>
        <w:rPr>
          <w:rFonts w:ascii="Times New Roman" w:cs="Times New Roman" w:eastAsia="Times New Roman" w:hAnsi="Times New Roman"/>
          <w:sz w:val="16"/>
          <w:szCs w:val="16"/>
          <w:color w:val="auto"/>
        </w:rPr>
      </w:pPr>
    </w:p>
    <w:p>
      <w:pPr>
        <w:ind w:left="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San Francisco, CA 94129.</w:t>
      </w:r>
    </w:p>
    <w:p>
      <w:pPr>
        <w:spacing w:after="0" w:line="16" w:lineRule="exact"/>
        <w:rPr>
          <w:rFonts w:ascii="Times New Roman" w:cs="Times New Roman" w:eastAsia="Times New Roman" w:hAnsi="Times New Roman"/>
          <w:sz w:val="16"/>
          <w:szCs w:val="16"/>
          <w:color w:val="auto"/>
        </w:rPr>
      </w:pPr>
    </w:p>
    <w:p>
      <w:pPr>
        <w:ind w:left="600" w:hanging="426"/>
        <w:spacing w:after="0" w:line="242" w:lineRule="auto"/>
        <w:tabs>
          <w:tab w:leader="none" w:pos="6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54,798,400 shares of common stock held by Spectrum Equity VII, L.P., the general partner of which is Spectrum Equity Associates VII, L.P., 93,800 shares held by Spectrum VII Investment Managers’ Fund, L.P. and 52,875 shares held by Spectrum VII Co-Investment Fund, L.P. The general partner of each of Spectrum Equity Associates VII, L.P., Spectrum VII Investment Managers’ Fund, L.P. and Spectrum VII Co-Investment Fund, L.P. is SEA VII Management, LLC. Brion B. Applegate, Christopher T. Mitchell, Victor E. Parker, Jr., Benjamin C. Spero, Ronan Cunningham, Peter T. Jensen, Stephen M. LeSieur, Brian Regan and Michael W. Farrell may be deemed to share voting and dispositive power over the shares of Class B common stock held by Spectrum Equity VII, L.P., Spectrum VII Investment Managers’ Fund, L.P. and Spectrum VII Co-Investment Fund, L.P. Mr. LeSieur is a member of our board of directors. Each of these individuals disclaims beneficial ownership of any of the common stock held by Spectrum Equity VII, L.P., Spectrum VII Investment Managers’ Fund, L.P. and Spectrum VII Co-Investment Fund, L.P., except to the extent of their pecuniary interest. The address for each of these entities is 140 New Montgomery Street, 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Floor, San Francisco, CA 94105.</w:t>
      </w:r>
    </w:p>
    <w:p>
      <w:pPr>
        <w:spacing w:after="0" w:line="6" w:lineRule="exact"/>
        <w:rPr>
          <w:rFonts w:ascii="Times New Roman" w:cs="Times New Roman" w:eastAsia="Times New Roman" w:hAnsi="Times New Roman"/>
          <w:sz w:val="16"/>
          <w:szCs w:val="16"/>
          <w:color w:val="auto"/>
        </w:rPr>
      </w:pPr>
    </w:p>
    <w:p>
      <w:pPr>
        <w:ind w:left="600" w:right="240" w:hanging="426"/>
        <w:spacing w:after="0" w:line="261" w:lineRule="auto"/>
        <w:tabs>
          <w:tab w:leader="none" w:pos="6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Scott Marlette, Douglas Hirsch and Trevor Bezdek are the managing members of Idea Men, LLC. Mr. Hirsch and Mr. Bezdek are members of our board of directors and our co-chief executive officers. Each of these individuals disclaims beneficial ownership of any shares of the Class A common stock and Class B common stock held by Idea Men, LLC, except to the extent of their pecuniary interest. The address for Idea Men, LLC is 8605 Santa Monica Blvd., Ste 30736, West Hollywood, CA 90069.</w:t>
      </w:r>
    </w:p>
    <w:p>
      <w:pPr>
        <w:spacing w:after="0" w:line="1" w:lineRule="exact"/>
        <w:rPr>
          <w:rFonts w:ascii="Times New Roman" w:cs="Times New Roman" w:eastAsia="Times New Roman" w:hAnsi="Times New Roman"/>
          <w:sz w:val="16"/>
          <w:szCs w:val="16"/>
          <w:color w:val="auto"/>
        </w:rPr>
      </w:pPr>
    </w:p>
    <w:p>
      <w:pPr>
        <w:ind w:left="600" w:right="280" w:hanging="426"/>
        <w:spacing w:after="0" w:line="261" w:lineRule="auto"/>
        <w:tabs>
          <w:tab w:leader="none" w:pos="6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4,500,000 shares of our common stock held by The Bezdek Family Irrevocable Trust, for which J.P. Morgan Trust Company of Delaware serves as trustee. Does not include shares issuable in connection with the Founders Awards.</w:t>
      </w:r>
    </w:p>
    <w:p>
      <w:pPr>
        <w:ind w:left="600" w:right="340" w:hanging="426"/>
        <w:spacing w:after="0" w:line="261" w:lineRule="auto"/>
        <w:tabs>
          <w:tab w:leader="none" w:pos="6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4,500,000 shares of our common stock held by The Hirsch Family Irrevocable Trust, for which J.P. Morgan Trust Company of Delaware serves as trustee. Does not include shares issuable in connection with the Founders Awards.</w:t>
      </w:r>
    </w:p>
    <w:p>
      <w:pPr>
        <w:ind w:left="600" w:right="600" w:hanging="426"/>
        <w:spacing w:after="0" w:line="261" w:lineRule="auto"/>
        <w:tabs>
          <w:tab w:leader="none" w:pos="6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326,719 shares of our common stock directly held by Ms. Kosecoff and (ii) 240,871 shares of our Class A common stock that are currently exercisable or would be exercisable within 60 days of July 31, 2020.</w:t>
      </w:r>
    </w:p>
    <w:p>
      <w:pPr>
        <w:ind w:left="600" w:right="80" w:hanging="426"/>
        <w:spacing w:after="0" w:line="261" w:lineRule="auto"/>
        <w:tabs>
          <w:tab w:leader="none" w:pos="6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384,370 shares of our common stock held by the ARG Family Legacy Trust #1, for which Ms. Rey-Giraud serves as trustee and (ii) 194,685 shares of our common stock underlying options to purchase common stock that are currently exercisable or would be exercisable within 60 days of July 31, 2020. Following the offering, these options will be exercisable for shares of our Class A common stock.</w:t>
      </w:r>
    </w:p>
    <w:p>
      <w:pPr>
        <w:ind w:left="600" w:right="160" w:hanging="426"/>
        <w:spacing w:after="0" w:line="261" w:lineRule="auto"/>
        <w:tabs>
          <w:tab w:leader="none" w:pos="6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3,775,425 shares of our common stock and (ii) 168,333 shares of our common stock underlying options to purchase common stock that are currently exercisable or would be exercisable within 60 days of July 31, 2020. Following the offering, these options will be exercisable for shares of our Class A common stock.</w:t>
      </w:r>
    </w:p>
    <w:p>
      <w:pPr>
        <w:ind w:left="600" w:right="440" w:hanging="426"/>
        <w:spacing w:after="0" w:line="261" w:lineRule="auto"/>
        <w:tabs>
          <w:tab w:leader="none" w:pos="6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137,500 shares of our common stock underlying options to purchase common stock that are currently exercisable or would be exercisable within 60 days of July 31, 2020. Following the offering, these options will be exercisable for shares of our Class A common stock.</w:t>
      </w:r>
    </w:p>
    <w:p>
      <w:pPr>
        <w:ind w:left="600" w:right="160" w:hanging="426"/>
        <w:spacing w:after="0" w:line="261" w:lineRule="auto"/>
        <w:tabs>
          <w:tab w:leader="none" w:pos="6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13,486,514 shares of our common stock and (ii) 860,139 shares of our common stock underlying options to purchase common stock that are currently exercisable or would be exercisable within 60 days of July 31, 2020. Following the offering, these options will be exercisable for shares of our Class A common stock.</w:t>
      </w:r>
    </w:p>
    <w:p>
      <w:pPr>
        <w:ind w:left="600" w:right="160" w:hanging="426"/>
        <w:spacing w:after="0" w:line="272" w:lineRule="auto"/>
        <w:tabs>
          <w:tab w:leader="none" w:pos="6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270,000 shares of our common stock and (ii) 1,284,315 shares of our common stock underlying options to purchase common stock that are currently exercisable or would be exercisable within 60 days of July 31, 2020. Following the offering, these options will be exercisable for shares of our Class A common stock.</w:t>
      </w:r>
    </w:p>
    <w:p>
      <w:pPr>
        <w:spacing w:after="0" w:line="109" w:lineRule="exact"/>
        <w:rPr>
          <w:rFonts w:ascii="Times New Roman" w:cs="Times New Roman" w:eastAsia="Times New Roman" w:hAnsi="Times New Roman"/>
          <w:sz w:val="16"/>
          <w:szCs w:val="16"/>
          <w:color w:val="auto"/>
        </w:rPr>
      </w:pPr>
    </w:p>
    <w:p>
      <w:pPr>
        <w:ind w:left="5500" w:hanging="113"/>
        <w:spacing w:after="0"/>
        <w:tabs>
          <w:tab w:leader="none" w:pos="55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174 -</w:t>
      </w:r>
    </w:p>
    <w:p>
      <w:pPr>
        <w:sectPr>
          <w:pgSz w:w="11900" w:h="16838" w:orient="portrait"/>
          <w:cols w:equalWidth="0" w:num="1">
            <w:col w:w="11060"/>
          </w:cols>
          <w:pgMar w:left="320" w:top="454" w:right="51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600" w:right="160" w:hanging="426"/>
        <w:spacing w:after="0" w:line="265" w:lineRule="auto"/>
        <w:tabs>
          <w:tab w:leader="none" w:pos="60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100 shares of our common stock and (ii) 1,580,671 shares of our common stock underlying options to purchase common stock that are currently exercisable or would be exercisable within 60 days of July 31, 2020. Following the offering, these options will be exercisable for shares of our Class A common stock.</w:t>
      </w:r>
    </w:p>
    <w:p>
      <w:pPr>
        <w:ind w:left="600" w:hanging="426"/>
        <w:spacing w:after="0" w:line="272" w:lineRule="auto"/>
        <w:tabs>
          <w:tab w:leader="none" w:pos="60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selling stockholders not otherwise listed in this table who within the groups indicated collectively own less than 1% of our common stock. Includes the number of shares that such selling stockholders have the right to acquire pursuant to options that may be exercised within 60 days of July 31, 2020. Following the offering, these options will be exercisable for shares of our Class A common stock.</w:t>
      </w:r>
    </w:p>
    <w:p>
      <w:pPr>
        <w:spacing w:after="0" w:line="109" w:lineRule="exact"/>
        <w:rPr>
          <w:rFonts w:ascii="Times New Roman" w:cs="Times New Roman" w:eastAsia="Times New Roman" w:hAnsi="Times New Roman"/>
          <w:sz w:val="16"/>
          <w:szCs w:val="16"/>
          <w:color w:val="auto"/>
        </w:rPr>
      </w:pPr>
    </w:p>
    <w:p>
      <w:pPr>
        <w:ind w:left="5500" w:hanging="113"/>
        <w:spacing w:after="0"/>
        <w:tabs>
          <w:tab w:leader="none" w:pos="55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w:t>
      </w:r>
    </w:p>
    <w:p>
      <w:pPr>
        <w:sectPr>
          <w:pgSz w:w="11900" w:h="16838" w:orient="portrait"/>
          <w:cols w:equalWidth="0" w:num="1">
            <w:col w:w="11040"/>
          </w:cols>
          <w:pgMar w:left="320" w:top="454" w:right="5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4" w:lineRule="exact"/>
        <w:rPr>
          <w:sz w:val="20"/>
          <w:szCs w:val="20"/>
          <w:color w:val="auto"/>
        </w:rPr>
      </w:pPr>
    </w:p>
    <w:p>
      <w:pPr>
        <w:ind w:left="180" w:right="240" w:firstLine="436"/>
        <w:spacing w:after="0" w:line="255" w:lineRule="auto"/>
        <w:rPr>
          <w:sz w:val="20"/>
          <w:szCs w:val="20"/>
          <w:color w:val="auto"/>
        </w:rPr>
      </w:pPr>
      <w:r>
        <w:rPr>
          <w:rFonts w:ascii="Times New Roman" w:cs="Times New Roman" w:eastAsia="Times New Roman" w:hAnsi="Times New Roman"/>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the closing of this offering. Copies of these documents will be filed with the SEC as exhibits to our registration statement, of which this prospectus forms a part. The descriptions of our Class A common stock, Class B common stock and preferred stock reflect changes to our capital structure that will occur upon the closing of this offering.</w:t>
      </w:r>
    </w:p>
    <w:p>
      <w:pPr>
        <w:spacing w:after="0" w:line="2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8"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Upon the closing of this offering, our authorized capital stock will consist of 2,000,000,000 shares of Class A common stock, par value of $0.0001 per share, 1,000,000,000 shares of Class B common stock, par value $0.0001 per share, and 50,000,000 shares of preferred stock, par value $0.0001 per share.</w:t>
      </w:r>
    </w:p>
    <w:p>
      <w:pPr>
        <w:spacing w:after="0" w:line="177" w:lineRule="exact"/>
        <w:rPr>
          <w:sz w:val="20"/>
          <w:szCs w:val="20"/>
          <w:color w:val="auto"/>
        </w:rPr>
      </w:pPr>
    </w:p>
    <w:p>
      <w:pPr>
        <w:ind w:left="180" w:right="60" w:firstLine="436"/>
        <w:spacing w:after="0" w:line="262" w:lineRule="auto"/>
        <w:rPr>
          <w:sz w:val="20"/>
          <w:szCs w:val="20"/>
          <w:color w:val="auto"/>
        </w:rPr>
      </w:pPr>
      <w:r>
        <w:rPr>
          <w:rFonts w:ascii="Times New Roman" w:cs="Times New Roman" w:eastAsia="Times New Roman" w:hAnsi="Times New Roman"/>
          <w:sz w:val="18"/>
          <w:szCs w:val="18"/>
          <w:color w:val="auto"/>
        </w:rPr>
        <w:t>As of June 30, 2020 after giving effect to (i) the Preferred Stock Conversion, (ii) the filing and effectiveness of our amended and restated certificate of incorporation and (iii) the Class B Reclassification, there were no shares of our Class A common stock outstanding, 356,484,974 shares of our Class B common stock outstanding, held by approximately 127 stockholders of record, and no shares of our preferred stock outstanding.</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8" w:lineRule="exact"/>
        <w:rPr>
          <w:sz w:val="20"/>
          <w:szCs w:val="20"/>
          <w:color w:val="auto"/>
        </w:rPr>
      </w:pPr>
    </w:p>
    <w:p>
      <w:pPr>
        <w:ind w:left="180" w:right="560" w:firstLine="436"/>
        <w:spacing w:after="0" w:line="277" w:lineRule="auto"/>
        <w:rPr>
          <w:sz w:val="20"/>
          <w:szCs w:val="20"/>
          <w:color w:val="auto"/>
        </w:rPr>
      </w:pPr>
      <w:r>
        <w:rPr>
          <w:rFonts w:ascii="Times New Roman" w:cs="Times New Roman" w:eastAsia="Times New Roman" w:hAnsi="Times New Roman"/>
          <w:sz w:val="18"/>
          <w:szCs w:val="18"/>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18" w:lineRule="exact"/>
        <w:rPr>
          <w:sz w:val="20"/>
          <w:szCs w:val="20"/>
          <w:color w:val="auto"/>
        </w:rPr>
      </w:pPr>
    </w:p>
    <w:p>
      <w:pPr>
        <w:ind w:left="180" w:right="160" w:firstLine="436"/>
        <w:spacing w:after="0" w:line="262"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declare and pay dividends and then only at the times and in the amounts that our board of directors may determine. See the section titled “Dividend Policy” for additional information.</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18" w:lineRule="exact"/>
        <w:rPr>
          <w:sz w:val="20"/>
          <w:szCs w:val="20"/>
          <w:color w:val="auto"/>
        </w:rPr>
      </w:pPr>
    </w:p>
    <w:p>
      <w:pPr>
        <w:ind w:left="180" w:right="60" w:firstLine="436"/>
        <w:spacing w:after="0" w:line="252" w:lineRule="auto"/>
        <w:rPr>
          <w:sz w:val="20"/>
          <w:szCs w:val="20"/>
          <w:color w:val="auto"/>
        </w:rPr>
      </w:pPr>
      <w:r>
        <w:rPr>
          <w:rFonts w:ascii="Times New Roman" w:cs="Times New Roman" w:eastAsia="Times New Roman" w:hAnsi="Times New Roman"/>
          <w:sz w:val="18"/>
          <w:szCs w:val="18"/>
          <w:color w:val="auto"/>
        </w:rPr>
        <w:t>Holders of our Class A common stock are entitled to one vote for each share of Class A common stock held on all matters submitted to a vote of stockholders and holders of our Class B common stock are entitled to 10 votes for each share of Class B common stock held on all matters submitted to a vote of stockholders. Following this offering, the holders of our outstanding Class B common stock will hold 98.9% of the voting power of our outstanding capital stock. Nine stockholders will hold 94.0% of the voting power in the aggregate. Holders of shares of our Class A common stock and Class B common stock vote together as a single class on all matters (including the election of directors) submitted to a vote of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95" w:lineRule="exact"/>
        <w:rPr>
          <w:sz w:val="20"/>
          <w:szCs w:val="20"/>
          <w:color w:val="auto"/>
        </w:rPr>
      </w:pPr>
    </w:p>
    <w:p>
      <w:pPr>
        <w:ind w:left="1140" w:right="280" w:hanging="539"/>
        <w:spacing w:after="0" w:line="277" w:lineRule="auto"/>
        <w:tabs>
          <w:tab w:leader="none" w:pos="1140" w:val="left"/>
        </w:tabs>
        <w:numPr>
          <w:ilvl w:val="0"/>
          <w:numId w:val="10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96" w:lineRule="exact"/>
        <w:rPr>
          <w:rFonts w:ascii="Times New Roman" w:cs="Times New Roman" w:eastAsia="Times New Roman" w:hAnsi="Times New Roman"/>
          <w:sz w:val="18"/>
          <w:szCs w:val="18"/>
          <w:i w:val="1"/>
          <w:iCs w:val="1"/>
          <w:color w:val="auto"/>
        </w:rPr>
      </w:pPr>
    </w:p>
    <w:p>
      <w:pPr>
        <w:ind w:left="5500" w:hanging="113"/>
        <w:spacing w:after="0"/>
        <w:tabs>
          <w:tab w:leader="none" w:pos="55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176 -</w:t>
      </w:r>
    </w:p>
    <w:p>
      <w:pPr>
        <w:sectPr>
          <w:pgSz w:w="11900" w:h="16838" w:orient="portrait"/>
          <w:cols w:equalWidth="0" w:num="1">
            <w:col w:w="11040"/>
          </w:cols>
          <w:pgMar w:left="320" w:top="454" w:right="5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140" w:hanging="539"/>
        <w:spacing w:after="0" w:line="262" w:lineRule="auto"/>
        <w:tabs>
          <w:tab w:leader="none" w:pos="1140" w:val="left"/>
        </w:tabs>
        <w:numPr>
          <w:ilvl w:val="0"/>
          <w:numId w:val="10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77" w:lineRule="exact"/>
        <w:rPr>
          <w:sz w:val="20"/>
          <w:szCs w:val="20"/>
          <w:color w:val="auto"/>
        </w:rPr>
      </w:pPr>
    </w:p>
    <w:p>
      <w:pPr>
        <w:ind w:left="180" w:right="80" w:firstLine="436"/>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does not provide for cumulative voting for the election of directors. As a result, the holders of a majority of the voting power of our outstanding capital stock can elect all of the directors then standing for election. Our amended and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redemption or sinking fund provisions.</w:t>
      </w:r>
    </w:p>
    <w:p>
      <w:pPr>
        <w:spacing w:after="0" w:line="3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18" w:lineRule="exact"/>
        <w:rPr>
          <w:sz w:val="20"/>
          <w:szCs w:val="20"/>
          <w:color w:val="auto"/>
        </w:rPr>
      </w:pPr>
    </w:p>
    <w:p>
      <w:pPr>
        <w:ind w:left="180" w:right="100" w:firstLine="436"/>
        <w:spacing w:after="0" w:line="253" w:lineRule="auto"/>
        <w:rPr>
          <w:sz w:val="20"/>
          <w:szCs w:val="20"/>
          <w:color w:val="auto"/>
        </w:rPr>
      </w:pPr>
      <w:r>
        <w:rPr>
          <w:rFonts w:ascii="Times New Roman" w:cs="Times New Roman" w:eastAsia="Times New Roman" w:hAnsi="Times New Roman"/>
          <w:sz w:val="18"/>
          <w:szCs w:val="18"/>
          <w:color w:val="auto"/>
        </w:rPr>
        <w:t>Upon our liquidation, dissolution, or winding up, the assets legally available for distribution to our stockholders would be distributable ratably among the holders of our Class A common stock, Class B common stock and any participating preferred stock outstanding at that time, subject to the prior satisfaction of all outstanding debt and liabilities and the preferential rights of and the payment of liquidation preferences, if any, on any shares of preferred stock outstanding at that time, and unless disparate or different treatment of the shares of each class of common stock is approved by the affirmative vote of the holders of a majority of the outstanding shares of Class A common stock and Class B common stock, each voting as a separate class.</w:t>
      </w:r>
    </w:p>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Transactions</w:t>
      </w:r>
    </w:p>
    <w:p>
      <w:pPr>
        <w:spacing w:after="0" w:line="118" w:lineRule="exact"/>
        <w:rPr>
          <w:sz w:val="20"/>
          <w:szCs w:val="20"/>
          <w:color w:val="auto"/>
        </w:rPr>
      </w:pPr>
    </w:p>
    <w:p>
      <w:pPr>
        <w:ind w:left="180" w:right="60" w:firstLine="436"/>
        <w:spacing w:after="0" w:line="253" w:lineRule="auto"/>
        <w:rPr>
          <w:sz w:val="20"/>
          <w:szCs w:val="20"/>
          <w:color w:val="auto"/>
        </w:rPr>
      </w:pPr>
      <w:r>
        <w:rPr>
          <w:rFonts w:ascii="Times New Roman" w:cs="Times New Roman" w:eastAsia="Times New Roman" w:hAnsi="Times New Roman"/>
          <w:sz w:val="18"/>
          <w:szCs w:val="18"/>
          <w:color w:val="auto"/>
        </w:rPr>
        <w:t>In the case of any distribution or payment in respect of the shares of our Class A common stock or Class B common stock upon a merger or consolidation with or into any other entity, or other substantially similar transaction, the holders of our Class A common stock and Class B common stock will be treated equally and identically with respect to shares of Class A common stock or Class B common stock owned by them; provided, however, shares of each class may receive, or have the right to elect to receive, different or disproportionate consideration if the only difference in the per share consideration is that the shares to be distributed to a holder of a share Class B common stock have 10 times the voting power of any securities distributed to a holder of a share of Class A common stock.</w:t>
      </w:r>
    </w:p>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Subdivisions and Combinations</w:t>
      </w:r>
    </w:p>
    <w:p>
      <w:pPr>
        <w:spacing w:after="0" w:line="118" w:lineRule="exact"/>
        <w:rPr>
          <w:sz w:val="20"/>
          <w:szCs w:val="20"/>
          <w:color w:val="auto"/>
        </w:rPr>
      </w:pPr>
    </w:p>
    <w:p>
      <w:pPr>
        <w:ind w:left="180" w:right="40" w:firstLine="436"/>
        <w:spacing w:after="0" w:line="285" w:lineRule="auto"/>
        <w:rPr>
          <w:sz w:val="20"/>
          <w:szCs w:val="20"/>
          <w:color w:val="auto"/>
        </w:rPr>
      </w:pPr>
      <w:r>
        <w:rPr>
          <w:rFonts w:ascii="Times New Roman" w:cs="Times New Roman" w:eastAsia="Times New Roman" w:hAnsi="Times New Roman"/>
          <w:sz w:val="17"/>
          <w:szCs w:val="17"/>
          <w:color w:val="auto"/>
        </w:rPr>
        <w:t>If we subdivide or combine in any manner outstanding shares of Class A common stock or Class B common stock, the outstanding shares of the other class will be subdivided or combined in the same manner, unless different treatment of the shares of each class is approved by the affirmative vote of the holders of a majority of the outstanding shares of Class A common stock and Class B common stock, each voting as a separate class.</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18" w:lineRule="exact"/>
        <w:rPr>
          <w:sz w:val="20"/>
          <w:szCs w:val="20"/>
          <w:color w:val="auto"/>
        </w:rPr>
      </w:pPr>
    </w:p>
    <w:p>
      <w:pPr>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which occurs after the closing of this offering, except for certain permitted transfers described in our amended and restated certificate of incorporation, including transfers to family members, trusts solely for the benefit of the stockholder or their</w:t>
      </w:r>
    </w:p>
    <w:p>
      <w:pPr>
        <w:spacing w:after="0" w:line="1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40"/>
          </w:cols>
          <w:pgMar w:left="320" w:top="454" w:right="5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100"/>
        <w:spacing w:after="0" w:line="308" w:lineRule="auto"/>
        <w:rPr>
          <w:sz w:val="20"/>
          <w:szCs w:val="20"/>
          <w:color w:val="auto"/>
        </w:rPr>
      </w:pPr>
      <w:r>
        <w:rPr>
          <w:rFonts w:ascii="Times New Roman" w:cs="Times New Roman" w:eastAsia="Times New Roman" w:hAnsi="Times New Roman"/>
          <w:sz w:val="17"/>
          <w:szCs w:val="17"/>
          <w:color w:val="auto"/>
        </w:rPr>
        <w:t>family members, and partnerships, corporations, and other entities exclusively owned by the stockholder or their family members, as well as affiliates, subject to certain exceptions. Once converted or transferred and converted into Class A common stock, the Class B common stock may not be reissued.</w:t>
      </w:r>
    </w:p>
    <w:p>
      <w:pPr>
        <w:spacing w:after="0" w:line="139" w:lineRule="exact"/>
        <w:rPr>
          <w:sz w:val="20"/>
          <w:szCs w:val="20"/>
          <w:color w:val="auto"/>
        </w:rPr>
      </w:pPr>
    </w:p>
    <w:p>
      <w:pPr>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All the outstanding shares of our Class B common stock will convert automatically into shares of our Class A common stock upon the date that is the earlier of (i) seven years from the filing and effectiveness of our amended and restated certificate of incorporation in connection with this offering and (ii) the first date the aggregate number of outstanding shares of Class B common stock ceases to represent at least 10% of the aggregate number of outstanding shares of our common stock. Following such conversion, each share of Class A common stock will have one vote per share and the rights of the holders of all outstanding common stock will be identical. Once converted into Class A common stock, the Class B common stock may not be reissued.</w:t>
      </w:r>
    </w:p>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4" w:lineRule="exact"/>
        <w:rPr>
          <w:sz w:val="20"/>
          <w:szCs w:val="20"/>
          <w:color w:val="auto"/>
        </w:rPr>
      </w:pPr>
    </w:p>
    <w:p>
      <w:pPr>
        <w:jc w:val="both"/>
        <w:ind w:left="180" w:right="280" w:firstLine="436"/>
        <w:spacing w:after="0" w:line="262" w:lineRule="auto"/>
        <w:rPr>
          <w:sz w:val="20"/>
          <w:szCs w:val="20"/>
          <w:color w:val="auto"/>
        </w:rPr>
      </w:pPr>
      <w:r>
        <w:rPr>
          <w:rFonts w:ascii="Times New Roman" w:cs="Times New Roman" w:eastAsia="Times New Roman" w:hAnsi="Times New Roman"/>
          <w:sz w:val="18"/>
          <w:szCs w:val="18"/>
          <w:color w:val="auto"/>
        </w:rPr>
        <w:t>Pursuant to the provisions of our amended and restated certificate of incorporation, each currently outstanding share of redeemable convertible preferred stock will be converted into one share of Class A common stock effective upon the completion of this offering. Following this offering, no shares of convertible preferred stock will be outstanding.</w:t>
      </w:r>
    </w:p>
    <w:p>
      <w:pPr>
        <w:spacing w:after="0" w:line="177" w:lineRule="exact"/>
        <w:rPr>
          <w:sz w:val="20"/>
          <w:szCs w:val="20"/>
          <w:color w:val="auto"/>
        </w:rPr>
      </w:pPr>
    </w:p>
    <w:p>
      <w:pPr>
        <w:ind w:left="180" w:firstLine="436"/>
        <w:spacing w:after="0" w:line="251" w:lineRule="auto"/>
        <w:rPr>
          <w:sz w:val="20"/>
          <w:szCs w:val="20"/>
          <w:color w:val="auto"/>
        </w:rPr>
      </w:pPr>
      <w:r>
        <w:rPr>
          <w:rFonts w:ascii="Times New Roman" w:cs="Times New Roman" w:eastAsia="Times New Roman" w:hAnsi="Times New Roman"/>
          <w:sz w:val="18"/>
          <w:szCs w:val="18"/>
          <w:color w:val="auto"/>
        </w:rPr>
        <w:t>Following the completion of this offering and the private placement, our board of directors will be authorized, subject to limitations prescribed by Delaware law, to issue preferred stock in one or more series, to establish from time to time the number of shares to be included in each series, and to fix the designation, powers (including voting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Class A common stock</w:t>
      </w:r>
    </w:p>
    <w:p>
      <w:pPr>
        <w:spacing w:after="0" w:line="2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18" w:lineRule="exact"/>
        <w:rPr>
          <w:sz w:val="20"/>
          <w:szCs w:val="20"/>
          <w:color w:val="auto"/>
        </w:rPr>
      </w:pPr>
    </w:p>
    <w:p>
      <w:pPr>
        <w:ind w:left="180" w:right="320" w:firstLine="436"/>
        <w:spacing w:after="0" w:line="257" w:lineRule="auto"/>
        <w:rPr>
          <w:sz w:val="20"/>
          <w:szCs w:val="20"/>
          <w:color w:val="auto"/>
        </w:rPr>
      </w:pPr>
      <w:r>
        <w:rPr>
          <w:rFonts w:ascii="Times New Roman" w:cs="Times New Roman" w:eastAsia="Times New Roman" w:hAnsi="Times New Roman"/>
          <w:sz w:val="18"/>
          <w:szCs w:val="18"/>
          <w:color w:val="auto"/>
        </w:rPr>
        <w:t>As of June 30, 2020, we had options to purchase an aggregate of 24,041,027 shares of our Class A common stock, with a weighted-average exercise price of approximately $4.81 per share, outstanding under our 2015 Plan, of which 9,069,002 shares were vested of that date. In connection with the sale of shares by certain selling stockholders in this offering, 284,536 shares of our Class A common stock will be issued upon exercise of options by such selling stockholders.</w:t>
      </w: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18" w:lineRule="exact"/>
        <w:rPr>
          <w:sz w:val="20"/>
          <w:szCs w:val="20"/>
          <w:color w:val="auto"/>
        </w:rPr>
      </w:pPr>
    </w:p>
    <w:p>
      <w:pPr>
        <w:ind w:left="180" w:right="60" w:firstLine="436"/>
        <w:spacing w:after="0" w:line="257" w:lineRule="auto"/>
        <w:rPr>
          <w:sz w:val="20"/>
          <w:szCs w:val="20"/>
          <w:color w:val="auto"/>
        </w:rPr>
      </w:pPr>
      <w:r>
        <w:rPr>
          <w:rFonts w:ascii="Times New Roman" w:cs="Times New Roman" w:eastAsia="Times New Roman" w:hAnsi="Times New Roman"/>
          <w:sz w:val="18"/>
          <w:szCs w:val="18"/>
          <w:color w:val="auto"/>
        </w:rPr>
        <w:t>As of June 30, 2020, we had 1,878,588 shares of our Class A common stock subject to restricted stock awards, or RSAs, with a weighted-average grant date value of $3.88 per share. The RSAs vest over four years and are subject to a repurchase option that entitles us to repurchase any unvested shares at a price per share equal to $0.002 per share if the holder is no longer employed by us during the four year vesting period. As of June 30, 2020, 469,647 shares subject to the RSAs had vested.</w:t>
      </w: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18" w:lineRule="exact"/>
        <w:rPr>
          <w:sz w:val="20"/>
          <w:szCs w:val="20"/>
          <w:color w:val="auto"/>
        </w:rPr>
      </w:pPr>
    </w:p>
    <w:p>
      <w:pPr>
        <w:ind w:left="180" w:right="180" w:firstLine="436"/>
        <w:spacing w:after="0" w:line="277" w:lineRule="auto"/>
        <w:rPr>
          <w:sz w:val="20"/>
          <w:szCs w:val="20"/>
          <w:color w:val="auto"/>
        </w:rPr>
      </w:pPr>
      <w:r>
        <w:rPr>
          <w:rFonts w:ascii="Times New Roman" w:cs="Times New Roman" w:eastAsia="Times New Roman" w:hAnsi="Times New Roman"/>
          <w:sz w:val="18"/>
          <w:szCs w:val="18"/>
          <w:color w:val="auto"/>
        </w:rPr>
        <w:t>We recently approved the Founders Awards, which include RSUs settleable for 24,633,066 shares of our Class B common stock and that will be effective upon the completion of this offering. In addition, we recently</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60"/>
          </w:cols>
          <w:pgMar w:left="320" w:top="454" w:right="51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220"/>
        <w:spacing w:after="0" w:line="262" w:lineRule="auto"/>
        <w:rPr>
          <w:sz w:val="20"/>
          <w:szCs w:val="20"/>
          <w:color w:val="auto"/>
        </w:rPr>
      </w:pPr>
      <w:r>
        <w:rPr>
          <w:rFonts w:ascii="Times New Roman" w:cs="Times New Roman" w:eastAsia="Times New Roman" w:hAnsi="Times New Roman"/>
          <w:sz w:val="18"/>
          <w:szCs w:val="18"/>
          <w:color w:val="auto"/>
        </w:rPr>
        <w:t>approved the IPO Awards for certain of our employees and non-employee directors. Of these IPO Awards, one of our directors, Julie Bradley, will receive two RSU awards covering an aggregate of 22,500 shares of our Class A common stock. For more information regarding the Founders Awards and IPO Awards, please see “Executive and Director Compensation.”</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8" w:lineRule="exact"/>
        <w:rPr>
          <w:sz w:val="20"/>
          <w:szCs w:val="20"/>
          <w:color w:val="auto"/>
        </w:rPr>
      </w:pPr>
    </w:p>
    <w:p>
      <w:pPr>
        <w:ind w:left="180" w:right="200" w:firstLine="436"/>
        <w:spacing w:after="0" w:line="251" w:lineRule="auto"/>
        <w:rPr>
          <w:sz w:val="20"/>
          <w:szCs w:val="20"/>
          <w:color w:val="auto"/>
        </w:rPr>
      </w:pPr>
      <w:r>
        <w:rPr>
          <w:rFonts w:ascii="Times New Roman" w:cs="Times New Roman" w:eastAsia="Times New Roman" w:hAnsi="Times New Roman"/>
          <w:sz w:val="18"/>
          <w:szCs w:val="18"/>
          <w:color w:val="auto"/>
        </w:rPr>
        <w:t>Our amended and restated investor rights agreement grants the parties thereto certain registration rights in respect of the “registrable securities” held by them, which securities include, among others, (1) the shares of our common stock issued upon the conversion of shares of our redeemable convertible preferred stock, (2) the shares of our common stock held or acquired by such parties and (3) any shares of common stock issued as a dividend or other distribution to or in exchange for or in replacement of the shares referenced in clause (1) and (2). The registration of shares of our common stock pursuant to the exercise of these registration rights would enable the holders thereof to sell such shares without restriction under the Securities Act when the applicable registration statement is declared effective. Under the amended and restated investor rights agreement, we will pay expenses relating to such registrations, including up to $50,000 of the reasonable fees and disbursements of one counsel for the participating holders, and the holders will pay among other things all underwriting discounts and commissions relating to the sale of their shares. The amended and restated investor rights agreement also includes customary indemnification and procedural terms.</w:t>
      </w:r>
    </w:p>
    <w:p>
      <w:pPr>
        <w:spacing w:after="0" w:line="189" w:lineRule="exact"/>
        <w:rPr>
          <w:sz w:val="20"/>
          <w:szCs w:val="20"/>
          <w:color w:val="auto"/>
        </w:rPr>
      </w:pPr>
    </w:p>
    <w:p>
      <w:pPr>
        <w:ind w:left="180" w:right="140" w:firstLine="436"/>
        <w:spacing w:after="0" w:line="255" w:lineRule="auto"/>
        <w:rPr>
          <w:sz w:val="20"/>
          <w:szCs w:val="20"/>
          <w:color w:val="auto"/>
        </w:rPr>
      </w:pPr>
      <w:r>
        <w:rPr>
          <w:rFonts w:ascii="Times New Roman" w:cs="Times New Roman" w:eastAsia="Times New Roman" w:hAnsi="Times New Roman"/>
          <w:sz w:val="18"/>
          <w:szCs w:val="18"/>
          <w:color w:val="auto"/>
        </w:rPr>
        <w:t>These registration rights terminate upon the earlier of (1) the closing of a deemed liquidation event, which includes (i) certain mergers, reorganizations or consolidations, (ii) the sale or other disposition of all or substantially all of our assets, or (iii) any other transaction to which at least 50% of our voting securities or assets are transferred, or (2) as to any given holder of such registration rights, at such time following this offering when all of the registrable securities of such holder, together with any registrable securities held by affiliates of such holder, can be sold without restriction under SEC Rule 144.</w:t>
      </w:r>
    </w:p>
    <w:p>
      <w:pPr>
        <w:spacing w:after="0" w:line="183" w:lineRule="exact"/>
        <w:rPr>
          <w:sz w:val="20"/>
          <w:szCs w:val="20"/>
          <w:color w:val="auto"/>
        </w:rPr>
      </w:pPr>
    </w:p>
    <w:p>
      <w:pPr>
        <w:ind w:left="180" w:firstLine="436"/>
        <w:spacing w:after="0" w:line="262" w:lineRule="auto"/>
        <w:rPr>
          <w:sz w:val="20"/>
          <w:szCs w:val="20"/>
          <w:color w:val="auto"/>
        </w:rPr>
      </w:pPr>
      <w:r>
        <w:rPr>
          <w:rFonts w:ascii="Times New Roman" w:cs="Times New Roman" w:eastAsia="Times New Roman" w:hAnsi="Times New Roman"/>
          <w:sz w:val="18"/>
          <w:szCs w:val="18"/>
          <w:color w:val="auto"/>
        </w:rPr>
        <w:t>Following the completion of this offering and the private placement, the holders of an aggregate of 318,983,671 shares of our Class B common stock and 3,846,153 shares of our Class A common stock, which together represents 84.1% of our outstanding shares of common stock after the offering and the private placement, are entitled to the registration rights pursuant to the amended and restated investor rights agreement.</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18" w:lineRule="exact"/>
        <w:rPr>
          <w:sz w:val="20"/>
          <w:szCs w:val="20"/>
          <w:color w:val="auto"/>
        </w:rPr>
      </w:pPr>
    </w:p>
    <w:p>
      <w:pPr>
        <w:ind w:left="180" w:firstLine="436"/>
        <w:spacing w:after="0" w:line="267" w:lineRule="auto"/>
        <w:rPr>
          <w:sz w:val="20"/>
          <w:szCs w:val="20"/>
          <w:color w:val="auto"/>
        </w:rPr>
      </w:pPr>
      <w:r>
        <w:rPr>
          <w:rFonts w:ascii="Times New Roman" w:cs="Times New Roman" w:eastAsia="Times New Roman" w:hAnsi="Times New Roman"/>
          <w:sz w:val="17"/>
          <w:szCs w:val="17"/>
          <w:color w:val="auto"/>
        </w:rPr>
        <w:t>Following the completion of this offering and the private placement, the holders of an aggregate of 258,891,156 shares of our Class B common stock and 3,846,153 shares of our Class A common stock, which together represents 68.4% of our outstanding shares of common stock after the offering and the private placement, will be entitled to certain demand registration rights. At any time beginning six months after the effective date of the registration statement for this offering, the parties may request that we prepare and file a registration to register their registrable securities. Following such a request, we will notify other holders with such rights as to the requested registration and, as soon as practicable, but in any event no more than</w:t>
      </w:r>
    </w:p>
    <w:p>
      <w:pPr>
        <w:jc w:val="both"/>
        <w:ind w:left="180" w:right="20"/>
        <w:spacing w:after="0" w:line="251" w:lineRule="auto"/>
        <w:rPr>
          <w:sz w:val="20"/>
          <w:szCs w:val="20"/>
          <w:color w:val="auto"/>
        </w:rPr>
      </w:pPr>
      <w:r>
        <w:rPr>
          <w:rFonts w:ascii="Times New Roman" w:cs="Times New Roman" w:eastAsia="Times New Roman" w:hAnsi="Times New Roman"/>
          <w:sz w:val="18"/>
          <w:szCs w:val="18"/>
          <w:color w:val="auto"/>
        </w:rPr>
        <w:t>90 days, effect such registration. We are obligated to effect only one such registration per investor group. If we determine that it would be detrimental to us and our stockholders to effect a requested registration, we may postpone such registration, not more than once in any 12-month period, for a period of up to 120 days.</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foregoing demand registration rights are subject to a number of additional exceptions and limitations.</w:t>
      </w:r>
    </w:p>
    <w:p>
      <w:pPr>
        <w:spacing w:after="0" w:line="3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18" w:lineRule="exact"/>
        <w:rPr>
          <w:sz w:val="20"/>
          <w:szCs w:val="20"/>
          <w:color w:val="auto"/>
        </w:rPr>
      </w:pPr>
    </w:p>
    <w:p>
      <w:pPr>
        <w:ind w:left="180" w:right="40" w:firstLine="436"/>
        <w:spacing w:after="0" w:line="257" w:lineRule="auto"/>
        <w:rPr>
          <w:sz w:val="20"/>
          <w:szCs w:val="20"/>
          <w:color w:val="auto"/>
        </w:rPr>
      </w:pPr>
      <w:r>
        <w:rPr>
          <w:rFonts w:ascii="Times New Roman" w:cs="Times New Roman" w:eastAsia="Times New Roman" w:hAnsi="Times New Roman"/>
          <w:sz w:val="18"/>
          <w:szCs w:val="18"/>
          <w:color w:val="auto"/>
        </w:rPr>
        <w:t>In the event that we propose to register any of our securities under the Securities Act, either for our own account or for the account of other stockholders, the stockholders party to the amended and restated investors’ rights agreement will be entitled to certain “piggyback” registration rights, entitling them to notice of the registration and allowing them to include their registrable securities in such registration. These rights will apply whenever we propose to file a registration statement under the Securities Act other than with respect to (1) a</w:t>
      </w:r>
    </w:p>
    <w:p>
      <w:pPr>
        <w:spacing w:after="0" w:line="1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60"/>
          </w:cols>
          <w:pgMar w:left="320" w:top="454" w:right="51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120"/>
        <w:spacing w:after="0" w:line="257" w:lineRule="auto"/>
        <w:rPr>
          <w:sz w:val="20"/>
          <w:szCs w:val="20"/>
          <w:color w:val="auto"/>
        </w:rPr>
      </w:pPr>
      <w:r>
        <w:rPr>
          <w:rFonts w:ascii="Times New Roman" w:cs="Times New Roman" w:eastAsia="Times New Roman" w:hAnsi="Times New Roman"/>
          <w:sz w:val="18"/>
          <w:szCs w:val="18"/>
          <w:color w:val="auto"/>
        </w:rPr>
        <w:t>registration related to the sale of securities to employees pursuant to a stock option, stock purchase or similar plan, (2) a registration relating to an SEC Rule 145 transaction, (3) a registration on any form that does not include substantially the same information as would be required to be included in a registration statement covering the sale of registrable securities, or (4) a registration in which the only common stock being registered is common stock issuable upon conversion of debt securities that are also being registered.</w:t>
      </w: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S-3 Registration Rights</w:t>
      </w:r>
    </w:p>
    <w:p>
      <w:pPr>
        <w:spacing w:after="0" w:line="118" w:lineRule="exact"/>
        <w:rPr>
          <w:sz w:val="20"/>
          <w:szCs w:val="20"/>
          <w:color w:val="auto"/>
        </w:rPr>
      </w:pPr>
    </w:p>
    <w:p>
      <w:pPr>
        <w:ind w:left="180" w:firstLine="436"/>
        <w:spacing w:after="0" w:line="252" w:lineRule="auto"/>
        <w:rPr>
          <w:sz w:val="20"/>
          <w:szCs w:val="20"/>
          <w:color w:val="auto"/>
        </w:rPr>
      </w:pPr>
      <w:r>
        <w:rPr>
          <w:rFonts w:ascii="Times New Roman" w:cs="Times New Roman" w:eastAsia="Times New Roman" w:hAnsi="Times New Roman"/>
          <w:sz w:val="18"/>
          <w:szCs w:val="18"/>
          <w:color w:val="auto"/>
        </w:rPr>
        <w:t>Following the completion of this offering and the private placement, the holders of an aggregate of 318,983,671 shares of our Class B common stock and 3,846,153 shares of our Class A common stock, which together represents 84.1% of our outstanding shares of common stock after the offering and the private placement, will be entitled to certain Form S-3 registration rights. One or more holders of these shares may request that we register the offer and sale of their shares on a registration statement on Form S-3 if we are eligible to file a registration statement on Form S-3 so long as the request covers securities the anticipated aggregate public offering price of which is at least $5.0 million. Following such a request, we will notify the other holders with such rights as to the requested registration and, as soon as practicable, but in any event within 60 days, effect such registration. These holders may make an unlimited number of requests for registration on Form S-3; however, we will not be required to effect such a registration on Form S-3 if we have effected two such registrations within the 12-month period preceding the date of the request.</w:t>
      </w:r>
    </w:p>
    <w:p>
      <w:pPr>
        <w:spacing w:after="0" w:line="185" w:lineRule="exact"/>
        <w:rPr>
          <w:sz w:val="20"/>
          <w:szCs w:val="20"/>
          <w:color w:val="auto"/>
        </w:rPr>
      </w:pPr>
    </w:p>
    <w:p>
      <w:pPr>
        <w:jc w:val="both"/>
        <w:ind w:left="180" w:right="100" w:firstLine="436"/>
        <w:spacing w:after="0" w:line="262" w:lineRule="auto"/>
        <w:rPr>
          <w:sz w:val="20"/>
          <w:szCs w:val="20"/>
          <w:color w:val="auto"/>
        </w:rPr>
      </w:pPr>
      <w:r>
        <w:rPr>
          <w:rFonts w:ascii="Times New Roman" w:cs="Times New Roman" w:eastAsia="Times New Roman" w:hAnsi="Times New Roman"/>
          <w:sz w:val="18"/>
          <w:szCs w:val="18"/>
          <w:color w:val="auto"/>
        </w:rPr>
        <w:t>In addition, from time to time when a registration on Form S-3 is effective, the holders may request that we facilitate a shelf takedown of all or a portion of their shares. We will not be required to effect such a registration on Form S-3 if we have effected four such registrations within the 12-month period preceding the date of the request. We are also not required to effect more than one shelf takedown in any 90-day period.</w:t>
      </w:r>
    </w:p>
    <w:p>
      <w:pPr>
        <w:spacing w:after="0" w:line="177" w:lineRule="exact"/>
        <w:rPr>
          <w:sz w:val="20"/>
          <w:szCs w:val="20"/>
          <w:color w:val="auto"/>
        </w:rPr>
      </w:pPr>
    </w:p>
    <w:p>
      <w:pPr>
        <w:ind w:left="180" w:right="380" w:firstLine="436"/>
        <w:spacing w:after="0" w:line="262" w:lineRule="auto"/>
        <w:rPr>
          <w:sz w:val="20"/>
          <w:szCs w:val="20"/>
          <w:color w:val="auto"/>
        </w:rPr>
      </w:pPr>
      <w:r>
        <w:rPr>
          <w:rFonts w:ascii="Times New Roman" w:cs="Times New Roman" w:eastAsia="Times New Roman" w:hAnsi="Times New Roman"/>
          <w:sz w:val="18"/>
          <w:szCs w:val="18"/>
          <w:color w:val="auto"/>
        </w:rPr>
        <w:t>In each case described above, if we determine that it would be detrimental to us and our stockholders to effect such a registration, we may postpone such registration, not more than once in any 12-month period, for a period of up to 120 days. The foregoing Form S-3 and shelf takedown rights are subject to a number of additional exceptions and limitations.</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8" w:lineRule="exact"/>
        <w:rPr>
          <w:sz w:val="20"/>
          <w:szCs w:val="20"/>
          <w:color w:val="auto"/>
        </w:rPr>
      </w:pPr>
    </w:p>
    <w:p>
      <w:pPr>
        <w:ind w:left="180" w:right="40" w:firstLine="436"/>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which will become effective immediately prior to the completion of this offering,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18" w:lineRule="exact"/>
        <w:rPr>
          <w:sz w:val="20"/>
          <w:szCs w:val="20"/>
          <w:color w:val="auto"/>
        </w:rPr>
      </w:pPr>
    </w:p>
    <w:p>
      <w:pPr>
        <w:ind w:left="180" w:right="160" w:firstLine="436"/>
        <w:spacing w:after="0" w:line="257"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contain a provision opting out of Section 203 of the Delaware General Corporation Law. However, our amended and restated certificate of incorporation will contain provisions that are similar to Section 203. Specifically, our amended and restated certificate of incorporation will provide that, subject to certain exceptions, we will not be able to engage in a “business combination” with any “interested stockholder” for three years following the date that the person became an interested stockholder, unless:</w:t>
      </w:r>
    </w:p>
    <w:p>
      <w:pPr>
        <w:spacing w:after="0" w:line="89" w:lineRule="exact"/>
        <w:rPr>
          <w:sz w:val="20"/>
          <w:szCs w:val="20"/>
          <w:color w:val="auto"/>
        </w:rPr>
      </w:pPr>
    </w:p>
    <w:p>
      <w:pPr>
        <w:ind w:left="1140" w:right="500" w:hanging="432"/>
        <w:spacing w:after="0" w:line="277" w:lineRule="auto"/>
        <w:tabs>
          <w:tab w:leader="none" w:pos="11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that resulted in the stockholder becoming an interested stockholder;</w:t>
      </w:r>
    </w:p>
    <w:p>
      <w:pPr>
        <w:spacing w:after="0" w:line="69" w:lineRule="exact"/>
        <w:rPr>
          <w:rFonts w:ascii="Times New Roman" w:cs="Times New Roman" w:eastAsia="Times New Roman" w:hAnsi="Times New Roman"/>
          <w:sz w:val="18"/>
          <w:szCs w:val="18"/>
          <w:color w:val="auto"/>
        </w:rPr>
      </w:pPr>
    </w:p>
    <w:p>
      <w:pPr>
        <w:ind w:left="1140" w:right="480" w:hanging="432"/>
        <w:spacing w:after="0" w:line="308" w:lineRule="auto"/>
        <w:tabs>
          <w:tab w:leader="none" w:pos="11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2" w:lineRule="exact"/>
        <w:rPr>
          <w:rFonts w:ascii="Times New Roman" w:cs="Times New Roman" w:eastAsia="Times New Roman" w:hAnsi="Times New Roman"/>
          <w:sz w:val="17"/>
          <w:szCs w:val="17"/>
          <w:color w:val="auto"/>
        </w:rPr>
      </w:pPr>
    </w:p>
    <w:p>
      <w:pPr>
        <w:ind w:left="5500" w:hanging="113"/>
        <w:spacing w:after="0"/>
        <w:tabs>
          <w:tab w:leader="none" w:pos="55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w:t>
      </w:r>
    </w:p>
    <w:p>
      <w:pPr>
        <w:sectPr>
          <w:pgSz w:w="11900" w:h="16838" w:orient="portrait"/>
          <w:cols w:equalWidth="0" w:num="1">
            <w:col w:w="11060"/>
          </w:cols>
          <w:pgMar w:left="320" w:top="454" w:right="51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140" w:right="240" w:hanging="432"/>
        <w:spacing w:after="0" w:line="277" w:lineRule="auto"/>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 2/3% of our outstanding voting stock that is not owned by the interested stockholder.</w:t>
      </w:r>
    </w:p>
    <w:p>
      <w:pPr>
        <w:spacing w:after="0" w:line="163" w:lineRule="exact"/>
        <w:rPr>
          <w:sz w:val="20"/>
          <w:szCs w:val="20"/>
          <w:color w:val="auto"/>
        </w:rPr>
      </w:pPr>
    </w:p>
    <w:p>
      <w:pPr>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consolidation involving us and the “interested stockholder” or other transactions resulting in a financial benefit to the interested stockholder. Subject to certain exceptions, an “interested stockholder” is any entity or person who, together with that entity’s or person’s affiliates and associates, owns or within the previous three years owned, 15% or more of our outstanding voting stock. For purposes of this section only, “voting stock” has the meaning given to it in Section 203.</w:t>
      </w:r>
    </w:p>
    <w:p>
      <w:pPr>
        <w:spacing w:after="0" w:line="182" w:lineRule="exact"/>
        <w:rPr>
          <w:sz w:val="20"/>
          <w:szCs w:val="20"/>
          <w:color w:val="auto"/>
        </w:rPr>
      </w:pPr>
    </w:p>
    <w:p>
      <w:pPr>
        <w:ind w:left="180" w:right="80" w:firstLine="436"/>
        <w:spacing w:after="0" w:line="257"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us for a period of three years. This provision may encourage companies interested in acquiring us to negotiate in advance with our board of directors. These provisions also may have the effect of preventing changes in our board of directors and may make it more difficult to accomplish transactions that stockholders may otherwise deem to be in their best interests.</w:t>
      </w:r>
    </w:p>
    <w:p>
      <w:pPr>
        <w:spacing w:after="0" w:line="182" w:lineRule="exact"/>
        <w:rPr>
          <w:sz w:val="20"/>
          <w:szCs w:val="20"/>
          <w:color w:val="auto"/>
        </w:rPr>
      </w:pPr>
    </w:p>
    <w:p>
      <w:pPr>
        <w:ind w:left="180" w:right="500" w:firstLine="436"/>
        <w:spacing w:after="0" w:line="308"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that the parties to our stockholders agreement and any of their respective affiliates, and any group as to which such persons are a party, will not be deemed to be “interested stockholders” for purposes of this provision.</w:t>
      </w:r>
    </w:p>
    <w:p>
      <w:pPr>
        <w:spacing w:after="0" w:line="2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Bylaws</w:t>
      </w:r>
    </w:p>
    <w:p>
      <w:pPr>
        <w:spacing w:after="0" w:line="118" w:lineRule="exact"/>
        <w:rPr>
          <w:sz w:val="20"/>
          <w:szCs w:val="20"/>
          <w:color w:val="auto"/>
        </w:rPr>
      </w:pPr>
    </w:p>
    <w:p>
      <w:pPr>
        <w:jc w:val="both"/>
        <w:ind w:left="180" w:right="40" w:firstLine="436"/>
        <w:spacing w:after="0" w:line="26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which will become effective immediately prior to the completion of this offering, will include a number of provisions that could deter hostile takeovers or delay or prevent changes in control of our board of directors or management team, including the following:</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Dual Class Stock</w:t>
      </w:r>
    </w:p>
    <w:p>
      <w:pPr>
        <w:spacing w:after="0" w:line="116" w:lineRule="exact"/>
        <w:rPr>
          <w:sz w:val="20"/>
          <w:szCs w:val="20"/>
          <w:color w:val="auto"/>
        </w:rPr>
      </w:pPr>
    </w:p>
    <w:p>
      <w:pPr>
        <w:jc w:val="both"/>
        <w:ind w:left="180" w:right="580" w:firstLine="436"/>
        <w:spacing w:after="0" w:line="285" w:lineRule="auto"/>
        <w:rPr>
          <w:sz w:val="20"/>
          <w:szCs w:val="20"/>
          <w:color w:val="auto"/>
        </w:rPr>
      </w:pPr>
      <w:r>
        <w:rPr>
          <w:rFonts w:ascii="Times New Roman" w:cs="Times New Roman" w:eastAsia="Times New Roman" w:hAnsi="Times New Roman"/>
          <w:sz w:val="17"/>
          <w:szCs w:val="17"/>
          <w:color w:val="auto"/>
        </w:rPr>
        <w:t>As described above in “—Common Stock—Voting Rights,” our amended and restated certificate of incorporation provides for a dual class common stock structure, which will provide holders of our Class B common stock with significant influence over matters requiring stockholder approval, including the election of directors and significant corporate transactions, such as a merger or other sale of our company or its assets.</w:t>
      </w:r>
    </w:p>
    <w:p>
      <w:pPr>
        <w:spacing w:after="0" w:line="2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Classified Board</w:t>
      </w:r>
    </w:p>
    <w:p>
      <w:pPr>
        <w:spacing w:after="0" w:line="116" w:lineRule="exact"/>
        <w:rPr>
          <w:sz w:val="20"/>
          <w:szCs w:val="20"/>
          <w:color w:val="auto"/>
        </w:rPr>
      </w:pPr>
    </w:p>
    <w:p>
      <w:pPr>
        <w:ind w:left="180" w:firstLine="436"/>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further provide that our board of directors is divided into three classes, Class I, Class II and Class III, with each class serving staggered three-year terms. Our amended and restated certificate of incorporation provides that directors may be removed with or without cause upon the affirmative vote of a majority of the voting power of our outstanding capital stock entitled to vote generally in the election of directors, voting together as a single class; provided, however, that at any time when the holders of our Class B common stock no longer beneficially own, in the aggregate, at least the majority of the voting power of our outstanding capital stock entitled to vote generally in the election of directors, directors may only be removed for cause and upon upon the affirmative vote of a majority of the voting power of our outstanding capital stock entitled to vote generally in the election of directors, voting together as a single class. The existence of a classified board could delay a potential acquirer from obtaining majority control of our board of directors, and the prospect of that delay might deter a potential acquirer. See “Management—Board Composition.”</w:t>
      </w:r>
    </w:p>
    <w:p>
      <w:pPr>
        <w:spacing w:after="0" w:line="2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Board of Directors Vacancies</w:t>
      </w:r>
    </w:p>
    <w:p>
      <w:pPr>
        <w:spacing w:after="0" w:line="222" w:lineRule="exact"/>
        <w:rPr>
          <w:sz w:val="20"/>
          <w:szCs w:val="20"/>
          <w:color w:val="auto"/>
        </w:rPr>
      </w:pPr>
    </w:p>
    <w:p>
      <w:pPr>
        <w:ind w:left="180" w:right="120" w:firstLine="436"/>
        <w:spacing w:after="0" w:line="277"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to elect directors and the right granted pursuant to the stockholders agreement, our amended and restated certificate of incorporation and amended and</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60"/>
          </w:cols>
          <w:pgMar w:left="320" w:top="454" w:right="51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120"/>
        <w:spacing w:after="0" w:line="277" w:lineRule="auto"/>
        <w:rPr>
          <w:sz w:val="20"/>
          <w:szCs w:val="20"/>
          <w:color w:val="auto"/>
        </w:rPr>
      </w:pPr>
      <w:r>
        <w:rPr>
          <w:rFonts w:ascii="Times New Roman" w:cs="Times New Roman" w:eastAsia="Times New Roman" w:hAnsi="Times New Roman"/>
          <w:sz w:val="17"/>
          <w:szCs w:val="17"/>
          <w:color w:val="auto"/>
        </w:rPr>
        <w:t>restated bylaws will authorize our board of directors to fill vacant directorships, including newly created seats, and the number of directors constituting our board of directors will be permitted to be set only by a resolution adopted by our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2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Stockholder Action; Special Meeting of Stockholders</w:t>
      </w:r>
    </w:p>
    <w:p>
      <w:pPr>
        <w:spacing w:after="0" w:line="116" w:lineRule="exact"/>
        <w:rPr>
          <w:sz w:val="20"/>
          <w:szCs w:val="20"/>
          <w:color w:val="auto"/>
        </w:rPr>
      </w:pPr>
    </w:p>
    <w:p>
      <w:pPr>
        <w:ind w:left="180" w:right="20" w:firstLine="436"/>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at any time when the holders of our Class B common stock no longer beneficially own, in the aggregate, at least the majority of the voting power of our outstanding capital stock, our 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certificate of incorporation will further provide that special meetings of our stockholders may be called only by a majority of our board of directors, the chairperson of our board of directors, our Chief Executive Officer or our Co-Chief Executive Officers, as applicable,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2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16" w:lineRule="exact"/>
        <w:rPr>
          <w:sz w:val="20"/>
          <w:szCs w:val="20"/>
          <w:color w:val="auto"/>
        </w:rPr>
      </w:pPr>
    </w:p>
    <w:p>
      <w:pPr>
        <w:ind w:left="180" w:right="40" w:firstLine="436"/>
        <w:spacing w:after="0" w:line="252" w:lineRule="auto"/>
        <w:rPr>
          <w:sz w:val="20"/>
          <w:szCs w:val="20"/>
          <w:color w:val="auto"/>
        </w:rPr>
      </w:pPr>
      <w:r>
        <w:rPr>
          <w:rFonts w:ascii="Times New Roman" w:cs="Times New Roman" w:eastAsia="Times New Roman" w:hAnsi="Times New Roman"/>
          <w:sz w:val="18"/>
          <w:szCs w:val="18"/>
          <w:color w:val="auto"/>
        </w:rPr>
        <w:t>Our amended and restated bylaws will provide advance 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will not apply to the parties to our stockholders agreement so long as the stockholders agreement remains in effect.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16" w:lineRule="exact"/>
        <w:rPr>
          <w:sz w:val="20"/>
          <w:szCs w:val="20"/>
          <w:color w:val="auto"/>
        </w:rPr>
      </w:pPr>
    </w:p>
    <w:p>
      <w:pPr>
        <w:ind w:left="180" w:right="380" w:firstLine="436"/>
        <w:spacing w:after="0" w:line="262" w:lineRule="auto"/>
        <w:rPr>
          <w:sz w:val="20"/>
          <w:szCs w:val="20"/>
          <w:color w:val="auto"/>
        </w:rPr>
      </w:pPr>
      <w:r>
        <w:rPr>
          <w:rFonts w:ascii="Times New Roman" w:cs="Times New Roman" w:eastAsia="Times New Roman" w:hAnsi="Times New Roman"/>
          <w:sz w:val="18"/>
          <w:szCs w:val="18"/>
          <w:color w:val="auto"/>
        </w:rPr>
        <w:t>The Delaware General Corporation Law provides that stockholders are not entitled to cumulate votes in the election of directors unless a corporation’s certificate of incorporation provides otherwise. Our amended and restated certificate of incorporation does not provide for cumulative voting.</w:t>
      </w:r>
    </w:p>
    <w:p>
      <w:pPr>
        <w:spacing w:after="0" w:line="2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Amendment of Charter and Bylaws Provisions</w:t>
      </w:r>
    </w:p>
    <w:p>
      <w:pPr>
        <w:spacing w:after="0" w:line="116"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color w:val="auto"/>
        </w:rPr>
        <w:t>Amendments to certain provisions of our amended and restated certificate of incorporation will require the approval of 66 2/3% of the voting power of our outstanding capital stock, voting as a single class. In addition, for so long as any shares of our Class B common stock remain outstanding, the approval of 66 2/3% of the voting power of our outstanding shares of Class B common stock, voting as a separate class, will be required to amend the provisions of our amended and restated certificate of incorporation relating to the terms of our Class A common stock or Class B common stock. Our amended and restated bylaws will provide that approval of stockholders holding 66 2/3% of the voting power of our outstanding capital stock, voting as a single class, is required for stockholders to amend or adopt any provision of our bylaws.</w:t>
      </w:r>
    </w:p>
    <w:p>
      <w:pPr>
        <w:spacing w:after="0" w:line="2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Issuance of Undesignated Preferred Stock</w:t>
      </w:r>
    </w:p>
    <w:p>
      <w:pPr>
        <w:spacing w:after="0" w:line="116" w:lineRule="exact"/>
        <w:rPr>
          <w:sz w:val="20"/>
          <w:szCs w:val="20"/>
          <w:color w:val="auto"/>
        </w:rPr>
      </w:pPr>
    </w:p>
    <w:p>
      <w:pPr>
        <w:ind w:left="180" w:right="100" w:firstLine="436"/>
        <w:spacing w:after="0" w:line="262" w:lineRule="auto"/>
        <w:rPr>
          <w:sz w:val="20"/>
          <w:szCs w:val="20"/>
          <w:color w:val="auto"/>
        </w:rPr>
      </w:pPr>
      <w:r>
        <w:rPr>
          <w:rFonts w:ascii="Times New Roman" w:cs="Times New Roman" w:eastAsia="Times New Roman" w:hAnsi="Times New Roman"/>
          <w:sz w:val="18"/>
          <w:szCs w:val="18"/>
          <w:color w:val="auto"/>
        </w:rPr>
        <w:t>Our board of directors will have the authority, without further action by our stockholders, to issue up to 50,000,000 shares of undesignated preferred stock with rights and preferences, including voting rights, designated from time to time by our board of directors. The existence of authorized but unissued shares of</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60"/>
          </w:cols>
          <w:pgMar w:left="320" w:top="454" w:right="51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320"/>
        <w:spacing w:after="0" w:line="277" w:lineRule="auto"/>
        <w:rPr>
          <w:sz w:val="20"/>
          <w:szCs w:val="20"/>
          <w:color w:val="auto"/>
        </w:rPr>
      </w:pPr>
      <w:r>
        <w:rPr>
          <w:rFonts w:ascii="Times New Roman" w:cs="Times New Roman" w:eastAsia="Times New Roman" w:hAnsi="Times New Roman"/>
          <w:sz w:val="18"/>
          <w:szCs w:val="18"/>
          <w:color w:val="auto"/>
        </w:rPr>
        <w:t>preferred stock would enable our board of directors to render more difficult or to discourage an attempt to obtain control of us by means of a merger, tender offer, proxy contest or other means.</w:t>
      </w: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Exclusive Forum</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consent in writing to the selection of an alternative forum,</w:t>
      </w:r>
    </w:p>
    <w:p>
      <w:pPr>
        <w:spacing w:after="0" w:line="26" w:lineRule="exact"/>
        <w:rPr>
          <w:sz w:val="20"/>
          <w:szCs w:val="20"/>
          <w:color w:val="auto"/>
        </w:rPr>
      </w:pPr>
    </w:p>
    <w:p>
      <w:pPr>
        <w:ind w:left="180" w:right="40" w:hanging="6"/>
        <w:spacing w:after="0" w:line="248" w:lineRule="auto"/>
        <w:tabs>
          <w:tab w:leader="none" w:pos="47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Our amended and restated certificate of incorporation will also provide that, to the fullest extent permitted by law, any person or entity purchasing or otherwise acquiring or holding any interest in shares of our capital stock shall be deemed to have notice of and consented to the foregoing. By agreeing to this provision, however, stockholders will not be deemed to have waived our compliance with the federal securities laws and the rules and regulations thereunder.</w:t>
      </w:r>
    </w:p>
    <w:p>
      <w:pPr>
        <w:spacing w:after="0" w:line="2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Corporate Opportunity Doctrine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Delaware law permits corporations to adopt provisions renouncing any interest or expectancy in certain opportunities that are presented to the</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corporation or its officers, directors or stockholders. Our amended and restated certificate of incorporation will, to the fullest extent permitted from time</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 time by Delaware law, renounce any interest or expectancy that we otherwise would have in, all rights to be offered an opportunity to participate in,</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any business opportunity that are from time to time may be presented to SLP Geology Aggregator, L.P., Francisco Partners IV, L.P., Francisco</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Partners IV-A, L.P., Spectrum Equity VII, L.P., Spectrum VII Investment Managers’ Fund, L.P., Spectrum VII Co-Investment Fund, L.P. and Idea Men,</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LLC or their affiliates (other than us and our subsidiaries), and any of their respective principals, members, directors, partners, stockholders, officers,</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employees or other representatives (other than any such person who is also our employee or an employee of our subsidiaries), or any director or</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stockholder who is not employed by us or our subsidiaries (each such person, an “exempt person”). Our amended and restated certificate of</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incorporation will provide that, to the fullest extent permitted by law, no exempt person will have any duty to refrain from (1) engaging in a corporate</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opportunity in the same or similar lines of business in which we or our subsidiaries now engage or propose to engage or (2) otherwise competing with us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or our subsidiaries. In addition, to the fullest extent permitted by law, if an exempt person acquires knowledge of a potential transaction or other business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opportunity which may be a corporate opportunity for itself or himself or its or his affiliates or for us or our subsidiaries, such exempt person will have</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 duty to communicate or offer such transaction or business opportunity to us or any of our subsidiaries and such exempt person may take any such</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opportunity for themselves or offer it to another person or entity. To the fullest extent permitted by Delaware law, no potential transaction or business</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opportunity may be deemed to be a corporate opportunity of the corporation or its subsidiaries unless (1) we or our subsidiaries would be permitted to</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undertake such transaction or opportunity in accordance with the amended and restated certificate of incorporation, (2) we or our subsidiaries, at such</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time have sufficient financial resources to undertake such transaction or opportunity, (3) we or our subsidiaries have an interest or expectancy in such</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transaction or opportunity, and (4) such transaction or opportunity would be in the same or similar line of our or our subsidiaries’ business in which we</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or our subsidiaries are engaged or a line of business that is reasonably related to, or a reasonable extension of, such line of business.</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80"/>
          </w:cols>
          <w:pgMar w:left="320" w:top="454" w:right="49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Matters</w:t>
      </w:r>
    </w:p>
    <w:p>
      <w:pPr>
        <w:spacing w:after="0" w:line="118" w:lineRule="exact"/>
        <w:rPr>
          <w:sz w:val="20"/>
          <w:szCs w:val="20"/>
          <w:color w:val="auto"/>
        </w:rPr>
      </w:pPr>
    </w:p>
    <w:p>
      <w:pPr>
        <w:ind w:left="180" w:firstLine="436"/>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limit the liability of our directors to the fullest extent permitted by the Delaware General Corporation Law, and our amended and restated bylaws will provide that we will indemnify them to the fullest extent permitted by such law. We expect to enter into indemnification agreements with our current directors and executive officers prior to the completion of this offering and expect to enter into a similar agreement with any new directors or executive officers. Further, pursuant to our indemnification agreements and directors’ and officers’ liability insurance, our directors and executive officers will be indemnified and insured against the cost of defense, settlement or payment of a judgment under certain circumstances. In addition, as permitted by Delaware law, our amended and restated certificate of incorporation will include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These provisions may be held not to be enforceable for violations of the federal securities laws of the United States.</w:t>
      </w:r>
    </w:p>
    <w:p>
      <w:pPr>
        <w:spacing w:after="0" w:line="3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have applied to list our Class A common stock on the Nasdaq Global Select Market under the symbol “GDRX.”</w:t>
      </w:r>
    </w:p>
    <w:p>
      <w:pPr>
        <w:spacing w:after="0" w:line="3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American Stock Transfer &amp; Trust Company, LLC.</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80"/>
          </w:cols>
          <w:pgMar w:left="320" w:top="454" w:right="49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4" w:lineRule="exact"/>
        <w:rPr>
          <w:sz w:val="20"/>
          <w:szCs w:val="20"/>
          <w:color w:val="auto"/>
        </w:rPr>
      </w:pPr>
    </w:p>
    <w:p>
      <w:pPr>
        <w:ind w:left="180" w:right="40" w:firstLine="436"/>
        <w:spacing w:after="0" w:line="253" w:lineRule="auto"/>
        <w:rPr>
          <w:sz w:val="20"/>
          <w:szCs w:val="20"/>
          <w:color w:val="auto"/>
        </w:rPr>
      </w:pPr>
      <w:r>
        <w:rPr>
          <w:rFonts w:ascii="Times New Roman" w:cs="Times New Roman" w:eastAsia="Times New Roman" w:hAnsi="Times New Roman"/>
          <w:sz w:val="18"/>
          <w:szCs w:val="18"/>
          <w:color w:val="auto"/>
        </w:rPr>
        <w:t>Immediately prior to this offering, there was no public market for our Class A common stock, and no predictions can be made about the effect, if any, that market sales of our Class A common stock or the availability of such shares for sale will have on the market price prevailing from time to time. Nevertheless, future sales of our Class A common stock in the public market, the issuance of shares upon exercise of options or settlement of RSUs, or the perception that such sales or issuances may occur, could adversely affect the market price of our Class A common stock and could impair our ability to raise capital through future sales of our securities. Furthermore, although we have applied to have our Class A common stock listed on the Nasdaq Global Select Market, we cannot assure you that there will be an active public trading market for our Class A common stock.</w:t>
      </w:r>
    </w:p>
    <w:p>
      <w:pPr>
        <w:spacing w:after="0" w:line="187" w:lineRule="exact"/>
        <w:rPr>
          <w:sz w:val="20"/>
          <w:szCs w:val="20"/>
          <w:color w:val="auto"/>
        </w:rPr>
      </w:pPr>
    </w:p>
    <w:p>
      <w:pPr>
        <w:ind w:left="180" w:right="40" w:firstLine="436"/>
        <w:spacing w:after="0" w:line="251" w:lineRule="auto"/>
        <w:rPr>
          <w:sz w:val="20"/>
          <w:szCs w:val="20"/>
          <w:color w:val="auto"/>
        </w:rPr>
      </w:pPr>
      <w:r>
        <w:rPr>
          <w:rFonts w:ascii="Times New Roman" w:cs="Times New Roman" w:eastAsia="Times New Roman" w:hAnsi="Times New Roman"/>
          <w:sz w:val="18"/>
          <w:szCs w:val="18"/>
          <w:color w:val="auto"/>
        </w:rPr>
        <w:t>Upon the closing of this offering and the private placement, based on the number of shares of our capital stock outstanding as of June 30, 2020 after giving effect to (i) the Preferred Stock Conversion, (ii) the filing and effectiveness of our amended and restated certificate of incorporation, (iii) the Class B Reclassification and (iv) the conversion of 10,908,121 shares of our Class B common stock held by certain selling stockholders into an equivalent number of our Class A common stock upon the sale by the selling stockholders in this offering, we will have a total of 38,461,537 shares of our Class A common stock outstanding and 345,576,853 shares of our Class B common stock outstanding. This includes 34,615,384 shares that we and the selling stockholders are selling in this offering, as well as the issuance of 284,536 shares of our Class A common stock upon the exercise of options by certain selling stockholders in connection with the sale of such shares in this offering, which shares may be resold in the public market immediately following this offering, and assumes no additional exercise of outstanding options. Shares of our Class B common stock are convertible into an equivalent number of shares of our Class A common stock and generally convert into shares of our Class A common stock upon transfer.</w:t>
      </w:r>
    </w:p>
    <w:p>
      <w:pPr>
        <w:spacing w:after="0" w:line="189" w:lineRule="exact"/>
        <w:rPr>
          <w:sz w:val="20"/>
          <w:szCs w:val="20"/>
          <w:color w:val="auto"/>
        </w:rPr>
      </w:pPr>
    </w:p>
    <w:p>
      <w:pPr>
        <w:jc w:val="both"/>
        <w:ind w:left="180" w:right="120" w:firstLine="436"/>
        <w:spacing w:after="0" w:line="262" w:lineRule="auto"/>
        <w:rPr>
          <w:sz w:val="20"/>
          <w:szCs w:val="20"/>
          <w:color w:val="auto"/>
        </w:rPr>
      </w:pPr>
      <w:r>
        <w:rPr>
          <w:rFonts w:ascii="Times New Roman" w:cs="Times New Roman" w:eastAsia="Times New Roman" w:hAnsi="Times New Roman"/>
          <w:sz w:val="18"/>
          <w:szCs w:val="18"/>
          <w:color w:val="auto"/>
        </w:rPr>
        <w:t>The remaining outstanding shares of our Class A common stock and Class B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Lock-Up Arrangements</w:t>
      </w:r>
    </w:p>
    <w:p>
      <w:pPr>
        <w:spacing w:after="0" w:line="118" w:lineRule="exact"/>
        <w:rPr>
          <w:sz w:val="20"/>
          <w:szCs w:val="20"/>
          <w:color w:val="auto"/>
        </w:rPr>
      </w:pPr>
    </w:p>
    <w:p>
      <w:pPr>
        <w:ind w:left="180" w:firstLine="436"/>
        <w:spacing w:after="0" w:line="265" w:lineRule="auto"/>
        <w:rPr>
          <w:sz w:val="20"/>
          <w:szCs w:val="20"/>
          <w:color w:val="auto"/>
        </w:rPr>
      </w:pPr>
      <w:r>
        <w:rPr>
          <w:rFonts w:ascii="Times New Roman" w:cs="Times New Roman" w:eastAsia="Times New Roman" w:hAnsi="Times New Roman"/>
          <w:sz w:val="17"/>
          <w:szCs w:val="17"/>
          <w:color w:val="auto"/>
        </w:rPr>
        <w:t>We and all directors, officers and the holders of substantially all of our outstanding common stock and stock options have agreed that, without the prior written consent of at least three of the representatives on behalf of the underwriters, subject to certain exceptions, we and they will not, and will not publicly disclose an intention to, during the period ending 180 days after the date of this prospectus, or the restricted period, (i)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(ii) file any registration statement with the Securities and Exchange Commission relating to the offering of any shares of common stock or any securities convertible into or exercisable or exchangeable for common stock or (iii) enter into any swap or other arrangement that transfers to another, in whole or in part, any of the economic consequences of ownership of the common stock; provided, however, that with respect to each of our non-executive employees that have agreed to the lock-up restrictions described above, if (a)(1) we have filed our first quarterly report on Form 10-Q, or the first filing date, and (2) the last reported closing price of the Class A common stock on the NASDAQ Global Select Market is at least 33% greater than the initial public offering price per share set forth on the cover page of this prospectus, or the IPO price, for 10 out of the 15 consecutive trading days ending on the first filing date, then 20% of the lock-up party’s shares of common stock that are subject to the restricted period will be automatically released from such restrictions immediately prior to the opening of trading on the NASDAQ Global Select Market on the second trading day following the first filing date, which percentage shall be calculated based on the number of shares of common stock subject to the restricted period that are held by such lock-up party as of the first filing date; and/or (b)(1) we have filed our second quarterly report on Form 10-Q or our first annual report on Form 10-K, or the second filing date, and (2) the last reported closing price is at least 33% greater than the IPO price for 10 out of the 15 consecutive trading days ending on the second filing date, then 30% of the lock-up party’s shares of common stock that are subject to the restricted</w:t>
      </w:r>
    </w:p>
    <w:p>
      <w:pPr>
        <w:spacing w:after="0" w:line="1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60"/>
          </w:cols>
          <w:pgMar w:left="320" w:top="454" w:right="51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60"/>
        <w:spacing w:after="0" w:line="252" w:lineRule="auto"/>
        <w:rPr>
          <w:sz w:val="20"/>
          <w:szCs w:val="20"/>
          <w:color w:val="auto"/>
        </w:rPr>
      </w:pPr>
      <w:r>
        <w:rPr>
          <w:rFonts w:ascii="Times New Roman" w:cs="Times New Roman" w:eastAsia="Times New Roman" w:hAnsi="Times New Roman"/>
          <w:sz w:val="18"/>
          <w:szCs w:val="18"/>
          <w:color w:val="auto"/>
        </w:rPr>
        <w:t>period will be automatically released from such restrictions immediately prior to the opening of trading on the NASDAQ Global Select Market on the second trading day following the second filing date, which percentage shall be calculated based on the number of shares of common stock subject to the restricted period that are held by such lock-up party as of the second filing date. The lock-up arrangements described above are subject to a number of exceptions, including sales of shares on the open market to cover taxes or estimated taxes due as a result of vesting or settlement of restricted stock units, which we estimate could result in transfers of 15,866 shares of Class A common stock (excluding any shares related to the Founder Awards) during the restricted period based on the assumed initial public offering price of $26.00 per share. The shares of common stock and other securities subject to the lock-up arrangements described above may only be released with the consent of at least three of the representatives, in their sole discretion.</w:t>
      </w:r>
    </w:p>
    <w:p>
      <w:pPr>
        <w:spacing w:after="0" w:line="185"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8"/>
          <w:szCs w:val="18"/>
          <w:color w:val="auto"/>
        </w:rPr>
        <w:t>Upon the expiration of the restricted period, substantially all of the shares subject to such lock-up restrictions will become eligible for sale, subject to the limitations discussed above. For a further description of these lock-up agreements, please see “Underwriters.”</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18" w:lineRule="exact"/>
        <w:rPr>
          <w:sz w:val="20"/>
          <w:szCs w:val="20"/>
          <w:color w:val="auto"/>
        </w:rPr>
      </w:pPr>
    </w:p>
    <w:p>
      <w:pPr>
        <w:ind w:left="180" w:firstLine="436"/>
        <w:spacing w:after="0" w:line="252" w:lineRule="auto"/>
        <w:rPr>
          <w:sz w:val="20"/>
          <w:szCs w:val="20"/>
          <w:color w:val="auto"/>
        </w:rPr>
      </w:pPr>
      <w:r>
        <w:rPr>
          <w:rFonts w:ascii="Times New Roman" w:cs="Times New Roman" w:eastAsia="Times New Roman" w:hAnsi="Times New Roman"/>
          <w:sz w:val="18"/>
          <w:szCs w:val="18"/>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89" w:lineRule="exact"/>
        <w:rPr>
          <w:sz w:val="20"/>
          <w:szCs w:val="20"/>
          <w:color w:val="auto"/>
        </w:rPr>
      </w:pPr>
    </w:p>
    <w:p>
      <w:pPr>
        <w:ind w:left="180" w:right="160" w:firstLine="436"/>
        <w:spacing w:after="0" w:line="262" w:lineRule="auto"/>
        <w:rPr>
          <w:sz w:val="20"/>
          <w:szCs w:val="20"/>
          <w:color w:val="auto"/>
        </w:rPr>
      </w:pPr>
      <w:r>
        <w:rPr>
          <w:rFonts w:ascii="Times New Roman" w:cs="Times New Roman" w:eastAsia="Times New Roman" w:hAnsi="Times New Roman"/>
          <w:sz w:val="18"/>
          <w:szCs w:val="18"/>
          <w:color w:val="auto"/>
        </w:rPr>
        <w:t>In general, Rule 144 provides that our affiliates or persons selling shares of our common stock on behalf of our affiliates are entitled to sell upon expiration of the lock-up agreements described in this prospectus, within any three-month period, a number of shares of common stock that does not exceed the greater of:</w:t>
      </w:r>
    </w:p>
    <w:p>
      <w:pPr>
        <w:spacing w:after="0" w:line="84" w:lineRule="exact"/>
        <w:rPr>
          <w:sz w:val="20"/>
          <w:szCs w:val="20"/>
          <w:color w:val="auto"/>
        </w:rPr>
      </w:pPr>
    </w:p>
    <w:p>
      <w:pPr>
        <w:ind w:left="1140" w:right="40" w:hanging="432"/>
        <w:spacing w:after="0" w:line="262" w:lineRule="auto"/>
        <w:tabs>
          <w:tab w:leader="none" w:pos="11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our Class A common stock then outstanding, which will equal 384,615 shares of our Class A common stock immediately after this offering (including the issuance of 284,536 shares of our Class A common stock upon the exercise of options by certain selling stockholders in connection with the sale of such shares in this offering and the private placement); or</w:t>
      </w:r>
    </w:p>
    <w:p>
      <w:pPr>
        <w:spacing w:after="0" w:line="83" w:lineRule="exact"/>
        <w:rPr>
          <w:rFonts w:ascii="Times New Roman" w:cs="Times New Roman" w:eastAsia="Times New Roman" w:hAnsi="Times New Roman"/>
          <w:sz w:val="18"/>
          <w:szCs w:val="18"/>
          <w:color w:val="auto"/>
        </w:rPr>
      </w:pPr>
    </w:p>
    <w:p>
      <w:pPr>
        <w:ind w:left="1140" w:right="120" w:hanging="432"/>
        <w:spacing w:after="0" w:line="277" w:lineRule="auto"/>
        <w:tabs>
          <w:tab w:leader="none" w:pos="11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in shares of our Class A common stock during the four calendar weeks preceding the filing of a notice on Form 144 with respect to such sale.</w:t>
      </w:r>
    </w:p>
    <w:p>
      <w:pPr>
        <w:spacing w:after="0" w:line="163" w:lineRule="exact"/>
        <w:rPr>
          <w:sz w:val="20"/>
          <w:szCs w:val="20"/>
          <w:color w:val="auto"/>
        </w:rPr>
      </w:pPr>
    </w:p>
    <w:p>
      <w:pPr>
        <w:ind w:left="180" w:right="100" w:firstLine="436"/>
        <w:spacing w:after="0" w:line="262" w:lineRule="auto"/>
        <w:rPr>
          <w:sz w:val="20"/>
          <w:szCs w:val="20"/>
          <w:color w:val="auto"/>
        </w:rPr>
      </w:pPr>
      <w:r>
        <w:rPr>
          <w:rFonts w:ascii="Times New Roman" w:cs="Times New Roman" w:eastAsia="Times New Roman" w:hAnsi="Times New Roman"/>
          <w:sz w:val="18"/>
          <w:szCs w:val="18"/>
          <w:color w:val="auto"/>
        </w:rPr>
        <w:t>Sales of our Class A common stock made in reliance upon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18" w:lineRule="exact"/>
        <w:rPr>
          <w:sz w:val="20"/>
          <w:szCs w:val="20"/>
          <w:color w:val="auto"/>
        </w:rPr>
      </w:pPr>
    </w:p>
    <w:p>
      <w:pPr>
        <w:ind w:left="180" w:right="60" w:firstLine="436"/>
        <w:spacing w:after="0" w:line="255" w:lineRule="auto"/>
        <w:rPr>
          <w:sz w:val="20"/>
          <w:szCs w:val="20"/>
          <w:color w:val="auto"/>
        </w:rPr>
      </w:pPr>
      <w:r>
        <w:rPr>
          <w:rFonts w:ascii="Times New Roman" w:cs="Times New Roman" w:eastAsia="Times New Roman" w:hAnsi="Times New Roman"/>
          <w:sz w:val="18"/>
          <w:szCs w:val="18"/>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83" w:lineRule="exact"/>
        <w:rPr>
          <w:sz w:val="20"/>
          <w:szCs w:val="20"/>
          <w:color w:val="auto"/>
        </w:rPr>
      </w:pPr>
    </w:p>
    <w:p>
      <w:pPr>
        <w:ind w:left="180" w:right="80" w:firstLine="436"/>
        <w:spacing w:after="0" w:line="262" w:lineRule="auto"/>
        <w:rPr>
          <w:sz w:val="20"/>
          <w:szCs w:val="20"/>
          <w:color w:val="auto"/>
        </w:rPr>
      </w:pPr>
      <w:r>
        <w:rPr>
          <w:rFonts w:ascii="Times New Roman" w:cs="Times New Roman" w:eastAsia="Times New Roman" w:hAnsi="Times New Roman"/>
          <w:sz w:val="18"/>
          <w:szCs w:val="18"/>
          <w:color w:val="auto"/>
        </w:rPr>
        <w:t>The Securities and Exchange Commission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60"/>
          </w:cols>
          <w:pgMar w:left="320" w:top="454" w:right="51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118" w:lineRule="exact"/>
        <w:rPr>
          <w:sz w:val="20"/>
          <w:szCs w:val="20"/>
          <w:color w:val="auto"/>
        </w:rPr>
      </w:pPr>
    </w:p>
    <w:p>
      <w:pPr>
        <w:ind w:left="180" w:firstLine="436"/>
        <w:spacing w:after="0" w:line="255"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shares of our Class A common stock and Class B common stock subject to outstanding options and common stock issuable under our equity incentive plans and employee stock purchase plan. We expect to file the registration statement covering shares offered pursuant to our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2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8"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color w:val="auto"/>
        </w:rPr>
        <w:t>Upon the closing of this offering and the private placement, the holders of 3,846,153 shares of our Class A common stock and 318,983,671 shares of our Class B common stock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40"/>
          </w:cols>
          <w:pgMar w:left="320" w:top="454" w:right="5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224" w:lineRule="exact"/>
        <w:rPr>
          <w:sz w:val="20"/>
          <w:szCs w:val="20"/>
          <w:color w:val="auto"/>
        </w:rPr>
      </w:pPr>
    </w:p>
    <w:p>
      <w:pPr>
        <w:ind w:left="180" w:right="60" w:firstLine="436"/>
        <w:spacing w:after="0" w:line="251"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89" w:lineRule="exact"/>
        <w:rPr>
          <w:sz w:val="20"/>
          <w:szCs w:val="20"/>
          <w:color w:val="auto"/>
        </w:rPr>
      </w:pPr>
    </w:p>
    <w:p>
      <w:pPr>
        <w:ind w:left="180" w:right="60" w:firstLine="436"/>
        <w:spacing w:after="0" w:line="257" w:lineRule="auto"/>
        <w:rPr>
          <w:sz w:val="20"/>
          <w:szCs w:val="20"/>
          <w:color w:val="auto"/>
        </w:rPr>
      </w:pPr>
      <w:r>
        <w:rPr>
          <w:rFonts w:ascii="Times New Roman" w:cs="Times New Roman" w:eastAsia="Times New Roman" w:hAnsi="Times New Roman"/>
          <w:sz w:val="18"/>
          <w:szCs w:val="18"/>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or the alternative minimum tax. In addition, it does not address consequences relevant to Non-U.S. Holders subject to special rules, including, without limitation:</w:t>
      </w:r>
    </w:p>
    <w:p>
      <w:pPr>
        <w:spacing w:after="0" w:line="89" w:lineRule="exact"/>
        <w:rPr>
          <w:sz w:val="20"/>
          <w:szCs w:val="20"/>
          <w:color w:val="auto"/>
        </w:rPr>
      </w:pPr>
    </w:p>
    <w:p>
      <w:pPr>
        <w:ind w:left="1140" w:hanging="432"/>
        <w:spacing w:after="0"/>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26" w:lineRule="exact"/>
        <w:rPr>
          <w:rFonts w:ascii="Times New Roman" w:cs="Times New Roman" w:eastAsia="Times New Roman" w:hAnsi="Times New Roman"/>
          <w:sz w:val="18"/>
          <w:szCs w:val="18"/>
          <w:color w:val="auto"/>
        </w:rPr>
      </w:pPr>
    </w:p>
    <w:p>
      <w:pPr>
        <w:ind w:left="1140" w:right="780" w:hanging="432"/>
        <w:spacing w:after="0" w:line="277" w:lineRule="auto"/>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Class A common stock as part of a hedge, straddle or other risk reduction strategy or as part of a conversion transaction or other integrated investment;</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26" w:lineRule="exact"/>
        <w:rPr>
          <w:rFonts w:ascii="Times New Roman" w:cs="Times New Roman" w:eastAsia="Times New Roman" w:hAnsi="Times New Roman"/>
          <w:sz w:val="18"/>
          <w:szCs w:val="18"/>
          <w:color w:val="auto"/>
        </w:rPr>
      </w:pPr>
    </w:p>
    <w:p>
      <w:pPr>
        <w:ind w:left="1140" w:right="520" w:hanging="432"/>
        <w:spacing w:after="0" w:line="277" w:lineRule="auto"/>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26"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Class A common stock under the constructive sale provisions of the Code;</w:t>
      </w:r>
    </w:p>
    <w:p>
      <w:pPr>
        <w:spacing w:after="0" w:line="126" w:lineRule="exact"/>
        <w:rPr>
          <w:rFonts w:ascii="Times New Roman" w:cs="Times New Roman" w:eastAsia="Times New Roman" w:hAnsi="Times New Roman"/>
          <w:sz w:val="18"/>
          <w:szCs w:val="18"/>
          <w:color w:val="auto"/>
        </w:rPr>
      </w:pPr>
    </w:p>
    <w:p>
      <w:pPr>
        <w:ind w:left="1140" w:right="960" w:hanging="432"/>
        <w:spacing w:after="0" w:line="277" w:lineRule="auto"/>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Class A common stock pursuant to the exercise of any employee stock option or otherwise as compensation;</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 and</w:t>
      </w:r>
    </w:p>
    <w:p>
      <w:pPr>
        <w:spacing w:after="0" w:line="126" w:lineRule="exact"/>
        <w:rPr>
          <w:rFonts w:ascii="Times New Roman" w:cs="Times New Roman" w:eastAsia="Times New Roman" w:hAnsi="Times New Roman"/>
          <w:sz w:val="18"/>
          <w:szCs w:val="18"/>
          <w:color w:val="auto"/>
        </w:rPr>
      </w:pPr>
    </w:p>
    <w:p>
      <w:pPr>
        <w:ind w:left="1140" w:right="80" w:hanging="432"/>
        <w:spacing w:after="0" w:line="277" w:lineRule="auto"/>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163" w:lineRule="exact"/>
        <w:rPr>
          <w:sz w:val="20"/>
          <w:szCs w:val="20"/>
          <w:color w:val="auto"/>
        </w:rPr>
      </w:pPr>
    </w:p>
    <w:p>
      <w:pPr>
        <w:ind w:left="180" w:firstLine="436"/>
        <w:spacing w:after="0" w:line="257"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178" w:lineRule="exact"/>
        <w:rPr>
          <w:sz w:val="20"/>
          <w:szCs w:val="20"/>
          <w:color w:val="auto"/>
        </w:rPr>
      </w:pPr>
    </w:p>
    <w:p>
      <w:pPr>
        <w:ind w:left="180" w:right="36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INVESTORS SHOULD CONSULT THEIR TAX ADVISORS WITH RESPECT TO THE APPLICATION OF THE U.S. FEDERAL INCOME TAX LAWS TO THEIR PARTICULAR</w:t>
      </w:r>
    </w:p>
    <w:p>
      <w:pPr>
        <w:spacing w:after="0" w:line="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60"/>
          </w:cols>
          <w:pgMar w:left="320" w:top="454" w:right="51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right="200"/>
        <w:spacing w:after="0" w:line="265" w:lineRule="auto"/>
        <w:rPr>
          <w:sz w:val="20"/>
          <w:szCs w:val="20"/>
          <w:color w:val="auto"/>
        </w:rPr>
      </w:pPr>
      <w:r>
        <w:rPr>
          <w:rFonts w:ascii="Times New Roman" w:cs="Times New Roman" w:eastAsia="Times New Roman" w:hAnsi="Times New Roman"/>
          <w:sz w:val="18"/>
          <w:szCs w:val="18"/>
          <w:b w:val="1"/>
          <w:bCs w:val="1"/>
          <w:color w:val="auto"/>
        </w:rPr>
        <w:t>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2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Definition of a Non-U.S. Holder</w:t>
      </w:r>
    </w:p>
    <w:p>
      <w:pPr>
        <w:spacing w:after="0" w:line="118" w:lineRule="exact"/>
        <w:rPr>
          <w:sz w:val="20"/>
          <w:szCs w:val="20"/>
          <w:color w:val="auto"/>
        </w:rPr>
      </w:pPr>
    </w:p>
    <w:p>
      <w:pPr>
        <w:ind w:left="180" w:right="100" w:firstLine="436"/>
        <w:spacing w:after="0" w:line="262"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84" w:lineRule="exact"/>
        <w:rPr>
          <w:sz w:val="20"/>
          <w:szCs w:val="20"/>
          <w:color w:val="auto"/>
        </w:rPr>
      </w:pPr>
    </w:p>
    <w:p>
      <w:pPr>
        <w:ind w:left="1140" w:hanging="432"/>
        <w:spacing w:after="0"/>
        <w:tabs>
          <w:tab w:leader="none" w:pos="11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6" w:lineRule="exact"/>
        <w:rPr>
          <w:rFonts w:ascii="Times New Roman" w:cs="Times New Roman" w:eastAsia="Times New Roman" w:hAnsi="Times New Roman"/>
          <w:sz w:val="18"/>
          <w:szCs w:val="18"/>
          <w:color w:val="auto"/>
        </w:rPr>
      </w:pPr>
    </w:p>
    <w:p>
      <w:pPr>
        <w:ind w:left="1140" w:right="20" w:hanging="432"/>
        <w:spacing w:after="0" w:line="277" w:lineRule="auto"/>
        <w:tabs>
          <w:tab w:leader="none" w:pos="11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tax purposes created or organized under the laws of the United States, any state thereof, or the District of Columbia;</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26" w:lineRule="exact"/>
        <w:rPr>
          <w:rFonts w:ascii="Times New Roman" w:cs="Times New Roman" w:eastAsia="Times New Roman" w:hAnsi="Times New Roman"/>
          <w:sz w:val="18"/>
          <w:szCs w:val="18"/>
          <w:color w:val="auto"/>
        </w:rPr>
      </w:pPr>
    </w:p>
    <w:p>
      <w:pPr>
        <w:ind w:left="1140" w:right="160" w:hanging="432"/>
        <w:spacing w:after="0" w:line="262" w:lineRule="auto"/>
        <w:tabs>
          <w:tab w:leader="none" w:pos="11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one or more “United States persons” (within the meaning of Section 7701(a)(30) of the Code) have the authority to control substantial decisions of the trust, or (2) has a valid election in effect under applicable U.S. Treasury Regulations to be treated as a United States person for U.S. federal income tax purposes.</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18" w:lineRule="exact"/>
        <w:rPr>
          <w:sz w:val="20"/>
          <w:szCs w:val="20"/>
          <w:color w:val="auto"/>
        </w:rPr>
      </w:pPr>
    </w:p>
    <w:p>
      <w:pPr>
        <w:ind w:left="180" w:firstLine="436"/>
        <w:spacing w:after="0" w:line="253" w:lineRule="auto"/>
        <w:rPr>
          <w:sz w:val="20"/>
          <w:szCs w:val="20"/>
          <w:color w:val="auto"/>
        </w:rPr>
      </w:pPr>
      <w:r>
        <w:rPr>
          <w:rFonts w:ascii="Times New Roman" w:cs="Times New Roman" w:eastAsia="Times New Roman" w:hAnsi="Times New Roman"/>
          <w:sz w:val="18"/>
          <w:szCs w:val="18"/>
          <w:color w:val="auto"/>
        </w:rPr>
        <w:t>As described in the section entitled “Dividend Policy,” we do not currently expect to pay any cash dividends on our Class A common stock.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87" w:lineRule="exact"/>
        <w:rPr>
          <w:sz w:val="20"/>
          <w:szCs w:val="20"/>
          <w:color w:val="auto"/>
        </w:rPr>
      </w:pPr>
    </w:p>
    <w:p>
      <w:pPr>
        <w:ind w:left="180" w:right="20" w:firstLine="436"/>
        <w:spacing w:after="0" w:line="253"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dividends paid to a Non-U.S. Holder of our Class A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87" w:lineRule="exact"/>
        <w:rPr>
          <w:sz w:val="20"/>
          <w:szCs w:val="20"/>
          <w:color w:val="auto"/>
        </w:rPr>
      </w:pPr>
    </w:p>
    <w:p>
      <w:pPr>
        <w:ind w:left="180" w:right="40" w:firstLine="436"/>
        <w:spacing w:after="0" w:line="255"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83" w:lineRule="exact"/>
        <w:rPr>
          <w:sz w:val="20"/>
          <w:szCs w:val="20"/>
          <w:color w:val="auto"/>
        </w:rPr>
      </w:pPr>
    </w:p>
    <w:p>
      <w:pPr>
        <w:ind w:left="180" w:firstLine="436"/>
        <w:spacing w:after="0" w:line="257"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40"/>
          </w:cols>
          <w:pgMar w:left="320" w:top="454" w:right="5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Sale or Other Taxable Disposition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Subject to the discussion below regarding backup withholding and foreign accounts, a Non-U.S. Holder generally will not be subject to U.S.</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federal income tax on any gain realized upon the sale or other taxable disposition of our Class A common stock unless:</w:t>
      </w:r>
    </w:p>
    <w:p>
      <w:pPr>
        <w:spacing w:after="0" w:line="108" w:lineRule="exact"/>
        <w:rPr>
          <w:sz w:val="20"/>
          <w:szCs w:val="20"/>
          <w:color w:val="auto"/>
        </w:rPr>
      </w:pPr>
    </w:p>
    <w:p>
      <w:pPr>
        <w:ind w:left="1140" w:right="60" w:hanging="432"/>
        <w:spacing w:after="0" w:line="262" w:lineRule="auto"/>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83" w:lineRule="exact"/>
        <w:rPr>
          <w:rFonts w:ascii="Times New Roman" w:cs="Times New Roman" w:eastAsia="Times New Roman" w:hAnsi="Times New Roman"/>
          <w:sz w:val="18"/>
          <w:szCs w:val="18"/>
          <w:color w:val="auto"/>
        </w:rPr>
      </w:pPr>
    </w:p>
    <w:p>
      <w:pPr>
        <w:ind w:left="1140" w:right="440" w:hanging="432"/>
        <w:spacing w:after="0" w:line="277" w:lineRule="auto"/>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69" w:lineRule="exact"/>
        <w:rPr>
          <w:rFonts w:ascii="Times New Roman" w:cs="Times New Roman" w:eastAsia="Times New Roman" w:hAnsi="Times New Roman"/>
          <w:sz w:val="18"/>
          <w:szCs w:val="18"/>
          <w:color w:val="auto"/>
        </w:rPr>
      </w:pPr>
    </w:p>
    <w:p>
      <w:pPr>
        <w:jc w:val="both"/>
        <w:ind w:left="1140" w:right="480" w:hanging="432"/>
        <w:spacing w:after="0" w:line="262" w:lineRule="auto"/>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constitutes a U.S. real property interest, or USRPI, by reason of our status as a U.S. real property holding corporation, or USRPHC, for U.S. federal income tax purposes at any time within the shorter of the five-year period preceding such disposition or such holder’s holding period.</w:t>
      </w:r>
    </w:p>
    <w:p>
      <w:pPr>
        <w:spacing w:after="0" w:line="177" w:lineRule="exact"/>
        <w:rPr>
          <w:sz w:val="20"/>
          <w:szCs w:val="20"/>
          <w:color w:val="auto"/>
        </w:rPr>
      </w:pPr>
    </w:p>
    <w:p>
      <w:pPr>
        <w:ind w:left="180" w:right="120" w:firstLine="436"/>
        <w:spacing w:after="0" w:line="262"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77" w:lineRule="exact"/>
        <w:rPr>
          <w:sz w:val="20"/>
          <w:szCs w:val="20"/>
          <w:color w:val="auto"/>
        </w:rPr>
      </w:pPr>
    </w:p>
    <w:p>
      <w:pPr>
        <w:ind w:left="180" w:right="220" w:firstLine="436"/>
        <w:spacing w:after="0" w:line="285" w:lineRule="auto"/>
        <w:rPr>
          <w:sz w:val="20"/>
          <w:szCs w:val="20"/>
          <w:color w:val="auto"/>
        </w:rPr>
      </w:pPr>
      <w:r>
        <w:rPr>
          <w:rFonts w:ascii="Times New Roman" w:cs="Times New Roman" w:eastAsia="Times New Roman" w:hAnsi="Times New Roman"/>
          <w:sz w:val="17"/>
          <w:szCs w:val="17"/>
          <w:color w:val="auto"/>
        </w:rPr>
        <w:t>Gain described in the second bullet point above will be subject to U.S. federal income tax at a rate of 30% (or such lower rate specified by an applicable income tax treaty),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159" w:lineRule="exact"/>
        <w:rPr>
          <w:sz w:val="20"/>
          <w:szCs w:val="20"/>
          <w:color w:val="auto"/>
        </w:rPr>
      </w:pPr>
    </w:p>
    <w:p>
      <w:pPr>
        <w:ind w:left="180" w:right="60" w:firstLine="436"/>
        <w:spacing w:after="0" w:line="252"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potentially applicable income tax treaties that may provide for different rules.</w:t>
      </w:r>
    </w:p>
    <w:p>
      <w:pPr>
        <w:spacing w:after="0" w:line="3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18" w:lineRule="exact"/>
        <w:rPr>
          <w:sz w:val="20"/>
          <w:szCs w:val="20"/>
          <w:color w:val="auto"/>
        </w:rPr>
      </w:pPr>
    </w:p>
    <w:p>
      <w:pPr>
        <w:ind w:left="180" w:firstLine="436"/>
        <w:spacing w:after="0" w:line="252" w:lineRule="auto"/>
        <w:rPr>
          <w:sz w:val="20"/>
          <w:szCs w:val="20"/>
          <w:color w:val="auto"/>
        </w:rPr>
      </w:pPr>
      <w:r>
        <w:rPr>
          <w:rFonts w:ascii="Times New Roman" w:cs="Times New Roman" w:eastAsia="Times New Roman" w:hAnsi="Times New Roman"/>
          <w:sz w:val="18"/>
          <w:szCs w:val="18"/>
          <w:color w:val="auto"/>
        </w:rPr>
        <w:t>Payments of dividends on our Class A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Class A common stock conducted through a non-U.S. office of a non-U.S. broker that does not</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60"/>
          </w:cols>
          <w:pgMar w:left="320" w:top="454" w:right="51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have certain enumerated relationships with the United States generally will not be subject to backup withholding or information reporting.</w:t>
      </w:r>
    </w:p>
    <w:p>
      <w:pPr>
        <w:spacing w:after="0" w:line="220" w:lineRule="exact"/>
        <w:rPr>
          <w:sz w:val="20"/>
          <w:szCs w:val="20"/>
          <w:color w:val="auto"/>
        </w:rPr>
      </w:pPr>
    </w:p>
    <w:p>
      <w:pPr>
        <w:ind w:left="180" w:right="100" w:firstLine="436"/>
        <w:spacing w:after="0" w:line="277"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3" w:lineRule="exact"/>
        <w:rPr>
          <w:sz w:val="20"/>
          <w:szCs w:val="20"/>
          <w:color w:val="auto"/>
        </w:rPr>
      </w:pPr>
    </w:p>
    <w:p>
      <w:pPr>
        <w:ind w:left="180" w:right="260" w:firstLine="436"/>
        <w:spacing w:after="0" w:line="277"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18" w:lineRule="exact"/>
        <w:rPr>
          <w:sz w:val="20"/>
          <w:szCs w:val="20"/>
          <w:color w:val="auto"/>
        </w:rPr>
      </w:pPr>
    </w:p>
    <w:p>
      <w:pPr>
        <w:ind w:left="180" w:right="20" w:firstLine="436"/>
        <w:spacing w:after="0" w:line="266" w:lineRule="auto"/>
        <w:rPr>
          <w:sz w:val="20"/>
          <w:szCs w:val="20"/>
          <w:color w:val="auto"/>
        </w:rPr>
      </w:pPr>
      <w:r>
        <w:rPr>
          <w:rFonts w:ascii="Times New Roman" w:cs="Times New Roman" w:eastAsia="Times New Roman" w:hAnsi="Times New Roman"/>
          <w:sz w:val="17"/>
          <w:szCs w:val="17"/>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79" w:lineRule="exact"/>
        <w:rPr>
          <w:sz w:val="20"/>
          <w:szCs w:val="20"/>
          <w:color w:val="auto"/>
        </w:rPr>
      </w:pPr>
    </w:p>
    <w:p>
      <w:pPr>
        <w:jc w:val="both"/>
        <w:ind w:left="180" w:firstLine="436"/>
        <w:spacing w:after="0" w:line="257"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our Class A common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82" w:lineRule="exact"/>
        <w:rPr>
          <w:sz w:val="20"/>
          <w:szCs w:val="20"/>
          <w:color w:val="auto"/>
        </w:rPr>
      </w:pPr>
    </w:p>
    <w:p>
      <w:pPr>
        <w:ind w:left="180" w:right="60" w:firstLine="436"/>
        <w:spacing w:after="0" w:line="277"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Class A common stock.</w:t>
      </w:r>
    </w:p>
    <w:p>
      <w:pPr>
        <w:spacing w:after="0" w:line="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20"/>
          </w:cols>
          <w:pgMar w:left="320" w:top="454" w:right="5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224" w:lineRule="exact"/>
        <w:rPr>
          <w:sz w:val="20"/>
          <w:szCs w:val="20"/>
          <w:color w:val="auto"/>
        </w:rPr>
      </w:pPr>
    </w:p>
    <w:p>
      <w:pPr>
        <w:ind w:left="180" w:right="160" w:firstLine="436"/>
        <w:spacing w:after="0" w:line="257"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Goldman Sachs &amp; Co. LLC, J.P. Morgan Securities LLC and Barclays Capital Inc. are acting as representatives, have severally agreed to purchase, and we and the selling stockholders have agreed to sell to them, severally, the number of shares of Class A common stock indicated below:</w:t>
      </w:r>
    </w:p>
    <w:p>
      <w:pPr>
        <w:spacing w:after="0" w:line="204" w:lineRule="exact"/>
        <w:rPr>
          <w:sz w:val="20"/>
          <w:szCs w:val="20"/>
          <w:color w:val="auto"/>
        </w:rPr>
      </w:pPr>
    </w:p>
    <w:tbl>
      <w:tblPr>
        <w:tblLayout w:type="fixed"/>
        <w:tblInd w:w="1920" w:type="dxa"/>
        <w:tblCellMar>
          <w:top w:w="0" w:type="dxa"/>
          <w:left w:w="0" w:type="dxa"/>
          <w:bottom w:w="0" w:type="dxa"/>
          <w:right w:w="0" w:type="dxa"/>
        </w:tblCellMar>
      </w:tblPr>
      <w:tr>
        <w:trPr>
          <w:trHeight w:val="170"/>
        </w:trPr>
        <w:tc>
          <w:tcPr>
            <w:tcW w:w="6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Underwriters</w:t>
            </w: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Number of 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Morgan Stanley &amp; Co. LLC</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Cowen and Company, LLC</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Evercore Group L.L.C.</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Citizens Capital Markets, Inc.</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KKR Capital Markets LLC</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LionTree Advisors LLC</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SVB Leerink LLC</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Seelaus &amp; Co., LLC</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Ramirez &amp; Company, Inc.</w:t>
            </w:r>
          </w:p>
        </w:tc>
        <w:tc>
          <w:tcPr>
            <w:tcW w:w="12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120" w:type="dxa"/>
            <w:vAlign w:val="bottom"/>
            <w:gridSpan w:val="2"/>
            <w:vMerge w:val="continue"/>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34,615,384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80" w:firstLine="436"/>
        <w:spacing w:after="0" w:line="252"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Class A common stock subject to their acceptance of the shares from us and the selling stockholders and subject to prior sale. The offering of the shares by the underwriters is subject to the underwriters’ right to reject any order in whole or in part.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to purchase additional shares described below.</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underwriters initially propose to offer part of the shares of Class A common stock directly to the public at the offering price listed on the</w:t>
      </w:r>
    </w:p>
    <w:p>
      <w:pPr>
        <w:spacing w:after="0" w:line="26" w:lineRule="exact"/>
        <w:rPr>
          <w:sz w:val="20"/>
          <w:szCs w:val="20"/>
          <w:color w:val="auto"/>
        </w:rPr>
      </w:pPr>
    </w:p>
    <w:p>
      <w:pPr>
        <w:ind w:left="180" w:right="320"/>
        <w:spacing w:after="0" w:line="251" w:lineRule="auto"/>
        <w:rPr>
          <w:sz w:val="20"/>
          <w:szCs w:val="20"/>
          <w:color w:val="auto"/>
        </w:rPr>
      </w:pPr>
      <w:r>
        <w:rPr>
          <w:rFonts w:ascii="Times New Roman" w:cs="Times New Roman" w:eastAsia="Times New Roman" w:hAnsi="Times New Roman"/>
          <w:sz w:val="18"/>
          <w:szCs w:val="18"/>
          <w:color w:val="auto"/>
        </w:rPr>
        <w:t>cover page of this prospectus and part to certain dealers at a price that represents a concession not in excess of $ per share under the public offering price. After the initial offering of the shares of Class A common stock, the offering price and other selling terms may from time to time be varied by the representatives.</w:t>
      </w:r>
    </w:p>
    <w:p>
      <w:pPr>
        <w:spacing w:after="0" w:line="187" w:lineRule="exact"/>
        <w:rPr>
          <w:sz w:val="20"/>
          <w:szCs w:val="20"/>
          <w:color w:val="auto"/>
        </w:rPr>
      </w:pPr>
    </w:p>
    <w:p>
      <w:pPr>
        <w:ind w:left="180" w:right="140" w:firstLine="436"/>
        <w:spacing w:after="0" w:line="257"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up to 5,192,307 additional shares of Class A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80"/>
          </w:cols>
          <w:pgMar w:left="320" w:top="454" w:right="49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40"/>
        <w:spacing w:after="0" w:line="262" w:lineRule="auto"/>
        <w:rPr>
          <w:sz w:val="20"/>
          <w:szCs w:val="20"/>
          <w:color w:val="auto"/>
        </w:rPr>
      </w:pPr>
      <w:r>
        <w:rPr>
          <w:rFonts w:ascii="Times New Roman" w:cs="Times New Roman" w:eastAsia="Times New Roman" w:hAnsi="Times New Roman"/>
          <w:sz w:val="18"/>
          <w:szCs w:val="18"/>
          <w:color w:val="auto"/>
        </w:rPr>
        <w:t>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77" w:lineRule="exact"/>
        <w:rPr>
          <w:sz w:val="20"/>
          <w:szCs w:val="20"/>
          <w:color w:val="auto"/>
        </w:rPr>
      </w:pPr>
    </w:p>
    <w:p>
      <w:pPr>
        <w:jc w:val="both"/>
        <w:ind w:left="180" w:firstLine="436"/>
        <w:spacing w:after="0" w:line="262" w:lineRule="auto"/>
        <w:rPr>
          <w:sz w:val="20"/>
          <w:szCs w:val="20"/>
          <w:color w:val="auto"/>
        </w:rPr>
      </w:pPr>
      <w:r>
        <w:rPr>
          <w:rFonts w:ascii="Times New Roman" w:cs="Times New Roman" w:eastAsia="Times New Roman" w:hAnsi="Times New Roman"/>
          <w:sz w:val="18"/>
          <w:szCs w:val="18"/>
          <w:color w:val="auto"/>
        </w:rPr>
        <w:t>The following table shows the per share and total public offering price, underwriting discounts and commissions, and proceeds before expenses to us and the selling stockholders. These amounts are shown assuming both no exercise and full exercise of the underwriters’ option to purchase additional shares.</w:t>
      </w:r>
    </w:p>
    <w:p>
      <w:pPr>
        <w:spacing w:after="0" w:line="197"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5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vMerge w:val="restart"/>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Per</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6"/>
        </w:trPr>
        <w:tc>
          <w:tcPr>
            <w:tcW w:w="5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4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07"/>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5"/>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860" w:type="dxa"/>
            <w:vAlign w:val="bottom"/>
            <w:gridSpan w:val="2"/>
          </w:tcPr>
          <w:p>
            <w:pPr>
              <w:jc w:val="right"/>
              <w:ind w:right="52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0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860" w:type="dxa"/>
            <w:vAlign w:val="bottom"/>
            <w:gridSpan w:val="2"/>
            <w:shd w:val="clear" w:color="auto" w:fill="CCEEFF"/>
          </w:tcPr>
          <w:p>
            <w:pPr>
              <w:jc w:val="right"/>
              <w:ind w:right="52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0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the selling stockholders</w:t>
            </w:r>
          </w:p>
        </w:tc>
        <w:tc>
          <w:tcPr>
            <w:tcW w:w="1860" w:type="dxa"/>
            <w:vAlign w:val="bottom"/>
            <w:gridSpan w:val="2"/>
          </w:tcPr>
          <w:p>
            <w:pPr>
              <w:jc w:val="right"/>
              <w:ind w:right="52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0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80" w:right="300" w:firstLine="436"/>
        <w:spacing w:after="0" w:line="274" w:lineRule="auto"/>
        <w:rPr>
          <w:sz w:val="20"/>
          <w:szCs w:val="20"/>
          <w:color w:val="auto"/>
        </w:rPr>
      </w:pPr>
      <w:r>
        <w:rPr>
          <w:rFonts w:ascii="Times New Roman" w:cs="Times New Roman" w:eastAsia="Times New Roman" w:hAnsi="Times New Roman"/>
          <w:sz w:val="17"/>
          <w:szCs w:val="17"/>
          <w:color w:val="auto"/>
        </w:rPr>
        <w:t>The estimated offering expenses payable by us, exclusive of the underwriting discounts and commissions, are approximately $5.5 million. We have agreed to reimburse the underwriters for expense relating to clearance of this offering with the Financial Industry Regulatory Authority up to</w:t>
      </w:r>
    </w:p>
    <w:p>
      <w:pPr>
        <w:ind w:left="1020" w:hanging="846"/>
        <w:spacing w:after="0"/>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expenses incurred in connection with the directed share program.</w:t>
      </w:r>
    </w:p>
    <w:p>
      <w:pPr>
        <w:spacing w:after="0" w:line="202" w:lineRule="exact"/>
        <w:rPr>
          <w:sz w:val="20"/>
          <w:szCs w:val="20"/>
          <w:color w:val="auto"/>
        </w:rPr>
      </w:pPr>
    </w:p>
    <w:p>
      <w:pPr>
        <w:ind w:left="180" w:right="180" w:firstLine="436"/>
        <w:spacing w:after="0" w:line="277"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Class A common stock offered by them.</w:t>
      </w:r>
    </w:p>
    <w:p>
      <w:pPr>
        <w:spacing w:after="0" w:line="1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have applied to list our Class A common stock on the Nasdaq Global Select Market under the trading symbol “GDRX.”</w:t>
      </w:r>
    </w:p>
    <w:p>
      <w:pPr>
        <w:spacing w:after="0" w:line="220" w:lineRule="exact"/>
        <w:rPr>
          <w:sz w:val="20"/>
          <w:szCs w:val="20"/>
          <w:color w:val="auto"/>
        </w:rPr>
      </w:pPr>
    </w:p>
    <w:p>
      <w:pPr>
        <w:ind w:left="180" w:right="20" w:firstLine="436"/>
        <w:spacing w:after="0" w:line="262" w:lineRule="auto"/>
        <w:rPr>
          <w:sz w:val="20"/>
          <w:szCs w:val="20"/>
          <w:color w:val="auto"/>
        </w:rPr>
      </w:pPr>
      <w:r>
        <w:rPr>
          <w:rFonts w:ascii="Times New Roman" w:cs="Times New Roman" w:eastAsia="Times New Roman" w:hAnsi="Times New Roman"/>
          <w:sz w:val="18"/>
          <w:szCs w:val="18"/>
          <w:color w:val="auto"/>
        </w:rPr>
        <w:t>We and all directors, officers and the holders of substantially all of our outstanding common stock and stock options have agreed that, without the prior written consent of at least three of the representatives on behalf of the underwriters, we and they will not, and will not publicly disclose an intention to, during the period ending 180 days after the date of this prospectus, or the restricted period:</w:t>
      </w:r>
    </w:p>
    <w:p>
      <w:pPr>
        <w:spacing w:after="0" w:line="84" w:lineRule="exact"/>
        <w:rPr>
          <w:sz w:val="20"/>
          <w:szCs w:val="20"/>
          <w:color w:val="auto"/>
        </w:rPr>
      </w:pPr>
    </w:p>
    <w:p>
      <w:pPr>
        <w:ind w:left="180" w:right="2980" w:firstLine="528"/>
        <w:spacing w:after="0" w:line="258" w:lineRule="auto"/>
        <w:tabs>
          <w:tab w:leader="none" w:pos="114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w:t>
      </w:r>
    </w:p>
    <w:p>
      <w:pPr>
        <w:spacing w:after="0" w:line="1" w:lineRule="exact"/>
        <w:rPr>
          <w:rFonts w:ascii="Times New Roman" w:cs="Times New Roman" w:eastAsia="Times New Roman" w:hAnsi="Times New Roman"/>
          <w:sz w:val="18"/>
          <w:szCs w:val="18"/>
          <w:color w:val="auto"/>
        </w:rPr>
      </w:pPr>
    </w:p>
    <w:p>
      <w:pPr>
        <w:ind w:left="180" w:right="39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directly or indirectly, any shares of common stock or any securities convertible into or exercisable or exchangeable for shares of common stock;</w:t>
      </w:r>
    </w:p>
    <w:p>
      <w:pPr>
        <w:spacing w:after="0" w:line="88" w:lineRule="exact"/>
        <w:rPr>
          <w:rFonts w:ascii="Times New Roman" w:cs="Times New Roman" w:eastAsia="Times New Roman" w:hAnsi="Times New Roman"/>
          <w:sz w:val="18"/>
          <w:szCs w:val="18"/>
          <w:color w:val="auto"/>
        </w:rPr>
      </w:pPr>
    </w:p>
    <w:p>
      <w:pPr>
        <w:ind w:left="180" w:right="3360" w:firstLine="528"/>
        <w:spacing w:after="0" w:line="262" w:lineRule="auto"/>
        <w:tabs>
          <w:tab w:leader="none" w:pos="114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83" w:lineRule="exact"/>
        <w:rPr>
          <w:rFonts w:ascii="Times New Roman" w:cs="Times New Roman" w:eastAsia="Times New Roman" w:hAnsi="Times New Roman"/>
          <w:sz w:val="18"/>
          <w:szCs w:val="18"/>
          <w:color w:val="auto"/>
        </w:rPr>
      </w:pPr>
    </w:p>
    <w:p>
      <w:pPr>
        <w:ind w:left="180" w:right="3020" w:firstLine="528"/>
        <w:spacing w:after="0" w:line="277" w:lineRule="auto"/>
        <w:tabs>
          <w:tab w:leader="none" w:pos="114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63"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agrees that, without the prior written consent of at least three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2" w:lineRule="exact"/>
        <w:rPr>
          <w:sz w:val="20"/>
          <w:szCs w:val="20"/>
          <w:color w:val="auto"/>
        </w:rPr>
      </w:pPr>
    </w:p>
    <w:p>
      <w:pPr>
        <w:ind w:left="180" w:right="180" w:firstLine="436"/>
        <w:spacing w:after="0" w:line="262" w:lineRule="auto"/>
        <w:rPr>
          <w:sz w:val="20"/>
          <w:szCs w:val="20"/>
          <w:color w:val="auto"/>
        </w:rPr>
      </w:pPr>
      <w:r>
        <w:rPr>
          <w:rFonts w:ascii="Times New Roman" w:cs="Times New Roman" w:eastAsia="Times New Roman" w:hAnsi="Times New Roman"/>
          <w:sz w:val="18"/>
          <w:szCs w:val="18"/>
          <w:color w:val="auto"/>
        </w:rPr>
        <w:t>With respect to each of our non-executive officer employees that have agreed to the lock-up restrictions described above, if (a)(1) we have filed our first quarterly report on Form 10-Q, or the first filing date, and (2) the last reported closing price of the Class A common stock on the NASDAQ Global Select Market is at least 33%</w:t>
      </w:r>
    </w:p>
    <w:p>
      <w:pPr>
        <w:spacing w:after="0" w:line="1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20"/>
          </w:cols>
          <w:pgMar w:left="320" w:top="454" w:right="55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spacing w:after="0" w:line="250" w:lineRule="auto"/>
        <w:rPr>
          <w:sz w:val="20"/>
          <w:szCs w:val="20"/>
          <w:color w:val="auto"/>
        </w:rPr>
      </w:pPr>
      <w:r>
        <w:rPr>
          <w:rFonts w:ascii="Times New Roman" w:cs="Times New Roman" w:eastAsia="Times New Roman" w:hAnsi="Times New Roman"/>
          <w:sz w:val="18"/>
          <w:szCs w:val="18"/>
          <w:color w:val="auto"/>
        </w:rPr>
        <w:t>greater than the initial public offering price per share set forth on the cover page of this prospectus, or the IPO price, for 10 out of the 15 consecutive trading days ending on the first filing date, then 20% of the lock-up party’s shares of common stock that are subject to the restricted period will be automatically released from such restrictions immediately prior to the opening of trading on the NASDAQ Global Select Market on the second trading day following the first filing date, which percentage shall be calculated based on the number of shares of common stock subject to the restricted period that are held by such lock-up party as of the first filing date; and/or (b)(1) we have filed our second quarterly report on Form 10-Q or our first annual report on Form 10-K, or the second filing date, and (2) the last reported closing price is at least 33% greater than the IPO price for 10 out of the 15 consecutive trading days ending on the second filing date, then 30% of the lock-up party’s shares of common stock that are subject to the restricted period will be automatically released from such restrictions immediately prior to the opening of trading on the NASDAQ Global Select Market on the second trading day following the second filing date, which percentage shall be calculated based on the number of shares of common stock subject to the restricted period that are held by such lock-up party as of the second filing date. For the avoidance of doubt, the automatic releases described above shall not apply to Douglas Hirsch, Trevor Bezdek, Kastern Voermann, Andrew Slutsky, Babak Azad or Bansi Nagji. In the aggregate, our non-executive employees held 6,396,248 shares of our Class B common stock as of June 30, 2020.</w:t>
      </w:r>
    </w:p>
    <w:p>
      <w:pPr>
        <w:spacing w:after="0" w:line="191" w:lineRule="exact"/>
        <w:rPr>
          <w:sz w:val="20"/>
          <w:szCs w:val="20"/>
          <w:color w:val="auto"/>
        </w:rPr>
      </w:pPr>
    </w:p>
    <w:p>
      <w:pPr>
        <w:ind w:left="180" w:right="40" w:firstLine="436"/>
        <w:spacing w:after="0" w:line="263" w:lineRule="auto"/>
        <w:rPr>
          <w:sz w:val="20"/>
          <w:szCs w:val="20"/>
          <w:color w:val="auto"/>
        </w:rPr>
      </w:pPr>
      <w:r>
        <w:rPr>
          <w:rFonts w:ascii="Times New Roman" w:cs="Times New Roman" w:eastAsia="Times New Roman" w:hAnsi="Times New Roman"/>
          <w:sz w:val="17"/>
          <w:szCs w:val="17"/>
          <w:color w:val="auto"/>
        </w:rPr>
        <w:t xml:space="preserve">The lock-up restrictions described above do not apply to us with respect to certain transactions, including in connection with (a) the shares of Class A common stock to be sold pursuant to the terms of the underwriting agreement; (b) the issuance of shares of common stock upon the exercise of an option or warrant, in connection with the vesting and/or settlement of a restricted stock unit award, or the conversion of a security outstanding on the date of the underwriting agreement and described in this prospectus; (c) the grant of compensatory equity-based awards, and/or the issuance of shares of our common stock with respect thereto, made pursuant to compensatory equity-based plans disclosed in this prospectus; (d) any shares of our common stock issued pursuant to any non-employee director compensation plan or program disclosed in this prospectus; (e) the purchase of shares of our common stock pursuant to employee stock purchase plans disclosed in this prospectus; (f) the filing of a registration statement on Form S-8 to register common stock issuable pursuant to any employee benefit plans, qualified stock option plans or other employee compensation plans, described in this prospectus; (g) common stock or any securities convertible into, or exercisable or exchangeable for, common stock, or the entrance into an agreement to issue common stock or any securities convertible into, or exercisable or exchangeable for, common stock, in connection with any merger, joint venture, strategic alliances, commercial or other collaborative transaction or the acquisition or license of the business, property, technology or other assets of another individual or entity or the assumption of an employee benefit plan in connection with a merger or acquisition,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aggregate number of common stock or any securities convertible into, or exercisable or exchangeable for, common stock that we may issue or agree to issue pursuant to this clause (g) shall not exceed 10% of our total outstanding share capital immediately following the issuance of the shares of Class A common stock in this offering;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further, that the recipients of any such shares of common stock and securities issued pursuant to this clause</w:t>
      </w:r>
    </w:p>
    <w:p>
      <w:pPr>
        <w:spacing w:after="0" w:line="12" w:lineRule="exact"/>
        <w:rPr>
          <w:sz w:val="20"/>
          <w:szCs w:val="20"/>
          <w:color w:val="auto"/>
        </w:rPr>
      </w:pPr>
    </w:p>
    <w:p>
      <w:pPr>
        <w:ind w:left="180" w:right="60" w:hanging="6"/>
        <w:spacing w:after="0" w:line="249" w:lineRule="auto"/>
        <w:tabs>
          <w:tab w:leader="none" w:pos="43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180-day restricted period shall enter into a lock-up agreement substantially in the same form on or prior to such issuance; or (h) facilitating the establishment of a trading plan on behalf of a shareholder, officer or director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such plan does not provide for the transfer of common stock during the restricted period and (2)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w:t>
      </w:r>
    </w:p>
    <w:p>
      <w:pPr>
        <w:spacing w:after="0" w:line="189" w:lineRule="exact"/>
        <w:rPr>
          <w:sz w:val="20"/>
          <w:szCs w:val="20"/>
          <w:color w:val="auto"/>
        </w:rPr>
      </w:pPr>
    </w:p>
    <w:p>
      <w:pPr>
        <w:ind w:left="180" w:right="40" w:firstLine="436"/>
        <w:spacing w:after="0" w:line="253" w:lineRule="auto"/>
        <w:rPr>
          <w:sz w:val="20"/>
          <w:szCs w:val="20"/>
          <w:color w:val="auto"/>
        </w:rPr>
      </w:pPr>
      <w:r>
        <w:rPr>
          <w:rFonts w:ascii="Times New Roman" w:cs="Times New Roman" w:eastAsia="Times New Roman" w:hAnsi="Times New Roman"/>
          <w:sz w:val="18"/>
          <w:szCs w:val="18"/>
          <w:color w:val="auto"/>
        </w:rPr>
        <w:t>The lock-up restrictions described above between the underwriters and our directors, officers and other record holders are subject to certain exceptions including with respect to: (a) transactions relating to shares of common stock or other securities acquired (1) in this offering (subject to the restriction on shares purchased by our officers or directors set forth below) or (2) in open market transactions after the completion of this offering; (b) transfers of shares of common stock or any security convertible into common stock as a bona fide gift, or for bona fide estate planning purposes; (c) if the lock-up party is a corporation, partnership, limited liability company or other business entity, (1) to another corporation, partnership, limited liability company or other business entity that is an affiliate</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60"/>
          </w:cols>
          <w:pgMar w:left="320" w:top="454" w:right="51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spacing w:after="0" w:line="263" w:lineRule="auto"/>
        <w:rPr>
          <w:sz w:val="20"/>
          <w:szCs w:val="20"/>
          <w:color w:val="auto"/>
        </w:rPr>
      </w:pPr>
      <w:r>
        <w:rPr>
          <w:rFonts w:ascii="Times New Roman" w:cs="Times New Roman" w:eastAsia="Times New Roman" w:hAnsi="Times New Roman"/>
          <w:sz w:val="17"/>
          <w:szCs w:val="17"/>
          <w:color w:val="auto"/>
        </w:rPr>
        <w:t xml:space="preserve">(as defined in Rule 405 promulgated under the Securities Act of 1933, as amended) of the lock-up party, or to any investment fund or other entity controlled or managed by the lock-up party or affiliates of the lock-up party, or (2) as part of a distribution by the lock-up party to its stockholders, partners, members or other equityholders or to the estate of any such stockholders, partners, members or other equityholders; (d) by will, other testamentary document or intestacy; (e) to any member of the lock-up party’s immediate family or to any trust for the direct or indirect benefit of the lock-up party or the immediate family of the lock-up party, or if the lock-up party is a trust, to a trustor or beneficiary of the trust or to the estate of a beneficiary of such trust (for purposes of these restrictions, “immediate family” shall mean any relationship by blood, current or former marriage, domestic partnership or adoption, not more remote than first cousin); (f) by operation of law, such as pursuant to a qualified domestic order, divorce settlement, divorce decree or separation agreement; (g) facilitating the establishment of a trading plan on behalf of a shareholder, officer or director pursuant to Rule 10b5-1 under the Exchange Act for the transfer of shares of common stock, provided that (1) such plan does not provide for the transfer of common stock during the restricted period and (2) to the extent a public announcement or filing under the Exchange Act, if any, is required of or voluntarily made by or on behalf of the lock-up party or us regarding the establishment of such plan, such announcement or filing shall include a statement to the effect that no transfer of common stock may be made under such plan during the restricted period; (h) transfers to us from an employee of or service provider of us upon death, disability or termination of employment, in each case, of such employee or service provider; (i) (1) transfers to us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or (2) transfers necessary (including transfers on the open market), which we estimate could reach 15,866 shares of Class A common stock (excluding any shares related to the Founder Awards) based on the assumed initial public offering price of $26.00 per share to generate such amount of cash needed for the payment of taxes, including estimated taxes, due as a result of the vesting or settlement of restricted stock units whether by means of a “net settlement” or otherwise, and in all such cases described in subclauses (1) and (2), provided that any such shares of common stock received upon such exercise, vesting or settlement shall be subject to the terms of the lock-up agreement, and provided further that any such restricted stock units, options, warrants or rights are held by the lock-up party pursuant to an agreement or equity awards granted under a stock incentive plan or other equity award plan, each such agreement or plan which is described in this prospectus; (j) transfers to us in connection with the repurchase of shares of common stock issued pursuant to equity awards granted under a stock incentive plan or other equity award plan described in this prospectus, or pursuant to the agreements pursuant to which such shares were issued, as described in this prospectus, provided that such repurchase of shares of common stock is in connection with the termination of the lock-up party’s service-provider relationship with us; (k) transfers pursuant to a bona fide third-party tender offer, merger, consolidation or other similar transaction that is approved by our board of directors and made to all holders of our capital stock involving a change of control (as defined in the lock-up agreement) of us, provided that in the event that such tender offer, merger, consolidation or other similar transaction is not completed, the lock-up party’s common stock shall remain subject to the provisions of the lock-up agreement; (l) (1) the conversion or reclassification of our outstanding preferred stock or other classes of our capital stock into shares of common stock in connection with the consummation of this offering and (2) the conversion of Class B common stock to Class A common stock, in each case, in accordance with our certificate of incorporation, in each case as described in this prospectus; (m) exchange of Class A common stock for Class B common stock in connection with offering as described in this prospectus; (n) exercise of any rights to purchase, exchange or convert any stock options granted to the lock-up party pursuant to our equity incentive plans referred to in this prospectus, or any warrants or other securities convertible into or exercisable or exchangeable for shares of common stock, which warrants or other securities are described in this prospectus; (o) to the underwriters pursuant to the underwriting agreement; (p) for certain of our stockholders, the transfers in connection with distributions to certain officers or employees of the general partner, managing member or other controlling entity of, or investment advisor to, the lock-up party and/or its affiliates,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(1) such transferred shares are promptly donated by such officers or employees to charitable organizations, (2) the aggregate number of such donated shares of common stock by all such officers and employees pursuant to this clause (p) shall not exceed a number of shares of common stock equal to 10% of the number of shares of common stock sold by the lock-up party in this offering (which we expect to be 1,057,359 shares in the aggregate among stockholders subject</w:t>
      </w:r>
    </w:p>
    <w:p>
      <w:pPr>
        <w:spacing w:after="0" w:line="200" w:lineRule="exact"/>
        <w:rPr>
          <w:sz w:val="20"/>
          <w:szCs w:val="20"/>
          <w:color w:val="auto"/>
        </w:rPr>
      </w:pPr>
    </w:p>
    <w:p>
      <w:pPr>
        <w:spacing w:after="0" w:line="3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80"/>
          </w:cols>
          <w:pgMar w:left="320" w:top="454" w:right="49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spacing w:after="0" w:line="252" w:lineRule="auto"/>
        <w:rPr>
          <w:sz w:val="20"/>
          <w:szCs w:val="20"/>
          <w:color w:val="auto"/>
        </w:rPr>
      </w:pPr>
      <w:r>
        <w:rPr>
          <w:rFonts w:ascii="Times New Roman" w:cs="Times New Roman" w:eastAsia="Times New Roman" w:hAnsi="Times New Roman"/>
          <w:sz w:val="18"/>
          <w:szCs w:val="18"/>
          <w:color w:val="auto"/>
        </w:rPr>
        <w:t xml:space="preserve">to this carveout) and (3) if required under the Securities Act, the Exchange Act or other applicable law to make a filing or other public announcement in connection with such transfer or disposition prior to the expiration of the restricted period, such filing or public announcement shall include a statement that such transfer or disposition is not a transfer for value and there shall be no other voluntary filing or public announcement prior to the expiration of the restricted period; and (q) for certain of our stockholders, any transfer of common stock pledged in a bona fide transaction to third parties as collateral to secure obligations pursuant to lending or other arrangements between such third parties (or their affiliates or designees) and the lock-up party and/or its affiliates or any similar arrangement relating to a financing arrangement for the benefit of the lock-up party and/or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pledges or similar arrangements under this clause (q), any such pledgee or other party shall, upon foreclosure on the pledged securities, sign and deliver a lock-up letter substantially in the form of the lockup agreement;</w:t>
      </w:r>
    </w:p>
    <w:p>
      <w:pPr>
        <w:spacing w:after="0" w:line="1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i w:val="1"/>
          <w:iCs w:val="1"/>
          <w:color w:val="auto"/>
        </w:rPr>
        <w:t>provided that in the case of:</w:t>
      </w:r>
    </w:p>
    <w:p>
      <w:pPr>
        <w:spacing w:after="0" w:line="129" w:lineRule="exact"/>
        <w:rPr>
          <w:sz w:val="20"/>
          <w:szCs w:val="20"/>
          <w:color w:val="auto"/>
        </w:rPr>
      </w:pPr>
    </w:p>
    <w:p>
      <w:pPr>
        <w:ind w:left="600" w:right="80" w:hanging="426"/>
        <w:spacing w:after="0" w:line="277" w:lineRule="auto"/>
        <w:tabs>
          <w:tab w:leader="none" w:pos="6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(a), (b), and (e) in the paragraph above no filing under Section 16(a) of the Exchange Act shall be required or shall be voluntarily made in connection with such transfer or distribution; (other than a filing on Form 5);</w:t>
      </w:r>
    </w:p>
    <w:p>
      <w:pPr>
        <w:spacing w:after="0" w:line="69" w:lineRule="exact"/>
        <w:rPr>
          <w:rFonts w:ascii="Times New Roman" w:cs="Times New Roman" w:eastAsia="Times New Roman" w:hAnsi="Times New Roman"/>
          <w:sz w:val="18"/>
          <w:szCs w:val="18"/>
          <w:color w:val="auto"/>
        </w:rPr>
      </w:pPr>
    </w:p>
    <w:p>
      <w:pPr>
        <w:ind w:left="600" w:right="40" w:hanging="426"/>
        <w:spacing w:after="0" w:line="274" w:lineRule="auto"/>
        <w:tabs>
          <w:tab w:leader="none" w:pos="6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clauses (c), (d), (f), (h), (i), (j), (l), (m) and (n) in the paragraph above, (1) any filing under Section 16 of the Exchange Act made during the restricted period shall clearly indicate in the footnotes thereto that (A) the filing relates to the circumstances described in the applicable clause and</w:t>
      </w:r>
    </w:p>
    <w:p>
      <w:pPr>
        <w:jc w:val="both"/>
        <w:ind w:left="600" w:right="2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to the extent applicable, the underlying shares of common stock continue to be subject to the restrictions on transfer set forth in the lock-up agreement and (2) the lock-up party does not otherwise voluntarily effect any other public filings or reports regarding such exercise during the restricted period;</w:t>
      </w:r>
    </w:p>
    <w:p>
      <w:pPr>
        <w:spacing w:after="0" w:line="93" w:lineRule="exact"/>
        <w:rPr>
          <w:rFonts w:ascii="Times New Roman" w:cs="Times New Roman" w:eastAsia="Times New Roman" w:hAnsi="Times New Roman"/>
          <w:sz w:val="17"/>
          <w:szCs w:val="17"/>
          <w:color w:val="auto"/>
        </w:rPr>
      </w:pPr>
    </w:p>
    <w:p>
      <w:pPr>
        <w:ind w:left="600" w:right="320" w:hanging="426"/>
        <w:spacing w:after="0" w:line="277" w:lineRule="auto"/>
        <w:tabs>
          <w:tab w:leader="none" w:pos="6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or distribution pursuant to clause (b), (c), (d), (e) or (f) in the paragraph above, each transferee, donee or distributee shall sign and deliver a lock-up agreement substantially in the form of the lock-up agreement;</w:t>
      </w:r>
    </w:p>
    <w:p>
      <w:pPr>
        <w:spacing w:after="0" w:line="69" w:lineRule="exact"/>
        <w:rPr>
          <w:rFonts w:ascii="Times New Roman" w:cs="Times New Roman" w:eastAsia="Times New Roman" w:hAnsi="Times New Roman"/>
          <w:sz w:val="18"/>
          <w:szCs w:val="18"/>
          <w:color w:val="auto"/>
        </w:rPr>
      </w:pPr>
    </w:p>
    <w:p>
      <w:pPr>
        <w:ind w:left="600" w:right="80" w:hanging="426"/>
        <w:spacing w:after="0" w:line="277" w:lineRule="auto"/>
        <w:tabs>
          <w:tab w:leader="none" w:pos="6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reclassification exchange or exercise pursuant to clause (l), (m) and (n) in the paragraph above, any such shares of common stock received upon such conversion, reclassification exchange or exercise shall remain subject to the provisions of the lock-up agreement; and</w:t>
      </w:r>
    </w:p>
    <w:p>
      <w:pPr>
        <w:spacing w:after="0" w:line="69" w:lineRule="exact"/>
        <w:rPr>
          <w:rFonts w:ascii="Times New Roman" w:cs="Times New Roman" w:eastAsia="Times New Roman" w:hAnsi="Times New Roman"/>
          <w:sz w:val="18"/>
          <w:szCs w:val="18"/>
          <w:color w:val="auto"/>
        </w:rPr>
      </w:pPr>
    </w:p>
    <w:p>
      <w:pPr>
        <w:ind w:left="600" w:hanging="426"/>
        <w:spacing w:after="0"/>
        <w:tabs>
          <w:tab w:leader="none" w:pos="6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(b), (c), (d) and (e), such transfer shall not involve a disposition for value.</w:t>
      </w:r>
    </w:p>
    <w:p>
      <w:pPr>
        <w:spacing w:after="0" w:line="220" w:lineRule="exact"/>
        <w:rPr>
          <w:sz w:val="20"/>
          <w:szCs w:val="20"/>
          <w:color w:val="auto"/>
        </w:rPr>
      </w:pPr>
    </w:p>
    <w:p>
      <w:pPr>
        <w:ind w:left="180" w:right="220" w:firstLine="436"/>
        <w:spacing w:after="0" w:line="277" w:lineRule="auto"/>
        <w:rPr>
          <w:sz w:val="20"/>
          <w:szCs w:val="20"/>
          <w:color w:val="auto"/>
        </w:rPr>
      </w:pPr>
      <w:r>
        <w:rPr>
          <w:rFonts w:ascii="Times New Roman" w:cs="Times New Roman" w:eastAsia="Times New Roman" w:hAnsi="Times New Roman"/>
          <w:sz w:val="18"/>
          <w:szCs w:val="18"/>
          <w:color w:val="auto"/>
        </w:rPr>
        <w:t>The shares of common stock and other securities subject to the lock-up agreements described above may only be released with the consent of at least three of the representatives, in their sole discretion.</w:t>
      </w:r>
    </w:p>
    <w:p>
      <w:pPr>
        <w:spacing w:after="0" w:line="163" w:lineRule="exact"/>
        <w:rPr>
          <w:sz w:val="20"/>
          <w:szCs w:val="20"/>
          <w:color w:val="auto"/>
        </w:rPr>
      </w:pPr>
    </w:p>
    <w:p>
      <w:pPr>
        <w:ind w:left="180" w:firstLine="436"/>
        <w:spacing w:after="0" w:line="266" w:lineRule="auto"/>
        <w:rPr>
          <w:sz w:val="20"/>
          <w:szCs w:val="20"/>
          <w:color w:val="auto"/>
        </w:rPr>
      </w:pPr>
      <w:r>
        <w:rPr>
          <w:rFonts w:ascii="Times New Roman" w:cs="Times New Roman" w:eastAsia="Times New Roman" w:hAnsi="Times New Roman"/>
          <w:sz w:val="17"/>
          <w:szCs w:val="17"/>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to purchase additional shares. The underwriters may also sell shares in excess of the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common stock above independent market levels or prevent or retard a decline in the market price of the Class A common stock.</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underwriters are not required to engage in these activities and may end any of these activities at any time.</w:t>
      </w:r>
    </w:p>
    <w:p>
      <w:pPr>
        <w:spacing w:after="0" w:line="220" w:lineRule="exact"/>
        <w:rPr>
          <w:sz w:val="20"/>
          <w:szCs w:val="20"/>
          <w:color w:val="auto"/>
        </w:rPr>
      </w:pPr>
    </w:p>
    <w:p>
      <w:pPr>
        <w:ind w:left="180" w:right="340" w:firstLine="436"/>
        <w:spacing w:after="0" w:line="277" w:lineRule="auto"/>
        <w:rPr>
          <w:sz w:val="20"/>
          <w:szCs w:val="20"/>
          <w:color w:val="auto"/>
        </w:rPr>
      </w:pPr>
      <w:r>
        <w:rPr>
          <w:rFonts w:ascii="Times New Roman" w:cs="Times New Roman" w:eastAsia="Times New Roman" w:hAnsi="Times New Roman"/>
          <w:sz w:val="18"/>
          <w:szCs w:val="18"/>
          <w:color w:val="auto"/>
        </w:rPr>
        <w:t>We, the selling stockholders and the underwriters have agreed to indemnify each other against certain liabilities, including liabilities under the Securities Act.</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60"/>
          </w:cols>
          <w:pgMar w:left="320" w:top="454" w:right="51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180" w:firstLine="436"/>
        <w:spacing w:after="0" w:line="257"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2" w:lineRule="exact"/>
        <w:rPr>
          <w:sz w:val="20"/>
          <w:szCs w:val="20"/>
          <w:color w:val="auto"/>
        </w:rPr>
      </w:pPr>
    </w:p>
    <w:p>
      <w:pPr>
        <w:ind w:left="180" w:right="60" w:firstLine="436"/>
        <w:spacing w:after="0" w:line="255"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In addition, certain of the underwriters or their respective affiliates are lenders under our Credit Facilities.</w:t>
      </w:r>
    </w:p>
    <w:p>
      <w:pPr>
        <w:spacing w:after="0" w:line="183" w:lineRule="exact"/>
        <w:rPr>
          <w:sz w:val="20"/>
          <w:szCs w:val="20"/>
          <w:color w:val="auto"/>
        </w:rPr>
      </w:pPr>
    </w:p>
    <w:p>
      <w:pPr>
        <w:ind w:left="180" w:right="100" w:firstLine="436"/>
        <w:spacing w:after="0" w:line="253"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3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224" w:lineRule="exact"/>
        <w:rPr>
          <w:sz w:val="20"/>
          <w:szCs w:val="20"/>
          <w:color w:val="auto"/>
        </w:rPr>
      </w:pPr>
    </w:p>
    <w:p>
      <w:pPr>
        <w:ind w:left="180" w:right="120" w:firstLine="436"/>
        <w:spacing w:after="0" w:line="257"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224" w:lineRule="exact"/>
        <w:rPr>
          <w:sz w:val="20"/>
          <w:szCs w:val="20"/>
          <w:color w:val="auto"/>
        </w:rPr>
      </w:pPr>
    </w:p>
    <w:p>
      <w:pPr>
        <w:ind w:left="180" w:firstLine="436"/>
        <w:spacing w:after="0" w:line="268" w:lineRule="auto"/>
        <w:rPr>
          <w:sz w:val="20"/>
          <w:szCs w:val="20"/>
          <w:color w:val="auto"/>
        </w:rPr>
      </w:pPr>
      <w:r>
        <w:rPr>
          <w:rFonts w:ascii="Times New Roman" w:cs="Times New Roman" w:eastAsia="Times New Roman" w:hAnsi="Times New Roman"/>
          <w:sz w:val="17"/>
          <w:szCs w:val="17"/>
          <w:color w:val="auto"/>
        </w:rPr>
        <w:t>At our request, the underwriters have reserved for sale at the initial public offering price per share up to 5% of the shares of Class A common stock offered by this prospectus, to certain individuals through a directed share program, including our directors, employees and certain other individuals identified by management. If purchased by these persons, these shares will not be subject to a lock-up restriction, except in the case of shares purchased by any director or executive officer, which shares will be subject to the lock-up restrictions described above. The number of shares of Class A common stock available for sale to the general public will be reduced by the number of reserved shares sold to these individuals. Any reserved shares not purchased by these individuals will be offered by the underwriters to the general public on the same basis as the other shares of Class A common stock offered under this prospectus. We have agreed to indemnify the underwriters against certain liabilities and expenses, including liabilities under the Securities Act, in connection with sales of the reserved shares. The directed share program will be arranged through Morgan Stanley &amp; Co. LLC.</w:t>
      </w:r>
    </w:p>
    <w:p>
      <w:pPr>
        <w:spacing w:after="0" w:line="3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 and the United Kingdom</w:t>
      </w:r>
    </w:p>
    <w:p>
      <w:pPr>
        <w:spacing w:after="0" w:line="118" w:lineRule="exact"/>
        <w:rPr>
          <w:sz w:val="20"/>
          <w:szCs w:val="20"/>
          <w:color w:val="auto"/>
        </w:rPr>
      </w:pPr>
    </w:p>
    <w:p>
      <w:pPr>
        <w:ind w:left="180" w:right="420" w:firstLine="436"/>
        <w:spacing w:after="0" w:line="277"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a Relevant State), no shares of our Class A common stock have been offered or will be offered pursuant to this offering to the</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080"/>
          </w:cols>
          <w:pgMar w:left="320" w:top="454" w:right="49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spacing w:after="0" w:line="257" w:lineRule="auto"/>
        <w:rPr>
          <w:sz w:val="20"/>
          <w:szCs w:val="20"/>
          <w:color w:val="auto"/>
        </w:rPr>
      </w:pPr>
      <w:r>
        <w:rPr>
          <w:rFonts w:ascii="Times New Roman" w:cs="Times New Roman" w:eastAsia="Times New Roman" w:hAnsi="Times New Roman"/>
          <w:sz w:val="18"/>
          <w:szCs w:val="18"/>
          <w:color w:val="auto"/>
        </w:rPr>
        <w:t>public in that Relevant State prior to the publication of a prospectus in relation to the shares of our Class A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our Class A common stock may be made to the public in that Relevant State at any time under the following exemptions under the Prospectus Regulation:</w:t>
      </w:r>
    </w:p>
    <w:p>
      <w:pPr>
        <w:spacing w:after="0" w:line="89" w:lineRule="exact"/>
        <w:rPr>
          <w:sz w:val="20"/>
          <w:szCs w:val="20"/>
          <w:color w:val="auto"/>
        </w:rPr>
      </w:pPr>
    </w:p>
    <w:p>
      <w:pPr>
        <w:ind w:left="1140" w:hanging="432"/>
        <w:spacing w:after="0"/>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26" w:lineRule="exact"/>
        <w:rPr>
          <w:rFonts w:ascii="Times New Roman" w:cs="Times New Roman" w:eastAsia="Times New Roman" w:hAnsi="Times New Roman"/>
          <w:sz w:val="18"/>
          <w:szCs w:val="18"/>
          <w:color w:val="auto"/>
        </w:rPr>
      </w:pPr>
    </w:p>
    <w:p>
      <w:pPr>
        <w:ind w:left="1140" w:right="80" w:hanging="432"/>
        <w:spacing w:after="0" w:line="277" w:lineRule="auto"/>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0" w:lineRule="exact"/>
        <w:rPr>
          <w:sz w:val="20"/>
          <w:szCs w:val="20"/>
          <w:color w:val="auto"/>
        </w:rPr>
      </w:pPr>
    </w:p>
    <w:p>
      <w:pPr>
        <w:ind w:left="180" w:right="220"/>
        <w:spacing w:after="0" w:line="277" w:lineRule="auto"/>
        <w:rPr>
          <w:sz w:val="20"/>
          <w:szCs w:val="20"/>
          <w:color w:val="auto"/>
        </w:rPr>
      </w:pPr>
      <w:r>
        <w:rPr>
          <w:rFonts w:ascii="Times New Roman" w:cs="Times New Roman" w:eastAsia="Times New Roman" w:hAnsi="Times New Roman"/>
          <w:sz w:val="18"/>
          <w:szCs w:val="18"/>
          <w:color w:val="auto"/>
        </w:rPr>
        <w:t>provided that no such offer of shares of our Class A common stock shall require us or any underwriter to publish a prospectus pursuant to Article 3 of the Prospectus Regulation or supplement a prospectus pursuant to Article 23 of the Prospectus Regulation.</w:t>
      </w:r>
    </w:p>
    <w:p>
      <w:pPr>
        <w:spacing w:after="0" w:line="163" w:lineRule="exact"/>
        <w:rPr>
          <w:sz w:val="20"/>
          <w:szCs w:val="20"/>
          <w:color w:val="auto"/>
        </w:rPr>
      </w:pPr>
    </w:p>
    <w:p>
      <w:pPr>
        <w:ind w:left="180" w:firstLine="436"/>
        <w:spacing w:after="0" w:line="257"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of our Class A common stock in any Relevant State means the communication in any form and by any means of sufficient information on the terms of the offer and any shares of our Class A common stock to be offered so as to enable an investor to decide to purchase or subscribe for any shares of our Class A common stock, and the expression “Prospectus Regulation” means Regulation (EU) 2017/1129.</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This European Economic Area selling restriction is in addition to any other selling restrictions set out below.</w:t>
      </w:r>
    </w:p>
    <w:p>
      <w:pPr>
        <w:spacing w:after="0" w:line="3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27" w:lineRule="exact"/>
        <w:rPr>
          <w:sz w:val="20"/>
          <w:szCs w:val="20"/>
          <w:color w:val="auto"/>
        </w:rPr>
      </w:pPr>
    </w:p>
    <w:p>
      <w:pPr>
        <w:ind w:left="1140" w:right="40" w:hanging="432"/>
        <w:spacing w:after="0" w:line="257" w:lineRule="auto"/>
        <w:tabs>
          <w:tab w:leader="none" w:pos="11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Class A common stock in circumstances in which Section 21(1) of the FSMA does not apply to us; and</w:t>
      </w:r>
    </w:p>
    <w:p>
      <w:pPr>
        <w:spacing w:after="0" w:line="88" w:lineRule="exact"/>
        <w:rPr>
          <w:rFonts w:ascii="Times New Roman" w:cs="Times New Roman" w:eastAsia="Times New Roman" w:hAnsi="Times New Roman"/>
          <w:sz w:val="18"/>
          <w:szCs w:val="18"/>
          <w:color w:val="auto"/>
        </w:rPr>
      </w:pPr>
    </w:p>
    <w:p>
      <w:pPr>
        <w:ind w:left="1140" w:right="60" w:hanging="432"/>
        <w:spacing w:after="0" w:line="277" w:lineRule="auto"/>
        <w:tabs>
          <w:tab w:leader="none" w:pos="11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163" w:lineRule="exact"/>
        <w:rPr>
          <w:sz w:val="20"/>
          <w:szCs w:val="20"/>
          <w:color w:val="auto"/>
        </w:rPr>
      </w:pPr>
    </w:p>
    <w:p>
      <w:pPr>
        <w:ind w:left="180" w:right="60" w:firstLine="436"/>
        <w:spacing w:after="0" w:line="255" w:lineRule="auto"/>
        <w:rPr>
          <w:sz w:val="20"/>
          <w:szCs w:val="20"/>
          <w:color w:val="auto"/>
        </w:rPr>
      </w:pPr>
      <w:r>
        <w:rPr>
          <w:rFonts w:ascii="Times New Roman" w:cs="Times New Roman" w:eastAsia="Times New Roman" w:hAnsi="Times New Roman"/>
          <w:sz w:val="18"/>
          <w:szCs w:val="18"/>
          <w:color w:val="auto"/>
        </w:rPr>
        <w:t>In the United Kingdom, this prospectus is only addressed to and directed at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2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18" w:lineRule="exact"/>
        <w:rPr>
          <w:sz w:val="20"/>
          <w:szCs w:val="20"/>
          <w:color w:val="auto"/>
        </w:rPr>
      </w:pPr>
    </w:p>
    <w:p>
      <w:pPr>
        <w:ind w:left="180" w:right="80" w:firstLine="436"/>
        <w:spacing w:after="0" w:line="255" w:lineRule="auto"/>
        <w:rPr>
          <w:sz w:val="20"/>
          <w:szCs w:val="20"/>
          <w:color w:val="auto"/>
        </w:rPr>
      </w:pPr>
      <w:r>
        <w:rPr>
          <w:rFonts w:ascii="Times New Roman" w:cs="Times New Roman" w:eastAsia="Times New Roman" w:hAnsi="Times New Roman"/>
          <w:sz w:val="18"/>
          <w:szCs w:val="18"/>
          <w:color w:val="auto"/>
        </w:rPr>
        <w:t>The shares of our Class A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Class A common stock must be made in accordance with an exemption from, or in a transaction not subject to, the prospectus requirements of applicable securities laws.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40"/>
          </w:cols>
          <w:pgMar w:left="320" w:top="454" w:right="53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180" w:firstLine="436"/>
        <w:spacing w:after="0" w:line="277" w:lineRule="auto"/>
        <w:rPr>
          <w:sz w:val="20"/>
          <w:szCs w:val="20"/>
          <w:color w:val="auto"/>
        </w:rPr>
      </w:pPr>
      <w:r>
        <w:rPr>
          <w:rFonts w:ascii="Times New Roman" w:cs="Times New Roman" w:eastAsia="Times New Roman" w:hAnsi="Times New Roman"/>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6" w:lineRule="exact"/>
        <w:rPr>
          <w:sz w:val="20"/>
          <w:szCs w:val="20"/>
          <w:color w:val="auto"/>
        </w:rPr>
      </w:pPr>
    </w:p>
    <w:p>
      <w:pPr>
        <w:ind w:left="180" w:right="60" w:firstLine="436"/>
        <w:spacing w:after="0" w:line="277"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18" w:lineRule="exact"/>
        <w:rPr>
          <w:sz w:val="20"/>
          <w:szCs w:val="20"/>
          <w:color w:val="auto"/>
        </w:rPr>
      </w:pPr>
    </w:p>
    <w:p>
      <w:pPr>
        <w:ind w:left="180" w:firstLine="436"/>
        <w:spacing w:after="0" w:line="251" w:lineRule="auto"/>
        <w:rPr>
          <w:sz w:val="20"/>
          <w:szCs w:val="20"/>
          <w:color w:val="auto"/>
        </w:rPr>
      </w:pPr>
      <w:r>
        <w:rPr>
          <w:rFonts w:ascii="Times New Roman" w:cs="Times New Roman" w:eastAsia="Times New Roman" w:hAnsi="Times New Roman"/>
          <w:sz w:val="18"/>
          <w:szCs w:val="18"/>
          <w:color w:val="auto"/>
        </w:rPr>
        <w:t>The shares of our Class A common stock may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the Laws of Hong Kong), or the CO, or which do not constitute an offer to the public within the meaning of the CO. No advertisement, invitation or document relating to the shares of our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our Class A common stock which are or are intended to be disposed of only to persons outside Hong Kong or only to “professional investors” as defined in the SFO and any rules made thereunder.</w:t>
      </w:r>
    </w:p>
    <w:p>
      <w:pPr>
        <w:spacing w:after="0" w:line="2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18" w:lineRule="exact"/>
        <w:rPr>
          <w:sz w:val="20"/>
          <w:szCs w:val="20"/>
          <w:color w:val="auto"/>
        </w:rPr>
      </w:pPr>
    </w:p>
    <w:p>
      <w:pPr>
        <w:ind w:left="180" w:right="160" w:firstLine="436"/>
        <w:spacing w:after="0" w:line="257" w:lineRule="auto"/>
        <w:rPr>
          <w:sz w:val="20"/>
          <w:szCs w:val="20"/>
          <w:color w:val="auto"/>
        </w:rPr>
      </w:pPr>
      <w:r>
        <w:rPr>
          <w:rFonts w:ascii="Times New Roman" w:cs="Times New Roman" w:eastAsia="Times New Roman" w:hAnsi="Times New Roman"/>
          <w:sz w:val="18"/>
          <w:szCs w:val="18"/>
          <w:color w:val="auto"/>
        </w:rPr>
        <w:t>Singapore SFA Product Classification—In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82" w:lineRule="exact"/>
        <w:rPr>
          <w:sz w:val="20"/>
          <w:szCs w:val="20"/>
          <w:color w:val="auto"/>
        </w:rPr>
      </w:pPr>
    </w:p>
    <w:p>
      <w:pPr>
        <w:ind w:left="180" w:right="40" w:firstLine="436"/>
        <w:spacing w:after="0" w:line="271" w:lineRule="auto"/>
        <w:rPr>
          <w:sz w:val="20"/>
          <w:szCs w:val="20"/>
          <w:color w:val="auto"/>
        </w:rPr>
      </w:pPr>
      <w:r>
        <w:rPr>
          <w:rFonts w:ascii="Times New Roman" w:cs="Times New Roman" w:eastAsia="Times New Roman" w:hAnsi="Times New Roman"/>
          <w:sz w:val="17"/>
          <w:szCs w:val="17"/>
          <w:color w:val="auto"/>
        </w:rPr>
        <w:t>Each representative has acknowledged that this prospectus has not been registered as a prospectus with the Monetary Authority of Singapore. Accordingly, each representative has represented and agreed that it has not offered or sold any shares of our Class A common stock or caused the shares of our Class A common stock to be made the subject of an invitation for subscription or purchase and will not offer or sell any shares of our Class A common stock or cause the shares of our Class A common stock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of our Class A common stock, whether directly or indirectly, to any person in Singapore other than:</w:t>
      </w:r>
    </w:p>
    <w:p>
      <w:pPr>
        <w:spacing w:after="0" w:line="78" w:lineRule="exact"/>
        <w:rPr>
          <w:sz w:val="20"/>
          <w:szCs w:val="20"/>
          <w:color w:val="auto"/>
        </w:rPr>
      </w:pPr>
    </w:p>
    <w:p>
      <w:pPr>
        <w:ind w:left="1140" w:hanging="432"/>
        <w:spacing w:after="0" w:line="277" w:lineRule="auto"/>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69" w:lineRule="exact"/>
        <w:rPr>
          <w:rFonts w:ascii="Times New Roman" w:cs="Times New Roman" w:eastAsia="Times New Roman" w:hAnsi="Times New Roman"/>
          <w:sz w:val="18"/>
          <w:szCs w:val="18"/>
          <w:color w:val="auto"/>
        </w:rPr>
      </w:pPr>
    </w:p>
    <w:p>
      <w:pPr>
        <w:ind w:left="1140" w:right="40" w:hanging="432"/>
        <w:spacing w:after="0" w:line="277" w:lineRule="auto"/>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and in accordance with the conditions specified in Section 275 of the SFA; or</w:t>
      </w:r>
    </w:p>
    <w:p>
      <w:pPr>
        <w:spacing w:after="0" w:line="69" w:lineRule="exact"/>
        <w:rPr>
          <w:rFonts w:ascii="Times New Roman" w:cs="Times New Roman" w:eastAsia="Times New Roman" w:hAnsi="Times New Roman"/>
          <w:sz w:val="18"/>
          <w:szCs w:val="18"/>
          <w:color w:val="auto"/>
        </w:rPr>
      </w:pPr>
    </w:p>
    <w:p>
      <w:pPr>
        <w:ind w:left="1140" w:hanging="432"/>
        <w:spacing w:after="0"/>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153" w:lineRule="exact"/>
        <w:rPr>
          <w:rFonts w:ascii="Times New Roman" w:cs="Times New Roman" w:eastAsia="Times New Roman" w:hAnsi="Times New Roman"/>
          <w:sz w:val="18"/>
          <w:szCs w:val="18"/>
          <w:color w:val="auto"/>
        </w:rPr>
      </w:pPr>
    </w:p>
    <w:p>
      <w:pPr>
        <w:ind w:left="5500" w:hanging="113"/>
        <w:spacing w:after="0"/>
        <w:tabs>
          <w:tab w:leader="none" w:pos="55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199 -</w:t>
      </w:r>
    </w:p>
    <w:p>
      <w:pPr>
        <w:sectPr>
          <w:pgSz w:w="11900" w:h="16838" w:orient="portrait"/>
          <w:cols w:equalWidth="0" w:num="1">
            <w:col w:w="11040"/>
          </w:cols>
          <w:pgMar w:left="320" w:top="454" w:right="53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Where the shares of our Class A common stock are subscribed or purchased under Section 275 of the SFA by a relevant person which is:</w:t>
      </w:r>
    </w:p>
    <w:p>
      <w:pPr>
        <w:spacing w:after="0" w:line="127" w:lineRule="exact"/>
        <w:rPr>
          <w:sz w:val="20"/>
          <w:szCs w:val="20"/>
          <w:color w:val="auto"/>
        </w:rPr>
      </w:pPr>
    </w:p>
    <w:p>
      <w:pPr>
        <w:ind w:left="1140" w:right="120" w:hanging="432"/>
        <w:spacing w:after="0" w:line="277" w:lineRule="auto"/>
        <w:tabs>
          <w:tab w:leader="none" w:pos="11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9" w:lineRule="exact"/>
        <w:rPr>
          <w:rFonts w:ascii="Times New Roman" w:cs="Times New Roman" w:eastAsia="Times New Roman" w:hAnsi="Times New Roman"/>
          <w:sz w:val="18"/>
          <w:szCs w:val="18"/>
          <w:color w:val="auto"/>
        </w:rPr>
      </w:pPr>
    </w:p>
    <w:p>
      <w:pPr>
        <w:ind w:left="1140" w:right="340" w:hanging="432"/>
        <w:spacing w:after="0" w:line="277" w:lineRule="auto"/>
        <w:tabs>
          <w:tab w:leader="none" w:pos="114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72" w:lineRule="exact"/>
        <w:rPr>
          <w:rFonts w:ascii="Times New Roman" w:cs="Times New Roman" w:eastAsia="Times New Roman" w:hAnsi="Times New Roman"/>
          <w:sz w:val="17"/>
          <w:szCs w:val="17"/>
          <w:color w:val="auto"/>
        </w:rPr>
      </w:pPr>
    </w:p>
    <w:p>
      <w:pPr>
        <w:ind w:left="1460" w:hanging="311"/>
        <w:spacing w:after="0"/>
        <w:tabs>
          <w:tab w:leader="none" w:pos="1460" w:val="left"/>
        </w:tabs>
        <w:numPr>
          <w:ilvl w:val="1"/>
          <w:numId w:val="122"/>
        </w:numPr>
        <w:rPr>
          <w:rFonts w:ascii="Arial" w:cs="Arial" w:eastAsia="Arial" w:hAnsi="Arial"/>
          <w:sz w:val="13"/>
          <w:szCs w:val="13"/>
          <w:color w:val="auto"/>
        </w:rPr>
      </w:pPr>
      <w:r>
        <w:rPr>
          <w:rFonts w:ascii="Times New Roman" w:cs="Times New Roman" w:eastAsia="Times New Roman" w:hAnsi="Times New Roman"/>
          <w:sz w:val="17"/>
          <w:szCs w:val="17"/>
          <w:color w:val="auto"/>
        </w:rPr>
        <w:t>to an institutional investor or to a relevant person, or to any person arising from an offer referred to in Section 276(4)(i)(B) of the SFA;</w:t>
      </w:r>
    </w:p>
    <w:p>
      <w:pPr>
        <w:spacing w:after="0" w:line="138" w:lineRule="exact"/>
        <w:rPr>
          <w:rFonts w:ascii="Arial" w:cs="Arial" w:eastAsia="Arial" w:hAnsi="Arial"/>
          <w:sz w:val="13"/>
          <w:szCs w:val="13"/>
          <w:color w:val="auto"/>
        </w:rPr>
      </w:pPr>
    </w:p>
    <w:p>
      <w:pPr>
        <w:ind w:left="1460" w:hanging="311"/>
        <w:spacing w:after="0"/>
        <w:tabs>
          <w:tab w:leader="none" w:pos="1460" w:val="left"/>
        </w:tabs>
        <w:numPr>
          <w:ilvl w:val="1"/>
          <w:numId w:val="122"/>
        </w:numPr>
        <w:rPr>
          <w:rFonts w:ascii="Arial" w:cs="Arial" w:eastAsia="Arial" w:hAnsi="Arial"/>
          <w:sz w:val="14"/>
          <w:szCs w:val="14"/>
          <w:color w:val="auto"/>
        </w:rPr>
      </w:pPr>
      <w:r>
        <w:rPr>
          <w:rFonts w:ascii="Times New Roman" w:cs="Times New Roman" w:eastAsia="Times New Roman" w:hAnsi="Times New Roman"/>
          <w:sz w:val="18"/>
          <w:szCs w:val="18"/>
          <w:color w:val="auto"/>
        </w:rPr>
        <w:t>where no consideration is or will be given for the transfer;</w:t>
      </w:r>
    </w:p>
    <w:p>
      <w:pPr>
        <w:spacing w:after="0" w:line="126" w:lineRule="exact"/>
        <w:rPr>
          <w:rFonts w:ascii="Arial" w:cs="Arial" w:eastAsia="Arial" w:hAnsi="Arial"/>
          <w:sz w:val="14"/>
          <w:szCs w:val="14"/>
          <w:color w:val="auto"/>
        </w:rPr>
      </w:pPr>
    </w:p>
    <w:p>
      <w:pPr>
        <w:ind w:left="1460" w:hanging="311"/>
        <w:spacing w:after="0"/>
        <w:tabs>
          <w:tab w:leader="none" w:pos="1460" w:val="left"/>
        </w:tabs>
        <w:numPr>
          <w:ilvl w:val="1"/>
          <w:numId w:val="122"/>
        </w:numPr>
        <w:rPr>
          <w:rFonts w:ascii="Arial" w:cs="Arial" w:eastAsia="Arial" w:hAnsi="Arial"/>
          <w:sz w:val="14"/>
          <w:szCs w:val="14"/>
          <w:color w:val="auto"/>
        </w:rPr>
      </w:pPr>
      <w:r>
        <w:rPr>
          <w:rFonts w:ascii="Times New Roman" w:cs="Times New Roman" w:eastAsia="Times New Roman" w:hAnsi="Times New Roman"/>
          <w:sz w:val="18"/>
          <w:szCs w:val="18"/>
          <w:color w:val="auto"/>
        </w:rPr>
        <w:t>where the transfer is by operation of law;</w:t>
      </w:r>
    </w:p>
    <w:p>
      <w:pPr>
        <w:spacing w:after="0" w:line="126" w:lineRule="exact"/>
        <w:rPr>
          <w:rFonts w:ascii="Arial" w:cs="Arial" w:eastAsia="Arial" w:hAnsi="Arial"/>
          <w:sz w:val="14"/>
          <w:szCs w:val="14"/>
          <w:color w:val="auto"/>
        </w:rPr>
      </w:pPr>
    </w:p>
    <w:p>
      <w:pPr>
        <w:ind w:left="1460" w:hanging="311"/>
        <w:spacing w:after="0"/>
        <w:tabs>
          <w:tab w:leader="none" w:pos="1460" w:val="left"/>
        </w:tabs>
        <w:numPr>
          <w:ilvl w:val="1"/>
          <w:numId w:val="122"/>
        </w:numPr>
        <w:rPr>
          <w:rFonts w:ascii="Arial" w:cs="Arial" w:eastAsia="Arial" w:hAnsi="Arial"/>
          <w:sz w:val="14"/>
          <w:szCs w:val="14"/>
          <w:color w:val="auto"/>
        </w:rPr>
      </w:pPr>
      <w:r>
        <w:rPr>
          <w:rFonts w:ascii="Times New Roman" w:cs="Times New Roman" w:eastAsia="Times New Roman" w:hAnsi="Times New Roman"/>
          <w:sz w:val="18"/>
          <w:szCs w:val="18"/>
          <w:color w:val="auto"/>
        </w:rPr>
        <w:t>as specified in Section 276(7) of the SFA; or</w:t>
      </w:r>
    </w:p>
    <w:p>
      <w:pPr>
        <w:spacing w:after="0" w:line="126" w:lineRule="exact"/>
        <w:rPr>
          <w:rFonts w:ascii="Arial" w:cs="Arial" w:eastAsia="Arial" w:hAnsi="Arial"/>
          <w:sz w:val="14"/>
          <w:szCs w:val="14"/>
          <w:color w:val="auto"/>
        </w:rPr>
      </w:pPr>
    </w:p>
    <w:p>
      <w:pPr>
        <w:ind w:left="1460" w:right="440" w:hanging="311"/>
        <w:spacing w:after="0" w:line="277" w:lineRule="auto"/>
        <w:tabs>
          <w:tab w:leader="none" w:pos="1460" w:val="left"/>
        </w:tabs>
        <w:numPr>
          <w:ilvl w:val="1"/>
          <w:numId w:val="122"/>
        </w:numPr>
        <w:rPr>
          <w:rFonts w:ascii="Arial" w:cs="Arial" w:eastAsia="Arial" w:hAnsi="Arial"/>
          <w:sz w:val="14"/>
          <w:szCs w:val="14"/>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18" w:lineRule="exact"/>
        <w:rPr>
          <w:sz w:val="20"/>
          <w:szCs w:val="20"/>
          <w:color w:val="auto"/>
        </w:rPr>
      </w:pPr>
    </w:p>
    <w:p>
      <w:pPr>
        <w:ind w:left="180" w:firstLine="436"/>
        <w:spacing w:after="0" w:line="308" w:lineRule="auto"/>
        <w:rPr>
          <w:sz w:val="20"/>
          <w:szCs w:val="20"/>
          <w:color w:val="auto"/>
        </w:rPr>
      </w:pPr>
      <w:r>
        <w:rPr>
          <w:rFonts w:ascii="Times New Roman" w:cs="Times New Roman" w:eastAsia="Times New Roman" w:hAnsi="Times New Roman"/>
          <w:sz w:val="17"/>
          <w:szCs w:val="17"/>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our Class A common stock.</w:t>
      </w:r>
    </w:p>
    <w:p>
      <w:pPr>
        <w:spacing w:after="0" w:line="139" w:lineRule="exact"/>
        <w:rPr>
          <w:sz w:val="20"/>
          <w:szCs w:val="20"/>
          <w:color w:val="auto"/>
        </w:rPr>
      </w:pPr>
    </w:p>
    <w:p>
      <w:pPr>
        <w:ind w:left="180" w:right="80" w:firstLine="436"/>
        <w:spacing w:after="0" w:line="255" w:lineRule="auto"/>
        <w:rPr>
          <w:sz w:val="20"/>
          <w:szCs w:val="20"/>
          <w:color w:val="auto"/>
        </w:rPr>
      </w:pPr>
      <w:r>
        <w:rPr>
          <w:rFonts w:ascii="Times New Roman" w:cs="Times New Roman" w:eastAsia="Times New Roman" w:hAnsi="Times New Roman"/>
          <w:sz w:val="18"/>
          <w:szCs w:val="18"/>
          <w:color w:val="auto"/>
        </w:rPr>
        <w:t>Accordingly, the shares of our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or QII</w:t>
      </w:r>
    </w:p>
    <w:p>
      <w:pPr>
        <w:spacing w:after="0" w:line="116" w:lineRule="exact"/>
        <w:rPr>
          <w:sz w:val="20"/>
          <w:szCs w:val="20"/>
          <w:color w:val="auto"/>
        </w:rPr>
      </w:pPr>
    </w:p>
    <w:p>
      <w:pPr>
        <w:ind w:left="180" w:right="60" w:firstLine="436"/>
        <w:spacing w:after="0" w:line="257"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our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our Class A common stock. The shares of our Class A common stock may only be transferred to QIIs.</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16" w:lineRule="exact"/>
        <w:rPr>
          <w:sz w:val="20"/>
          <w:szCs w:val="20"/>
          <w:color w:val="auto"/>
        </w:rPr>
      </w:pPr>
    </w:p>
    <w:p>
      <w:pPr>
        <w:ind w:left="180" w:right="40" w:firstLine="436"/>
        <w:spacing w:after="0" w:line="255"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our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our Class A common stock. The shares of our Class A common stock may only be transferred en bloc without subdivision to a single investor.</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080"/>
          </w:cols>
          <w:pgMar w:left="320" w:top="454" w:right="49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118" w:lineRule="exact"/>
        <w:rPr>
          <w:sz w:val="20"/>
          <w:szCs w:val="20"/>
          <w:color w:val="auto"/>
        </w:rPr>
      </w:pPr>
    </w:p>
    <w:p>
      <w:pPr>
        <w:jc w:val="both"/>
        <w:ind w:left="180" w:right="260" w:firstLine="436"/>
        <w:spacing w:after="0" w:line="257"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2" w:lineRule="exact"/>
        <w:rPr>
          <w:sz w:val="20"/>
          <w:szCs w:val="20"/>
          <w:color w:val="auto"/>
        </w:rPr>
      </w:pPr>
    </w:p>
    <w:p>
      <w:pPr>
        <w:ind w:left="180" w:right="120" w:firstLine="436"/>
        <w:spacing w:after="0" w:line="257" w:lineRule="auto"/>
        <w:rPr>
          <w:sz w:val="20"/>
          <w:szCs w:val="20"/>
          <w:color w:val="auto"/>
        </w:rPr>
      </w:pPr>
      <w:r>
        <w:rPr>
          <w:rFonts w:ascii="Times New Roman" w:cs="Times New Roman" w:eastAsia="Times New Roman" w:hAnsi="Times New Roman"/>
          <w:sz w:val="18"/>
          <w:szCs w:val="18"/>
          <w:color w:val="auto"/>
        </w:rPr>
        <w:t>Any offer in Australia of the shares of our Class A common stock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our Class A common stock without disclosure to investors under Chapter 6D of the Corporations Act.</w:t>
      </w:r>
    </w:p>
    <w:p>
      <w:pPr>
        <w:spacing w:after="0" w:line="182" w:lineRule="exact"/>
        <w:rPr>
          <w:sz w:val="20"/>
          <w:szCs w:val="20"/>
          <w:color w:val="auto"/>
        </w:rPr>
      </w:pPr>
    </w:p>
    <w:p>
      <w:pPr>
        <w:ind w:left="180" w:right="20" w:firstLine="436"/>
        <w:spacing w:after="0" w:line="277" w:lineRule="auto"/>
        <w:rPr>
          <w:sz w:val="20"/>
          <w:szCs w:val="20"/>
          <w:color w:val="auto"/>
        </w:rPr>
      </w:pPr>
      <w:r>
        <w:rPr>
          <w:rFonts w:ascii="Times New Roman" w:cs="Times New Roman" w:eastAsia="Times New Roman" w:hAnsi="Times New Roman"/>
          <w:sz w:val="17"/>
          <w:szCs w:val="17"/>
          <w:color w:val="auto"/>
        </w:rPr>
        <w:t>The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Class A common stock must observe such Australian on-sale restrictions.</w:t>
      </w:r>
    </w:p>
    <w:p>
      <w:pPr>
        <w:spacing w:after="0" w:line="166" w:lineRule="exact"/>
        <w:rPr>
          <w:sz w:val="20"/>
          <w:szCs w:val="20"/>
          <w:color w:val="auto"/>
        </w:rPr>
      </w:pPr>
    </w:p>
    <w:p>
      <w:pPr>
        <w:ind w:left="180" w:firstLine="436"/>
        <w:spacing w:after="0" w:line="257"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Dubai International Financial Centre</w:t>
      </w:r>
    </w:p>
    <w:p>
      <w:pPr>
        <w:spacing w:after="0" w:line="118" w:lineRule="exact"/>
        <w:rPr>
          <w:sz w:val="20"/>
          <w:szCs w:val="20"/>
          <w:color w:val="auto"/>
        </w:rPr>
      </w:pPr>
    </w:p>
    <w:p>
      <w:pPr>
        <w:ind w:left="180" w:right="80" w:firstLine="436"/>
        <w:spacing w:after="0" w:line="252"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prospectus to which this prospectus relates may be illiquid and/or subject to restrictions on their resale. Prospective purchasers of the shares of our Class A common stock offered should conduct their own due diligence on the prospectus. If you do not understand the contents of this prospectus you should consult an authorized financial advisor.</w:t>
      </w:r>
    </w:p>
    <w:p>
      <w:pPr>
        <w:spacing w:after="0" w:line="2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118" w:lineRule="exact"/>
        <w:rPr>
          <w:sz w:val="20"/>
          <w:szCs w:val="20"/>
          <w:color w:val="auto"/>
        </w:rPr>
      </w:pPr>
    </w:p>
    <w:p>
      <w:pPr>
        <w:ind w:left="180" w:firstLine="436"/>
        <w:spacing w:after="0" w:line="252" w:lineRule="auto"/>
        <w:rPr>
          <w:sz w:val="20"/>
          <w:szCs w:val="20"/>
          <w:color w:val="auto"/>
        </w:rPr>
      </w:pPr>
      <w:r>
        <w:rPr>
          <w:rFonts w:ascii="Times New Roman" w:cs="Times New Roman" w:eastAsia="Times New Roman" w:hAnsi="Times New Roman"/>
          <w:sz w:val="18"/>
          <w:szCs w:val="18"/>
          <w:color w:val="auto"/>
        </w:rPr>
        <w:t>We have not and will not register with the Swiss Financial Market Supervisory Authority (“FINMA”) as a foreign collective investment scheme pursuant to Article 119 of the Federal Act on Collective Investment Scheme of 23 June 2006, as amended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(“CISO”), such that there is no public offer. Investors, however, do not benefit from protection under CISA or CISO or supervision by FINMA. This prospectus and any</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40"/>
          </w:cols>
          <w:pgMar w:left="320" w:top="454" w:right="53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spacing w:after="0" w:line="252" w:lineRule="auto"/>
        <w:rPr>
          <w:sz w:val="20"/>
          <w:szCs w:val="20"/>
          <w:color w:val="auto"/>
        </w:rPr>
      </w:pPr>
      <w:r>
        <w:rPr>
          <w:rFonts w:ascii="Times New Roman" w:cs="Times New Roman" w:eastAsia="Times New Roman" w:hAnsi="Times New Roman"/>
          <w:sz w:val="18"/>
          <w:szCs w:val="18"/>
          <w:color w:val="auto"/>
        </w:rPr>
        <w:t>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 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1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000"/>
          </w:cols>
          <w:pgMar w:left="320" w:top="454" w:right="57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4" w:lineRule="exact"/>
        <w:rPr>
          <w:sz w:val="20"/>
          <w:szCs w:val="20"/>
          <w:color w:val="auto"/>
        </w:rPr>
      </w:pPr>
    </w:p>
    <w:p>
      <w:pPr>
        <w:ind w:left="180" w:right="160" w:firstLine="436"/>
        <w:spacing w:after="0" w:line="262" w:lineRule="auto"/>
        <w:rPr>
          <w:sz w:val="20"/>
          <w:szCs w:val="20"/>
          <w:color w:val="auto"/>
        </w:rPr>
      </w:pPr>
      <w:r>
        <w:rPr>
          <w:rFonts w:ascii="Times New Roman" w:cs="Times New Roman" w:eastAsia="Times New Roman" w:hAnsi="Times New Roman"/>
          <w:sz w:val="18"/>
          <w:szCs w:val="18"/>
          <w:color w:val="auto"/>
        </w:rPr>
        <w:t>The validity of the shares of our common stock offered hereby will be passed upon for us by Latham &amp; Watkins LLP, New York, New York. Certain legal matters will be passed upon for the underwriters by Davis Polk &amp; Wardwell LLP, Menlo Park, California. Whalen LLP, Newport Beach, California, is acting as counsel for the selling stockholders in connection with this offering.</w:t>
      </w:r>
    </w:p>
    <w:p>
      <w:pPr>
        <w:spacing w:after="0" w:line="38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CHANGES IN ACCOUNTANTS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On November 7, 2018, we dismissed Crowe LLP, formerly known as Crowe Horwath LLP, as our independent accountants.</w:t>
      </w:r>
    </w:p>
    <w:p>
      <w:pPr>
        <w:spacing w:after="0" w:line="220" w:lineRule="exact"/>
        <w:rPr>
          <w:sz w:val="20"/>
          <w:szCs w:val="20"/>
          <w:color w:val="auto"/>
        </w:rPr>
      </w:pPr>
    </w:p>
    <w:p>
      <w:pPr>
        <w:ind w:left="180" w:right="40" w:firstLine="436"/>
        <w:spacing w:after="0" w:line="277" w:lineRule="auto"/>
        <w:rPr>
          <w:sz w:val="20"/>
          <w:szCs w:val="20"/>
          <w:color w:val="auto"/>
        </w:rPr>
      </w:pPr>
      <w:r>
        <w:rPr>
          <w:rFonts w:ascii="Times New Roman" w:cs="Times New Roman" w:eastAsia="Times New Roman" w:hAnsi="Times New Roman"/>
          <w:sz w:val="18"/>
          <w:szCs w:val="18"/>
          <w:color w:val="auto"/>
        </w:rPr>
        <w:t>The reports of Crowe LLP on our consolidated financial statements for the years ended December 31, 2016 and 2017 did not contain any adverse opinion or disclaimer of opinion, nor were such reports qualified or modified as to uncertainty, audit scope, or accounting principles.</w:t>
      </w:r>
    </w:p>
    <w:p>
      <w:pPr>
        <w:spacing w:after="0" w:line="163" w:lineRule="exact"/>
        <w:rPr>
          <w:sz w:val="20"/>
          <w:szCs w:val="20"/>
          <w:color w:val="auto"/>
        </w:rPr>
      </w:pPr>
    </w:p>
    <w:p>
      <w:pPr>
        <w:ind w:left="180" w:firstLine="436"/>
        <w:spacing w:after="0" w:line="257" w:lineRule="auto"/>
        <w:rPr>
          <w:sz w:val="20"/>
          <w:szCs w:val="20"/>
          <w:color w:val="auto"/>
        </w:rPr>
      </w:pPr>
      <w:r>
        <w:rPr>
          <w:rFonts w:ascii="Times New Roman" w:cs="Times New Roman" w:eastAsia="Times New Roman" w:hAnsi="Times New Roman"/>
          <w:sz w:val="18"/>
          <w:szCs w:val="18"/>
          <w:color w:val="auto"/>
        </w:rPr>
        <w:t>During the years ended December 31, 2016 and 2017 and the subsequent interim period through November 7, 2018, Crowe LLP did not have any disagreement with us on any matter of accounting principles or practices, financial statement disclosure or auditing scope or procedure, which disagreement, if not resolved to the satisfaction of Crowe LLP, would have caused it to make reference to the subject matter of the disagreement in connection with its report on our consolidated financial statements.</w:t>
      </w:r>
    </w:p>
    <w:p>
      <w:pPr>
        <w:spacing w:after="0" w:line="182" w:lineRule="exact"/>
        <w:rPr>
          <w:sz w:val="20"/>
          <w:szCs w:val="20"/>
          <w:color w:val="auto"/>
        </w:rPr>
      </w:pPr>
    </w:p>
    <w:p>
      <w:pPr>
        <w:ind w:left="180" w:right="260" w:firstLine="436"/>
        <w:spacing w:after="0" w:line="277" w:lineRule="auto"/>
        <w:rPr>
          <w:sz w:val="20"/>
          <w:szCs w:val="20"/>
          <w:color w:val="auto"/>
        </w:rPr>
      </w:pPr>
      <w:r>
        <w:rPr>
          <w:rFonts w:ascii="Times New Roman" w:cs="Times New Roman" w:eastAsia="Times New Roman" w:hAnsi="Times New Roman"/>
          <w:sz w:val="18"/>
          <w:szCs w:val="18"/>
          <w:color w:val="auto"/>
        </w:rPr>
        <w:t>During the years ended December 31, 2016 and 2017 and the subsequent interim period through November 7, 2018, there were no “reportable events” as such term is defined in Item 304(a)(1)(v) of Regulation S-K.</w:t>
      </w:r>
    </w:p>
    <w:p>
      <w:pPr>
        <w:spacing w:after="0" w:line="163" w:lineRule="exact"/>
        <w:rPr>
          <w:sz w:val="20"/>
          <w:szCs w:val="20"/>
          <w:color w:val="auto"/>
        </w:rPr>
      </w:pPr>
    </w:p>
    <w:p>
      <w:pPr>
        <w:ind w:left="180" w:right="180" w:firstLine="436"/>
        <w:spacing w:after="0" w:line="277" w:lineRule="auto"/>
        <w:rPr>
          <w:sz w:val="20"/>
          <w:szCs w:val="20"/>
          <w:color w:val="auto"/>
        </w:rPr>
      </w:pPr>
      <w:r>
        <w:rPr>
          <w:rFonts w:ascii="Times New Roman" w:cs="Times New Roman" w:eastAsia="Times New Roman" w:hAnsi="Times New Roman"/>
          <w:sz w:val="18"/>
          <w:szCs w:val="18"/>
          <w:color w:val="auto"/>
        </w:rPr>
        <w:t>We provided a copy of this disclosure to Crowe LLP and requested that they furnish us a letter addressed to the SEC stating whether they agree with the above statements. Their letter to the SEC is attached as an exhibit to the registration statement of which this prospectus is a part.</w:t>
      </w:r>
    </w:p>
    <w:p>
      <w:pPr>
        <w:spacing w:after="0" w:line="163" w:lineRule="exact"/>
        <w:rPr>
          <w:sz w:val="20"/>
          <w:szCs w:val="20"/>
          <w:color w:val="auto"/>
        </w:rPr>
      </w:pPr>
    </w:p>
    <w:p>
      <w:pPr>
        <w:ind w:left="180" w:right="80" w:firstLine="436"/>
        <w:spacing w:after="0" w:line="257" w:lineRule="auto"/>
        <w:rPr>
          <w:sz w:val="20"/>
          <w:szCs w:val="20"/>
          <w:color w:val="auto"/>
        </w:rPr>
      </w:pPr>
      <w:r>
        <w:rPr>
          <w:rFonts w:ascii="Times New Roman" w:cs="Times New Roman" w:eastAsia="Times New Roman" w:hAnsi="Times New Roman"/>
          <w:sz w:val="18"/>
          <w:szCs w:val="18"/>
          <w:color w:val="auto"/>
        </w:rPr>
        <w:t>On December 19, 2018, we engaged PricewaterhouseCoopers LLP as our independent registered public accounting firm. During the years ended December 31, 2016 and 2017, and the subsequent period preceding the engagement of PricewaterhouseCoopers LLP, we did not consult with PricewaterhouseCoopers LLP on matters that involved the application of accounting principles to a specified transaction, the type of audit opinion that might be rendered on our consolidated financial statements or any other matter that was either the subject of a disagreement or reportable event.</w:t>
      </w:r>
    </w:p>
    <w:p>
      <w:pPr>
        <w:spacing w:after="0" w:line="39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4" w:lineRule="exact"/>
        <w:rPr>
          <w:sz w:val="20"/>
          <w:szCs w:val="20"/>
          <w:color w:val="auto"/>
        </w:rPr>
      </w:pPr>
    </w:p>
    <w:p>
      <w:pPr>
        <w:ind w:left="180" w:right="100" w:firstLine="436"/>
        <w:spacing w:after="0" w:line="262" w:lineRule="auto"/>
        <w:rPr>
          <w:sz w:val="20"/>
          <w:szCs w:val="20"/>
          <w:color w:val="auto"/>
        </w:rPr>
      </w:pPr>
      <w:r>
        <w:rPr>
          <w:rFonts w:ascii="Times New Roman" w:cs="Times New Roman" w:eastAsia="Times New Roman" w:hAnsi="Times New Roman"/>
          <w:sz w:val="18"/>
          <w:szCs w:val="18"/>
          <w:color w:val="auto"/>
        </w:rPr>
        <w:t>The financial statements as of December 31, 2018 and 2019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38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4" w:lineRule="exact"/>
        <w:rPr>
          <w:sz w:val="20"/>
          <w:szCs w:val="20"/>
          <w:color w:val="auto"/>
        </w:rPr>
      </w:pPr>
    </w:p>
    <w:p>
      <w:pPr>
        <w:ind w:left="180" w:right="20" w:firstLine="436"/>
        <w:spacing w:after="0" w:line="257"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Class A common stock offered hereby. This prospectus, which constitutes a part of the registration statement, does not contain all of the information set forth in the registration statement or the exhibits filed therewith. For further information about us and the shares of Class A common stock offered hereby, reference is made to the registration statement and the exhibits filed therewith. Statements contained in this prospectus</w:t>
      </w:r>
    </w:p>
    <w:p>
      <w:pPr>
        <w:spacing w:after="0" w:line="1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00"/>
          </w:cols>
          <w:pgMar w:left="320" w:top="454" w:right="57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18"/>
          <w:szCs w:val="18"/>
          <w:color w:val="auto"/>
        </w:rPr>
        <w:t xml:space="preserve">regarding the contents of any contract or any other document that is filed as an exhibit to the registration statement are not necessarily complete, and in each instance, we refer you to the copy of such contract or other document filed as an exhibit to the registration statement. The SEC maintains a website that contains reports, proxy and information statements and other information regarding registrants that file electronically with the SEC. The address of the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80" w:right="40" w:firstLine="436"/>
        <w:spacing w:after="0" w:line="252" w:lineRule="auto"/>
        <w:rPr>
          <w:sz w:val="20"/>
          <w:szCs w:val="20"/>
          <w:color w:val="auto"/>
        </w:rPr>
      </w:pPr>
      <w:r>
        <w:rPr>
          <w:rFonts w:ascii="Times New Roman" w:cs="Times New Roman" w:eastAsia="Times New Roman" w:hAnsi="Times New Roman"/>
          <w:sz w:val="18"/>
          <w:szCs w:val="18"/>
          <w:color w:val="auto"/>
        </w:rPr>
        <w:t xml:space="preserve">As a result of this offering, we will become subject to the information and reporting requirements of the Exchange Act and, in accordance with this law, will file periodic reports, proxy and information statements and other information with the SEC. These periodic reports, proxy and information statements and other information will be available for inspection at the website of the SEC referred to above. We also maintain a website at </w:t>
      </w:r>
      <w:r>
        <w:rPr>
          <w:rFonts w:ascii="Times New Roman" w:cs="Times New Roman" w:eastAsia="Times New Roman" w:hAnsi="Times New Roman"/>
          <w:sz w:val="18"/>
          <w:szCs w:val="18"/>
          <w:i w:val="1"/>
          <w:iCs w:val="1"/>
          <w:color w:val="auto"/>
        </w:rPr>
        <w:t>www.goodrx.com</w:t>
      </w:r>
      <w:r>
        <w:rPr>
          <w:rFonts w:ascii="Times New Roman" w:cs="Times New Roman" w:eastAsia="Times New Roman" w:hAnsi="Times New Roman"/>
          <w:sz w:val="18"/>
          <w:szCs w:val="18"/>
          <w:color w:val="auto"/>
        </w:rPr>
        <w:t>. Upon completion of this offering, you may access these materials free of charge as soon as reasonably practicable after they are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electronically with, or furnished to, the SEC. The inclusion of our website address in this prospectus is an inactive textual reference only. The information contained on, or that can be accessed through, our website is not incorporated by reference into, and is not a part of, this prospectus or the registration statement of which this prospectus forms a part. Investors should not rely on any such information in deciding whether to purchase our Class A common stock.</w:t>
      </w:r>
    </w:p>
    <w:p>
      <w:pPr>
        <w:spacing w:after="0" w:line="11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20"/>
          </w:cols>
          <w:pgMar w:left="320" w:top="454" w:right="55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04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as of and for the Years Ended December 31, 2018 and 2019</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5"/>
        </w:trPr>
        <w:tc>
          <w:tcPr>
            <w:tcW w:w="10440" w:type="dxa"/>
            <w:vAlign w:val="bottom"/>
            <w:gridSpan w:val="4"/>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1026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216">
              <w:r>
                <w:rPr>
                  <w:rFonts w:ascii="Times New Roman" w:cs="Times New Roman" w:eastAsia="Times New Roman" w:hAnsi="Times New Roman"/>
                  <w:sz w:val="18"/>
                  <w:szCs w:val="18"/>
                  <w:u w:val="single" w:color="auto"/>
                  <w:color w:val="0000EE"/>
                </w:rPr>
                <w:t>Report of Independent Registered Public Accounting Firm</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1026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217">
              <w:r>
                <w:rPr>
                  <w:rFonts w:ascii="Times New Roman" w:cs="Times New Roman" w:eastAsia="Times New Roman" w:hAnsi="Times New Roman"/>
                  <w:sz w:val="18"/>
                  <w:szCs w:val="18"/>
                  <w:u w:val="single" w:color="auto"/>
                  <w:color w:val="0000EE"/>
                </w:rPr>
                <w:t>Consolidated Balance Sheets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1026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Consolidated Statements of Operations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1026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Consolidated Statements of Changes in Redeemable Convertible Preferred Stock and Stockholders’ Deficit</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1026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Consolidated Statements of Cash Flows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026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221">
              <w:r>
                <w:rPr>
                  <w:rFonts w:ascii="Times New Roman" w:cs="Times New Roman" w:eastAsia="Times New Roman" w:hAnsi="Times New Roman"/>
                  <w:sz w:val="18"/>
                  <w:szCs w:val="18"/>
                  <w:u w:val="single" w:color="auto"/>
                  <w:color w:val="0000EE"/>
                </w:rPr>
                <w:t>Notes to Consolidated Financial Statements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100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b w:val="1"/>
                <w:bCs w:val="1"/>
                <w:color w:val="0000EE"/>
                <w:w w:val="98"/>
              </w:rPr>
            </w:pPr>
            <w:hyperlink w:anchor="page248">
              <w:r>
                <w:rPr>
                  <w:rFonts w:ascii="Times New Roman" w:cs="Times New Roman" w:eastAsia="Times New Roman" w:hAnsi="Times New Roman"/>
                  <w:sz w:val="18"/>
                  <w:szCs w:val="18"/>
                  <w:b w:val="1"/>
                  <w:bCs w:val="1"/>
                  <w:color w:val="0000EE"/>
                  <w:w w:val="98"/>
                </w:rPr>
                <w:t>Unaudited Interim Condensed Consolidated Financial Statements as of December 31, 2019 and June 30, 2020 and for the Six Months</w:t>
              </w:r>
            </w:hyperlink>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440" w:type="dxa"/>
            <w:vAlign w:val="bottom"/>
            <w:gridSpan w:val="4"/>
          </w:tcPr>
          <w:p>
            <w:pPr>
              <w:ind w:left="180"/>
              <w:spacing w:after="0" w:line="194" w:lineRule="exact"/>
              <w:rPr>
                <w:rFonts w:ascii="Times New Roman" w:cs="Times New Roman" w:eastAsia="Times New Roman" w:hAnsi="Times New Roman"/>
                <w:sz w:val="18"/>
                <w:szCs w:val="18"/>
                <w:b w:val="1"/>
                <w:bCs w:val="1"/>
                <w:color w:val="0000EE"/>
              </w:rPr>
            </w:pPr>
            <w:hyperlink w:anchor="page248">
              <w:r>
                <w:rPr>
                  <w:rFonts w:ascii="Times New Roman" w:cs="Times New Roman" w:eastAsia="Times New Roman" w:hAnsi="Times New Roman"/>
                  <w:sz w:val="18"/>
                  <w:szCs w:val="18"/>
                  <w:b w:val="1"/>
                  <w:bCs w:val="1"/>
                  <w:color w:val="0000EE"/>
                </w:rPr>
                <w:t>Ended June 30, 2019 and 2020</w:t>
              </w:r>
            </w:hyperlink>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F-34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80" w:type="dxa"/>
            <w:vAlign w:val="bottom"/>
          </w:tcPr>
          <w:p>
            <w:pPr>
              <w:spacing w:after="0"/>
              <w:rPr>
                <w:sz w:val="18"/>
                <w:szCs w:val="18"/>
                <w:color w:val="auto"/>
              </w:rPr>
            </w:pPr>
          </w:p>
        </w:tc>
        <w:tc>
          <w:tcPr>
            <w:tcW w:w="1026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248">
              <w:r>
                <w:rPr>
                  <w:rFonts w:ascii="Times New Roman" w:cs="Times New Roman" w:eastAsia="Times New Roman" w:hAnsi="Times New Roman"/>
                  <w:sz w:val="18"/>
                  <w:szCs w:val="18"/>
                  <w:u w:val="single" w:color="auto"/>
                  <w:color w:val="0000EE"/>
                </w:rPr>
                <w:t>Condensed Consolidated Balance Sheets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F-34</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1026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249">
              <w:r>
                <w:rPr>
                  <w:rFonts w:ascii="Times New Roman" w:cs="Times New Roman" w:eastAsia="Times New Roman" w:hAnsi="Times New Roman"/>
                  <w:sz w:val="18"/>
                  <w:szCs w:val="18"/>
                  <w:u w:val="single" w:color="auto"/>
                  <w:color w:val="0000EE"/>
                </w:rPr>
                <w:t>Condensed Consolidated Statements of Operations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F-35</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1026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250">
              <w:r>
                <w:rPr>
                  <w:rFonts w:ascii="Times New Roman" w:cs="Times New Roman" w:eastAsia="Times New Roman" w:hAnsi="Times New Roman"/>
                  <w:sz w:val="18"/>
                  <w:szCs w:val="18"/>
                  <w:u w:val="single" w:color="auto"/>
                  <w:color w:val="0000EE"/>
                </w:rPr>
                <w:t>Condensed Consolidated Statements of Changes in Redeemable Convertible Preferred Stock and Stockholders’ Deficit</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F-36</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1026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251">
              <w:r>
                <w:rPr>
                  <w:rFonts w:ascii="Times New Roman" w:cs="Times New Roman" w:eastAsia="Times New Roman" w:hAnsi="Times New Roman"/>
                  <w:sz w:val="18"/>
                  <w:szCs w:val="18"/>
                  <w:u w:val="single" w:color="auto"/>
                  <w:color w:val="0000EE"/>
                </w:rPr>
                <w:t>Condensed Consolidated Statements of Cash Flows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F-37</w:t>
            </w: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p>
        </w:tc>
        <w:tc>
          <w:tcPr>
            <w:tcW w:w="1026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252">
              <w:r>
                <w:rPr>
                  <w:rFonts w:ascii="Times New Roman" w:cs="Times New Roman" w:eastAsia="Times New Roman" w:hAnsi="Times New Roman"/>
                  <w:sz w:val="18"/>
                  <w:szCs w:val="18"/>
                  <w:u w:val="single" w:color="auto"/>
                  <w:color w:val="0000EE"/>
                </w:rPr>
                <w:t>Notes to Condensed Consolidated Financial Statements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F-38</w:t>
            </w: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96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4" w:right="55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 the Board of Directors and Stockholders of GoodRx Holdings, Inc.</w:t>
      </w:r>
    </w:p>
    <w:p>
      <w:pPr>
        <w:spacing w:after="0" w:line="3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18" w:lineRule="exact"/>
        <w:rPr>
          <w:sz w:val="20"/>
          <w:szCs w:val="20"/>
          <w:color w:val="auto"/>
        </w:rPr>
      </w:pPr>
    </w:p>
    <w:p>
      <w:pPr>
        <w:ind w:left="180"/>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GoodRx Holdings, Inc. and its subsidiaries (the “Company”) as of December 31, 2019 and 2018, and the related consolidated statements of operations, of changes in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2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the manner in which it accounts for leases in 2019.</w:t>
      </w:r>
    </w:p>
    <w:p>
      <w:pPr>
        <w:spacing w:after="0" w:line="3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18" w:lineRule="exact"/>
        <w:rPr>
          <w:sz w:val="20"/>
          <w:szCs w:val="20"/>
          <w:color w:val="auto"/>
        </w:rPr>
      </w:pPr>
    </w:p>
    <w:p>
      <w:pPr>
        <w:ind w:left="180" w:right="400"/>
        <w:spacing w:after="0" w:line="257"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ind w:left="180" w:right="20"/>
        <w:spacing w:after="0" w:line="262"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7" w:lineRule="exact"/>
        <w:rPr>
          <w:sz w:val="20"/>
          <w:szCs w:val="20"/>
          <w:color w:val="auto"/>
        </w:rPr>
      </w:pPr>
    </w:p>
    <w:p>
      <w:pPr>
        <w:jc w:val="both"/>
        <w:ind w:left="180" w:right="120"/>
        <w:spacing w:after="0" w:line="25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6" w:lineRule="exact"/>
        <w:rPr>
          <w:sz w:val="20"/>
          <w:szCs w:val="20"/>
          <w:color w:val="auto"/>
        </w:rPr>
      </w:pPr>
    </w:p>
    <w:p>
      <w:pPr>
        <w:ind w:left="180" w:right="600"/>
        <w:spacing w:after="0" w:line="255" w:lineRule="auto"/>
        <w:rPr>
          <w:sz w:val="20"/>
          <w:szCs w:val="20"/>
          <w:color w:val="auto"/>
        </w:rPr>
      </w:pPr>
      <w:r>
        <w:rPr>
          <w:rFonts w:ascii="Times New Roman" w:cs="Times New Roman" w:eastAsia="Times New Roman" w:hAnsi="Times New Roman"/>
          <w:sz w:val="18"/>
          <w:szCs w:val="18"/>
          <w:color w:val="auto"/>
        </w:rPr>
        <w:t>April 27, 2020, except for Note 17 and the effects of disclosing earnings per share information discussed in Note 16 to the consolidated financial statements, as to which the date is July 2, 2020</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80"/>
          </w:cols>
          <w:pgMar w:left="320" w:top="454" w:right="49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85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par values)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8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220,420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314,791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Debt,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716,806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740,209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Redeemable convertible preferred stock, $0.006 par value; 130,000 shares authorized and 126,046 shares issued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outstanding at December 31, 2018 and 2019; liquidation preference of $748,800 at December 31, 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737,009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50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Common stock, $0.002 par value; 380,000 shares authorized at December 31, 2018 and 2019; 225,201 and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229,750 shares issued and outstanding at December 31, 2018 and December 31, 2019,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(1,162,878)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(1,096,830)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(1,162,427)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(1,087,582)</w:t>
            </w:r>
          </w:p>
        </w:tc>
        <w:tc>
          <w:tcPr>
            <w:tcW w:w="0" w:type="dxa"/>
            <w:vAlign w:val="bottom"/>
          </w:tcPr>
          <w:p>
            <w:pPr>
              <w:spacing w:after="0"/>
              <w:rPr>
                <w:sz w:val="1"/>
                <w:szCs w:val="1"/>
                <w:color w:val="auto"/>
              </w:rPr>
            </w:pPr>
          </w:p>
        </w:tc>
      </w:tr>
      <w:tr>
        <w:trPr>
          <w:trHeight w:val="220"/>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convertible preferred stock and stockholders’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314,791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80"/>
          </w:cols>
          <w:pgMar w:left="320" w:top="454" w:right="49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YEARS ENDED DECEMBER 31, 2018 AND 2019</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249,522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388,224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 presented separately below</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development and technology</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104,177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176,967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1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172,271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248,548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139,676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(16,930)</w:t>
            </w:r>
          </w:p>
        </w:tc>
        <w:tc>
          <w:tcPr>
            <w:tcW w:w="0" w:type="dxa"/>
            <w:vAlign w:val="bottom"/>
          </w:tcPr>
          <w:p>
            <w:pPr>
              <w:spacing w:after="0"/>
              <w:rPr>
                <w:sz w:val="1"/>
                <w:szCs w:val="1"/>
                <w:color w:val="auto"/>
              </w:rPr>
            </w:pPr>
          </w:p>
        </w:tc>
      </w:tr>
      <w:tr>
        <w:trPr>
          <w:trHeight w:val="220"/>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4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earnings per share: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111,842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226,607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118,344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231,209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Pro forma earnings per share (unaudited):</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pro forma earnings per share (unaudited):</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352,653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357,255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80"/>
          </w:cols>
          <w:pgMar w:left="320" w:top="454" w:right="49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REDEEMABLE CONVERTIBLE PREFERRED STOCK AND STOCKHOLDERS’</w:t>
      </w:r>
    </w:p>
    <w:p>
      <w:pPr>
        <w:spacing w:after="0" w:line="1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YEARS ENDED DECEMBER 31, 2018 AND 2019</w:t>
      </w:r>
    </w:p>
    <w:p>
      <w:pPr>
        <w:sectPr>
          <w:pgSz w:w="11900" w:h="16838" w:orient="portrait"/>
          <w:cols w:equalWidth="0" w:num="1">
            <w:col w:w="11020"/>
          </w:cols>
          <w:pgMar w:left="320" w:top="454" w:right="559" w:bottom="1440" w:gutter="0" w:footer="0" w:header="0"/>
        </w:sectPr>
      </w:pPr>
    </w:p>
    <w:p>
      <w:pPr>
        <w:spacing w:after="0" w:line="20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60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0" w:type="dxa"/>
            <w:vAlign w:val="bottom"/>
          </w:tcPr>
          <w:p>
            <w:pPr>
              <w:spacing w:after="0"/>
              <w:rPr>
                <w:sz w:val="1"/>
                <w:szCs w:val="1"/>
                <w:color w:val="auto"/>
              </w:rPr>
            </w:pPr>
          </w:p>
        </w:tc>
      </w:tr>
      <w:tr>
        <w:trPr>
          <w:trHeight w:val="172"/>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w:t>
            </w:r>
          </w:p>
        </w:tc>
        <w:tc>
          <w:tcPr>
            <w:tcW w:w="154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120" w:type="dxa"/>
            <w:vAlign w:val="bottom"/>
            <w:vMerge w:val="continue"/>
          </w:tcPr>
          <w:p>
            <w:pPr>
              <w:spacing w:after="0"/>
              <w:rPr>
                <w:sz w:val="8"/>
                <w:szCs w:val="8"/>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8"/>
                <w:szCs w:val="8"/>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2"/>
        </w:trPr>
        <w:tc>
          <w:tcPr>
            <w:tcW w:w="4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w:t>
            </w: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Balance at December 31, 2017</w:t>
            </w:r>
          </w:p>
        </w:tc>
        <w:tc>
          <w:tcPr>
            <w:tcW w:w="6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5,654</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$ 166,777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awards</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preferred stock to common stock</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(5,654)</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(166,777)</w:t>
            </w:r>
          </w:p>
        </w:tc>
        <w:tc>
          <w:tcPr>
            <w:tcW w:w="0" w:type="dxa"/>
            <w:vAlign w:val="bottom"/>
          </w:tcPr>
          <w:p>
            <w:pPr>
              <w:spacing w:after="0"/>
              <w:rPr>
                <w:sz w:val="1"/>
                <w:szCs w:val="1"/>
                <w:color w:val="auto"/>
              </w:rPr>
            </w:pPr>
          </w:p>
        </w:tc>
      </w:tr>
      <w:tr>
        <w:trPr>
          <w:trHeight w:val="21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issuance, net of issuance costs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126,046</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($152.25 per preferred share, $5.91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common share)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412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6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126,046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737,009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issuance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issuance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126,046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$ 737,009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-2611755</wp:posOffset>
            </wp:positionV>
            <wp:extent cx="6921500" cy="26212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21500" cy="2621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5"/>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vMerge w:val="restart"/>
          </w:tcPr>
          <w:p>
            <w:pPr>
              <w:jc w:val="right"/>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2"/>
                <w:szCs w:val="2"/>
                <w:color w:val="auto"/>
              </w:rPr>
            </w:pPr>
          </w:p>
        </w:tc>
        <w:tc>
          <w:tcPr>
            <w:tcW w:w="1060" w:type="dxa"/>
            <w:vAlign w:val="bottom"/>
            <w:gridSpan w:val="3"/>
            <w:vMerge w:val="restart"/>
          </w:tcPr>
          <w:p>
            <w:pPr>
              <w:jc w:val="right"/>
              <w:ind w:right="181"/>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
                <w:szCs w:val="2"/>
                <w:color w:val="auto"/>
              </w:rPr>
            </w:pPr>
          </w:p>
        </w:tc>
        <w:tc>
          <w:tcPr>
            <w:tcW w:w="920" w:type="dxa"/>
            <w:vAlign w:val="bottom"/>
            <w:gridSpan w:val="3"/>
            <w:vMerge w:val="restart"/>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2"/>
        </w:trPr>
        <w:tc>
          <w:tcPr>
            <w:tcW w:w="6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8"/>
                <w:szCs w:val="8"/>
                <w:color w:val="auto"/>
              </w:rPr>
            </w:pPr>
          </w:p>
        </w:tc>
        <w:tc>
          <w:tcPr>
            <w:tcW w:w="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6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89"/>
        </w:trPr>
        <w:tc>
          <w:tcPr>
            <w:tcW w:w="6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78,483</w:t>
            </w:r>
          </w:p>
        </w:tc>
        <w:tc>
          <w:tcPr>
            <w:tcW w:w="260" w:type="dxa"/>
            <w:vAlign w:val="bottom"/>
          </w:tcPr>
          <w:p>
            <w:pPr>
              <w:spacing w:after="0"/>
              <w:rPr>
                <w:sz w:val="16"/>
                <w:szCs w:val="16"/>
                <w:color w:val="auto"/>
              </w:rPr>
            </w:pPr>
          </w:p>
        </w:tc>
        <w:tc>
          <w:tcPr>
            <w:tcW w:w="16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w w:val="88"/>
              </w:rPr>
              <w:t>157</w:t>
            </w:r>
          </w:p>
        </w:tc>
        <w:tc>
          <w:tcPr>
            <w:tcW w:w="280" w:type="dxa"/>
            <w:vAlign w:val="bottom"/>
          </w:tcPr>
          <w:p>
            <w:pPr>
              <w:spacing w:after="0"/>
              <w:rPr>
                <w:sz w:val="16"/>
                <w:szCs w:val="16"/>
                <w:color w:val="auto"/>
              </w:rPr>
            </w:pPr>
          </w:p>
        </w:tc>
        <w:tc>
          <w:tcPr>
            <w:tcW w:w="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54,281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(86,191)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(31,753)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141,339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283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(225,875)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w w:val="97"/>
              </w:rPr>
              <w:t>(1,120,480)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(1,346,355)</w:t>
            </w:r>
          </w:p>
        </w:tc>
        <w:tc>
          <w:tcPr>
            <w:tcW w:w="0" w:type="dxa"/>
            <w:vAlign w:val="bottom"/>
          </w:tcPr>
          <w:p>
            <w:pPr>
              <w:spacing w:after="0"/>
              <w:rPr>
                <w:sz w:val="1"/>
                <w:szCs w:val="1"/>
                <w:color w:val="auto"/>
              </w:rPr>
            </w:pPr>
          </w:p>
        </w:tc>
      </w:tr>
      <w:tr>
        <w:trPr>
          <w:trHeight w:val="232"/>
        </w:trPr>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225,201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w w:val="88"/>
              </w:rPr>
              <w:t>451</w:t>
            </w: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92"/>
              </w:rPr>
              <w:t>(1,162,878)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90"/>
              </w:rPr>
              <w:t>(1,162,427)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229,750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460</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(1,096,830</w:t>
            </w:r>
          </w:p>
        </w:tc>
        <w:tc>
          <w:tcPr>
            <w:tcW w:w="180" w:type="dxa"/>
            <w:vAlign w:val="bottom"/>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(1,087,582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00" w:space="380"/>
            <w:col w:w="4740"/>
          </w:cols>
          <w:pgMar w:left="320" w:top="454" w:right="559" w:bottom="1440" w:gutter="0" w:footer="0" w:header="0"/>
          <w:type w:val="continuous"/>
        </w:sectPr>
      </w:pP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6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20"/>
          </w:cols>
          <w:pgMar w:left="320" w:top="454" w:right="559" w:bottom="1440" w:gutter="0" w:footer="0" w:header="0"/>
          <w:type w:val="continuous"/>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YEARS ENDED DECEMBER 31, 2018 AND 2019</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7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43,793</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(2,433)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(5,674)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of business acquisitions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(12,843)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(2,627)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liabilities</w:t>
            </w:r>
          </w:p>
        </w:tc>
        <w:tc>
          <w:tcPr>
            <w:tcW w:w="1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(2,654)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(4,324)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901,813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long-term debt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(294,937)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(211,845)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preferred stock, net</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737,009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debt issuance costs and prepayment penalty</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(25,613)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(1,346,355)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(24,734)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(54,781)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Net change in cash</w:t>
            </w:r>
          </w:p>
        </w:tc>
        <w:tc>
          <w:tcPr>
            <w:tcW w:w="1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1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year</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34,600</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0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Non cash investing and financing activities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Conversion of preferred stock to common stock</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166,777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included in capitalized software development costs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80"/>
          </w:cols>
          <w:pgMar w:left="320" w:top="454" w:right="49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4" w:lineRule="exact"/>
        <w:rPr>
          <w:sz w:val="20"/>
          <w:szCs w:val="20"/>
          <w:color w:val="auto"/>
        </w:rPr>
      </w:pPr>
    </w:p>
    <w:p>
      <w:pPr>
        <w:ind w:left="600" w:hanging="426"/>
        <w:spacing w:after="0"/>
        <w:tabs>
          <w:tab w:leader="none" w:pos="60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17" w:lineRule="exact"/>
        <w:rPr>
          <w:rFonts w:ascii="Times New Roman" w:cs="Times New Roman" w:eastAsia="Times New Roman" w:hAnsi="Times New Roman"/>
          <w:sz w:val="18"/>
          <w:szCs w:val="18"/>
          <w:b w:val="1"/>
          <w:bCs w:val="1"/>
          <w:color w:val="auto"/>
        </w:rPr>
      </w:pPr>
    </w:p>
    <w:p>
      <w:pPr>
        <w:ind w:left="600" w:right="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GoodRx Holdings, Inc. (the “Company”) was formed in September 2015. On October 7, 2015, the Company acquired 100% of the outstanding shares of GoodRx, Inc. (“GoodRx”). GoodRx was formed in September 2011. The Company offers information and tools to help consumers compare prices and save on their prescription drug purchases. The Company operates apps and websites that provide prices and discounts at local and mail-order pharmacies for both insured and uninsured Americans. The services are free to consumers and the Company primarily earns revenue from its core business from Pharmacy Benefit Managers (“PBMs”) that manage formularies and prescription transactions including establishing pricing between consumers and pharmacies.</w:t>
      </w:r>
    </w:p>
    <w:p>
      <w:pPr>
        <w:spacing w:after="0" w:line="329" w:lineRule="exact"/>
        <w:rPr>
          <w:rFonts w:ascii="Times New Roman" w:cs="Times New Roman" w:eastAsia="Times New Roman" w:hAnsi="Times New Roman"/>
          <w:sz w:val="18"/>
          <w:szCs w:val="18"/>
          <w:b w:val="1"/>
          <w:bCs w:val="1"/>
          <w:color w:val="auto"/>
        </w:rPr>
      </w:pPr>
    </w:p>
    <w:p>
      <w:pPr>
        <w:ind w:left="600" w:right="7060" w:hanging="426"/>
        <w:spacing w:after="0" w:line="374" w:lineRule="auto"/>
        <w:tabs>
          <w:tab w:leader="none" w:pos="592"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left="600" w:right="126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consolidated financial statements have been prepared in conformity with U.S. generally accepted accounting principles (“GAAP”).</w:t>
      </w:r>
    </w:p>
    <w:p>
      <w:pPr>
        <w:spacing w:after="0" w:line="266"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w:t>
      </w:r>
    </w:p>
    <w:p>
      <w:pPr>
        <w:spacing w:after="0" w:line="117" w:lineRule="exact"/>
        <w:rPr>
          <w:rFonts w:ascii="Times New Roman" w:cs="Times New Roman" w:eastAsia="Times New Roman" w:hAnsi="Times New Roman"/>
          <w:sz w:val="18"/>
          <w:szCs w:val="18"/>
          <w:b w:val="1"/>
          <w:bCs w:val="1"/>
          <w:color w:val="auto"/>
        </w:rPr>
      </w:pPr>
    </w:p>
    <w:p>
      <w:pPr>
        <w:ind w:left="600" w:right="3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 the financial statements of GoodRx Holdings, Inc., its wholly owned subsidiaries and variable interest entities (“VIEs”) for which the Company is the primary beneficiary. Intercompany balances and transactions have been eliminated in consolidation. Results of businesses acquired are included in the Company’s consolidated financial statements from their respective dates of acquisition.</w:t>
      </w:r>
    </w:p>
    <w:p>
      <w:pPr>
        <w:spacing w:after="0" w:line="284"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Consolidation of VIEs</w:t>
      </w:r>
    </w:p>
    <w:p>
      <w:pPr>
        <w:spacing w:after="0" w:line="117" w:lineRule="exact"/>
        <w:rPr>
          <w:rFonts w:ascii="Times New Roman" w:cs="Times New Roman" w:eastAsia="Times New Roman" w:hAnsi="Times New Roman"/>
          <w:sz w:val="18"/>
          <w:szCs w:val="18"/>
          <w:b w:val="1"/>
          <w:bCs w:val="1"/>
          <w:color w:val="auto"/>
        </w:rPr>
      </w:pPr>
    </w:p>
    <w:p>
      <w:pPr>
        <w:ind w:left="600" w:right="6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evaluates whether an entity in which it has a variable interest is considered a variable interest entity (“VIE”).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make significant decisions through voting rights and a right to receive the expected residual returns of the entity or an obligation to absorb the expected losses of the entity).</w:t>
      </w:r>
    </w:p>
    <w:p>
      <w:pPr>
        <w:spacing w:after="0" w:line="57" w:lineRule="exact"/>
        <w:rPr>
          <w:rFonts w:ascii="Times New Roman" w:cs="Times New Roman" w:eastAsia="Times New Roman" w:hAnsi="Times New Roman"/>
          <w:sz w:val="18"/>
          <w:szCs w:val="18"/>
          <w:b w:val="1"/>
          <w:bCs w:val="1"/>
          <w:color w:val="auto"/>
        </w:rPr>
      </w:pPr>
    </w:p>
    <w:p>
      <w:pPr>
        <w:ind w:left="60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Under the provisions of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an entity consolidates a VIE if it is determined to be the primary beneficiary of the VIE. The primary beneficiary has both (a) the power to direct the activities of the VIE that most significantly impact the entity’s economic performance, and (b) the obligation to absorb losses or the right to receive benefits from the VIE that could potentially be significant to the VIE. The Company periodically reassesses whether it is the primary beneficiary of a VIE.</w:t>
      </w:r>
    </w:p>
    <w:p>
      <w:pPr>
        <w:spacing w:after="0" w:line="73" w:lineRule="exact"/>
        <w:rPr>
          <w:rFonts w:ascii="Times New Roman" w:cs="Times New Roman" w:eastAsia="Times New Roman" w:hAnsi="Times New Roman"/>
          <w:sz w:val="18"/>
          <w:szCs w:val="18"/>
          <w:b w:val="1"/>
          <w:bCs w:val="1"/>
          <w:color w:val="auto"/>
        </w:rPr>
      </w:pPr>
    </w:p>
    <w:p>
      <w:pPr>
        <w:ind w:left="60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18, 2019, the Company acquired Sappira, Inc. d.b.a. HeyDoctor (“HeyDoctor”). HeyDoctor provides management and other services to Professional Service Corporations (“PSCs”), which are owned by medical professionals in accordance with certain state laws which restrict the corporate practice of medicine and require medical practitioners to own such entities. The Company determined that the PSCs are VIEs. The Company also determined that it is able to direct the activities of the PSCs that most significantly impact their economic performance and it funds and absorbs all losses of these VIEs resulting in the Company being the primary beneficiary of the PSCs. Accordingly, the Company consolidates the VIEs. Total revenue and net loss for the VIEs were $1.3 million and $(1.6) million, respectively, for the period from April 18, 2019 to December 31, 2019. The VIEs’ total assets and liabilities were $1.4 million and</w:t>
      </w:r>
    </w:p>
    <w:p>
      <w:pPr>
        <w:spacing w:after="0" w:line="1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00"/>
          </w:cols>
          <w:pgMar w:left="320" w:top="454" w:right="57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$2.9 million, respectively, at December 31, 2019. The VIEs’ total stockholders’ deficit was $1.5 million at December 31, 2019.</w:t>
      </w:r>
    </w:p>
    <w:p>
      <w:pPr>
        <w:spacing w:after="0" w:line="3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Unaudited pro forma information</w:t>
      </w:r>
    </w:p>
    <w:p>
      <w:pPr>
        <w:spacing w:after="0" w:line="118" w:lineRule="exact"/>
        <w:rPr>
          <w:sz w:val="20"/>
          <w:szCs w:val="20"/>
          <w:color w:val="auto"/>
        </w:rPr>
      </w:pPr>
    </w:p>
    <w:p>
      <w:pPr>
        <w:jc w:val="both"/>
        <w:ind w:left="600" w:right="20"/>
        <w:spacing w:after="0" w:line="262" w:lineRule="auto"/>
        <w:rPr>
          <w:sz w:val="20"/>
          <w:szCs w:val="20"/>
          <w:color w:val="auto"/>
        </w:rPr>
      </w:pPr>
      <w:r>
        <w:rPr>
          <w:rFonts w:ascii="Times New Roman" w:cs="Times New Roman" w:eastAsia="Times New Roman" w:hAnsi="Times New Roman"/>
          <w:sz w:val="18"/>
          <w:szCs w:val="18"/>
          <w:color w:val="auto"/>
        </w:rPr>
        <w:t>Unaudited pro forma basic and diluted earnings per share were computed to give effect to the automatic conversion of all outstanding redeemable convertible preferred stock into common stock in connection with a qualifying initial public offering as though the conversion had occurred as of January 1, 2019.</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Segment Reporting and Geographic Information</w:t>
      </w:r>
    </w:p>
    <w:p>
      <w:pPr>
        <w:spacing w:after="0" w:line="118" w:lineRule="exact"/>
        <w:rPr>
          <w:sz w:val="20"/>
          <w:szCs w:val="20"/>
          <w:color w:val="auto"/>
        </w:rPr>
      </w:pPr>
    </w:p>
    <w:p>
      <w:pPr>
        <w:ind w:left="600"/>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available that is evaluated regularly by the chief operating decision maker in deciding how to allocate resources and in assessing performance. The Company’s chief operating decision maker manages the Company on the basis of one operating segment. During the years ended December 31, 2018 and 2019, all of the Company’s revenue was from customers located in the United States. In addition, at December 31, 2018 and 2019, all of the Company’s right-of-use assets and property and equipment was in the United States.</w:t>
      </w:r>
    </w:p>
    <w:p>
      <w:pPr>
        <w:spacing w:after="0" w:line="2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18" w:lineRule="exact"/>
        <w:rPr>
          <w:sz w:val="20"/>
          <w:szCs w:val="20"/>
          <w:color w:val="auto"/>
        </w:rPr>
      </w:pPr>
    </w:p>
    <w:p>
      <w:pPr>
        <w:ind w:left="600" w:right="440"/>
        <w:spacing w:after="0" w:line="277" w:lineRule="auto"/>
        <w:rPr>
          <w:sz w:val="20"/>
          <w:szCs w:val="20"/>
          <w:color w:val="auto"/>
        </w:rPr>
      </w:pPr>
      <w:r>
        <w:rPr>
          <w:rFonts w:ascii="Times New Roman" w:cs="Times New Roman" w:eastAsia="Times New Roman" w:hAnsi="Times New Roman"/>
          <w:sz w:val="18"/>
          <w:szCs w:val="18"/>
          <w:color w:val="auto"/>
        </w:rPr>
        <w:t>Certain amounts in the prior period financial statements have been reclassified to conform to the presentation of the current period financial statements. These reclassifications had no effect on the previously reported net income.</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18" w:lineRule="exact"/>
        <w:rPr>
          <w:sz w:val="20"/>
          <w:szCs w:val="20"/>
          <w:color w:val="auto"/>
        </w:rPr>
      </w:pPr>
    </w:p>
    <w:p>
      <w:pPr>
        <w:ind w:left="600"/>
        <w:spacing w:after="0" w:line="271"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that affect the amounts reported in the consolidated financial statements, including the accompanying notes. The Company bases its estimates on historical factors, current circumstances, and the experience and judgment of management. The Company evaluates its estimates and assumptions on an ongoing basis. Actual results could differ from those estimates. Significant estimates reflected in the consolidated financial statements include revenue recognition, valuation of intangible assets, useful lives of long-lived assets and capitalized software costs, recovery of long-lived assets and goodwill, assumptions used for purpose of determining stock-based compensation, and income tax reserves, among others.</w:t>
      </w:r>
    </w:p>
    <w:p>
      <w:pPr>
        <w:spacing w:after="0" w:line="2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Company’s cash balances at December 31, 2018 and 2019 consisted entirely of bank deposits.</w:t>
      </w:r>
    </w:p>
    <w:p>
      <w:pPr>
        <w:spacing w:after="0" w:line="3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Certain Risks and Concentrations</w:t>
      </w:r>
    </w:p>
    <w:p>
      <w:pPr>
        <w:spacing w:after="0" w:line="118" w:lineRule="exact"/>
        <w:rPr>
          <w:sz w:val="20"/>
          <w:szCs w:val="20"/>
          <w:color w:val="auto"/>
        </w:rPr>
      </w:pPr>
    </w:p>
    <w:p>
      <w:pPr>
        <w:ind w:left="600"/>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and accounts receivable. The Company maintains cash deposits with several financial institutions in the United States which, at times, may exceed federally insured limits. Cash may be withdrawn or redeemed on demand. The Company believes that the financial institutions that hold its cash are financially sound and, accordingly, minimal credit risk exists with respect to these balances. The Company has not experienced any losses in such accounts.</w:t>
      </w:r>
    </w:p>
    <w:p>
      <w:pPr>
        <w:spacing w:after="0" w:line="76" w:lineRule="exact"/>
        <w:rPr>
          <w:sz w:val="20"/>
          <w:szCs w:val="20"/>
          <w:color w:val="auto"/>
        </w:rPr>
      </w:pPr>
    </w:p>
    <w:p>
      <w:pPr>
        <w:ind w:left="600" w:right="420"/>
        <w:spacing w:after="0" w:line="277" w:lineRule="auto"/>
        <w:rPr>
          <w:sz w:val="20"/>
          <w:szCs w:val="20"/>
          <w:color w:val="auto"/>
        </w:rPr>
      </w:pPr>
      <w:r>
        <w:rPr>
          <w:rFonts w:ascii="Times New Roman" w:cs="Times New Roman" w:eastAsia="Times New Roman" w:hAnsi="Times New Roman"/>
          <w:sz w:val="18"/>
          <w:szCs w:val="18"/>
          <w:color w:val="auto"/>
        </w:rPr>
        <w:t>The Company extends credit to its customers based on an evaluation of their ability to pay amounts due under contractual arrangements and generally does not obtain or require collateral.</w:t>
      </w:r>
    </w:p>
    <w:p>
      <w:pPr>
        <w:spacing w:after="0" w:line="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00"/>
          </w:cols>
          <w:pgMar w:left="320" w:top="454" w:right="57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600" w:right="20"/>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2018, three customers accounted for approximately 27%, 19%, and 15% of the Company’s revenue. At December 31, 2018, three customers accounted for 19%, 18% and 15% of the Company’s accounts receivable balance. For the year ended December 31, 2019, two customers accounted for approximately 24% and 23% of the Company’s revenue. At December 31, 2019, two customers accounted for 17% and 16% of the Company’s accounts receivable balance.</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118" w:lineRule="exact"/>
        <w:rPr>
          <w:sz w:val="20"/>
          <w:szCs w:val="20"/>
          <w:color w:val="auto"/>
        </w:rPr>
      </w:pPr>
    </w:p>
    <w:p>
      <w:pPr>
        <w:jc w:val="both"/>
        <w:ind w:left="600" w:right="20"/>
        <w:spacing w:after="0" w:line="277" w:lineRule="auto"/>
        <w:rPr>
          <w:sz w:val="20"/>
          <w:szCs w:val="20"/>
          <w:color w:val="auto"/>
        </w:rPr>
      </w:pPr>
      <w:r>
        <w:rPr>
          <w:rFonts w:ascii="Times New Roman" w:cs="Times New Roman" w:eastAsia="Times New Roman" w:hAnsi="Times New Roman"/>
          <w:sz w:val="17"/>
          <w:szCs w:val="17"/>
          <w:color w:val="auto"/>
        </w:rPr>
        <w:t>Accounts receivable are recorded at the invoiced amount by various customers (primarily PBMs), net of an allowance for doubtful accounts. The allowance for doubtful accounts is determined by management based on historical losses, specific customer circumstances, and general economic conditions. Periodically, management reviews accounts receivable and adjusts the allowance based on circumstances and charges off uncollectible receivables when all attempts to collect have failed. As of December 31, 2018 and 2019, the allowance for doubtful accounts was not material.</w:t>
      </w:r>
    </w:p>
    <w:p>
      <w:pPr>
        <w:spacing w:after="0" w:line="2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18" w:lineRule="exact"/>
        <w:rPr>
          <w:sz w:val="20"/>
          <w:szCs w:val="20"/>
          <w:color w:val="auto"/>
        </w:rPr>
      </w:pPr>
    </w:p>
    <w:p>
      <w:pPr>
        <w:ind w:left="600" w:right="480"/>
        <w:spacing w:after="0" w:line="257"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Depreciation is computed using the straight-line method over the estimated useful lives of the assets, which are five years for furniture and fixtures and three years for computer equipment. Leasehold improvements are depreciated on the straight-line basis over the shorter of the life of the asset or the remaining lease term. Expenditures for repairs and maintenance are charged to general and administrative expenses as incurred.</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8" w:lineRule="exact"/>
        <w:rPr>
          <w:sz w:val="20"/>
          <w:szCs w:val="20"/>
          <w:color w:val="auto"/>
        </w:rPr>
      </w:pPr>
    </w:p>
    <w:p>
      <w:pPr>
        <w:ind w:left="600" w:right="40"/>
        <w:spacing w:after="0" w:line="262" w:lineRule="auto"/>
        <w:rPr>
          <w:sz w:val="20"/>
          <w:szCs w:val="20"/>
          <w:color w:val="auto"/>
        </w:rPr>
      </w:pPr>
      <w:r>
        <w:rPr>
          <w:rFonts w:ascii="Times New Roman" w:cs="Times New Roman" w:eastAsia="Times New Roman" w:hAnsi="Times New Roman"/>
          <w:sz w:val="18"/>
          <w:szCs w:val="18"/>
          <w:color w:val="auto"/>
        </w:rPr>
        <w:t>The results of businesses acquired in a business combination are included in the Company’s consolidated financial statements from the date of the acquisition. Purchase accounting results in assets and liabilities of an acquired business being recorded at their estimated fair values on the acquisition date. Any excess consideration over the fair value of assets acquired and liabilities assumed is recognized as goodwill.</w:t>
      </w:r>
    </w:p>
    <w:p>
      <w:pPr>
        <w:spacing w:after="0" w:line="70" w:lineRule="exact"/>
        <w:rPr>
          <w:sz w:val="20"/>
          <w:szCs w:val="20"/>
          <w:color w:val="auto"/>
        </w:rPr>
      </w:pPr>
    </w:p>
    <w:p>
      <w:pPr>
        <w:ind w:left="600" w:right="180"/>
        <w:spacing w:after="0" w:line="255" w:lineRule="auto"/>
        <w:rPr>
          <w:sz w:val="20"/>
          <w:szCs w:val="20"/>
          <w:color w:val="auto"/>
        </w:rPr>
      </w:pPr>
      <w:r>
        <w:rPr>
          <w:rFonts w:ascii="Times New Roman" w:cs="Times New Roman" w:eastAsia="Times New Roman" w:hAnsi="Times New Roman"/>
          <w:sz w:val="18"/>
          <w:szCs w:val="18"/>
          <w:color w:val="auto"/>
        </w:rPr>
        <w:t>The Company performs valuations of assets acquired and liabilities assumed for an acquisition and allocates the purchase price to its respective net tangible and intangible assets. Determining the fair value of assets acquired and liabilities assumed requires management to use significant judgment and estimates including the selection of valuation methodologies, estimates of future revenue, costs, cash flows, discount rates and selection of comparable companies. For material acquisitions, the Company may engage the assistance of valuation specialists in concluding on fair value measurements of certain assets acquired or liabilities assumed in a business combination.</w:t>
      </w:r>
    </w:p>
    <w:p>
      <w:pPr>
        <w:spacing w:after="0" w:line="76" w:lineRule="exact"/>
        <w:rPr>
          <w:sz w:val="20"/>
          <w:szCs w:val="20"/>
          <w:color w:val="auto"/>
        </w:rPr>
      </w:pPr>
    </w:p>
    <w:p>
      <w:pPr>
        <w:ind w:left="600" w:right="140"/>
        <w:spacing w:after="0" w:line="277" w:lineRule="auto"/>
        <w:rPr>
          <w:sz w:val="20"/>
          <w:szCs w:val="20"/>
          <w:color w:val="auto"/>
        </w:rPr>
      </w:pPr>
      <w:r>
        <w:rPr>
          <w:rFonts w:ascii="Times New Roman" w:cs="Times New Roman" w:eastAsia="Times New Roman" w:hAnsi="Times New Roman"/>
          <w:sz w:val="18"/>
          <w:szCs w:val="18"/>
          <w:color w:val="auto"/>
        </w:rPr>
        <w:t>Transaction costs associated with business combinations are expensed as incurred and are included in general and administrative expenses in the consolidated statements of operations.</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18" w:lineRule="exact"/>
        <w:rPr>
          <w:sz w:val="20"/>
          <w:szCs w:val="20"/>
          <w:color w:val="auto"/>
        </w:rPr>
      </w:pPr>
    </w:p>
    <w:p>
      <w:pPr>
        <w:ind w:left="600"/>
        <w:spacing w:after="0" w:line="252"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and the amount recognized for noncontrolling interest, if any, over the fair value of the identifiable assets acquired and liabilities assumed in a business combination. The Company has one reporting unit during 2018 and 2019. The Company reviews goodwill for impairment annually in the fourth quarter and whenever events or changes in circumstances indicate the carrying amount of goodwill may not be recoverable. When testing goodwill for impairment, the Company may first perform an optional qualitative assessment. If the Company determines it is not more likely than not the reporting unit’s fair value is less than its carrying value, then no further analysis is necessary. If the Company determines that it is more likely than not that the fair value of its reporting unit is less than its carrying amount, then the quantitative impairment test will be performed. Under the quantitative impairment test, if the carrying amount of the Company’s reporting unit exceeds its</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40"/>
          </w:cols>
          <w:pgMar w:left="320" w:top="454" w:right="53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600" w:right="480"/>
        <w:spacing w:after="0" w:line="277" w:lineRule="auto"/>
        <w:rPr>
          <w:sz w:val="20"/>
          <w:szCs w:val="20"/>
          <w:color w:val="auto"/>
        </w:rPr>
      </w:pPr>
      <w:r>
        <w:rPr>
          <w:rFonts w:ascii="Times New Roman" w:cs="Times New Roman" w:eastAsia="Times New Roman" w:hAnsi="Times New Roman"/>
          <w:sz w:val="18"/>
          <w:szCs w:val="18"/>
          <w:color w:val="auto"/>
        </w:rPr>
        <w:t>fair value, the Company will recognize an impairment loss in an amount equal to that excess but limited to the total amount of goodwill. No impairments were recorded in 2018 and 2019.</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18" w:lineRule="exact"/>
        <w:rPr>
          <w:sz w:val="20"/>
          <w:szCs w:val="20"/>
          <w:color w:val="auto"/>
        </w:rPr>
      </w:pPr>
    </w:p>
    <w:p>
      <w:pPr>
        <w:ind w:left="600"/>
        <w:spacing w:after="0" w:line="255" w:lineRule="auto"/>
        <w:rPr>
          <w:sz w:val="20"/>
          <w:szCs w:val="20"/>
          <w:color w:val="auto"/>
        </w:rPr>
      </w:pPr>
      <w:r>
        <w:rPr>
          <w:rFonts w:ascii="Times New Roman" w:cs="Times New Roman" w:eastAsia="Times New Roman" w:hAnsi="Times New Roman"/>
          <w:sz w:val="18"/>
          <w:szCs w:val="18"/>
          <w:color w:val="auto"/>
        </w:rPr>
        <w:t>Intangible assets reflect the value of trademarks, customer relationships, developed technology, and backlog recorded in connection with the Company’s acquisitions. Purchased intangible assets are recorded at their acquisition date fair value, less accumulated amortization. The Company determines the appropriate useful life of intangible assets by performing an analysis of expected cash flows of the acquired assets. Intangible assets are amortized over their estimated useful lives on a straight-line basis, which approximates the pattern in which the economic benefits of the assets are consumed.</w:t>
      </w:r>
    </w:p>
    <w:p>
      <w:pPr>
        <w:spacing w:after="0" w:line="2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Capitalized Software Costs</w:t>
      </w:r>
    </w:p>
    <w:p>
      <w:pPr>
        <w:spacing w:after="0" w:line="116" w:lineRule="exact"/>
        <w:rPr>
          <w:sz w:val="20"/>
          <w:szCs w:val="20"/>
          <w:color w:val="auto"/>
        </w:rPr>
      </w:pPr>
    </w:p>
    <w:p>
      <w:pPr>
        <w:jc w:val="both"/>
        <w:ind w:left="600" w:right="80"/>
        <w:spacing w:after="0" w:line="270" w:lineRule="auto"/>
        <w:rPr>
          <w:sz w:val="20"/>
          <w:szCs w:val="20"/>
          <w:color w:val="auto"/>
        </w:rPr>
      </w:pPr>
      <w:r>
        <w:rPr>
          <w:rFonts w:ascii="Times New Roman" w:cs="Times New Roman" w:eastAsia="Times New Roman" w:hAnsi="Times New Roman"/>
          <w:sz w:val="17"/>
          <w:szCs w:val="17"/>
          <w:color w:val="auto"/>
        </w:rPr>
        <w:t xml:space="preserve">The Company accounts for its internal-use software costs, including purchased software, in accordance with ASC 350-40, </w:t>
      </w:r>
      <w:r>
        <w:rPr>
          <w:rFonts w:ascii="Times New Roman" w:cs="Times New Roman" w:eastAsia="Times New Roman" w:hAnsi="Times New Roman"/>
          <w:sz w:val="17"/>
          <w:szCs w:val="17"/>
          <w:i w:val="1"/>
          <w:iCs w:val="1"/>
          <w:color w:val="auto"/>
        </w:rPr>
        <w:t>Internal-Use Software</w:t>
      </w:r>
      <w:r>
        <w:rPr>
          <w:rFonts w:ascii="Times New Roman" w:cs="Times New Roman" w:eastAsia="Times New Roman" w:hAnsi="Times New Roman"/>
          <w:sz w:val="17"/>
          <w:szCs w:val="17"/>
          <w:color w:val="auto"/>
        </w:rPr>
        <w:t>. Capitalization of internal-use costs begins when the preliminary project stage is complete, management with the relevant authority authorizes and commits to funding the project, it is probable that the project will be completed, and the software will be used for the function intended.</w:t>
      </w:r>
    </w:p>
    <w:p>
      <w:pPr>
        <w:spacing w:after="0" w:line="2" w:lineRule="exact"/>
        <w:rPr>
          <w:sz w:val="20"/>
          <w:szCs w:val="20"/>
          <w:color w:val="auto"/>
        </w:rPr>
      </w:pPr>
    </w:p>
    <w:p>
      <w:pPr>
        <w:ind w:left="600" w:right="40"/>
        <w:spacing w:after="0" w:line="250" w:lineRule="auto"/>
        <w:rPr>
          <w:sz w:val="20"/>
          <w:szCs w:val="20"/>
          <w:color w:val="auto"/>
        </w:rPr>
      </w:pPr>
      <w:r>
        <w:rPr>
          <w:rFonts w:ascii="Times New Roman" w:cs="Times New Roman" w:eastAsia="Times New Roman" w:hAnsi="Times New Roman"/>
          <w:sz w:val="18"/>
          <w:szCs w:val="18"/>
          <w:color w:val="auto"/>
        </w:rPr>
        <w:t>Capitalization of these costs ceases once the project is substantially complete and the software is ready for its intended purpose. Costs incurred for post-configuration training, maintenance and minor modifications or enhancements are expensed to product development and technology costs in the consolidated statements of operations as incurred. Capitalized internal-use costs are amortized on a straight-line basis over their estimated useful life of three years.</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16" w:lineRule="exact"/>
        <w:rPr>
          <w:sz w:val="20"/>
          <w:szCs w:val="20"/>
          <w:color w:val="auto"/>
        </w:rPr>
      </w:pPr>
    </w:p>
    <w:p>
      <w:pPr>
        <w:ind w:left="600" w:right="200"/>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the impairment of long-lived assets in accordance with ASC 360,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In accordance with ASC 360, long-lived assets to be held and used are reviewed for impairment when events or changes in circumstances indicate that their carrying value may not be recoverable. The Company performs impairment testing at the asset group level that represents the lowest level for which identifiable cash flows are largely independent of the cash flows of other assets and liabilities. An impairment loss is recognized when estimated undiscounted future cash flows expected to result from the use of the asset and its eventual disposition are less than its carrying value. If an asset is determined to be impaired, the impairment is measured by the amount that the carrying value of the asset exceeds its fair value. There was no impairment of long-lived assets identified during the years ended December 31, 2018 and 2019.</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6" w:lineRule="exact"/>
        <w:rPr>
          <w:sz w:val="20"/>
          <w:szCs w:val="20"/>
          <w:color w:val="auto"/>
        </w:rPr>
      </w:pPr>
    </w:p>
    <w:p>
      <w:pPr>
        <w:ind w:left="600" w:right="280"/>
        <w:spacing w:after="0" w:line="258" w:lineRule="auto"/>
        <w:rPr>
          <w:sz w:val="20"/>
          <w:szCs w:val="20"/>
          <w:color w:val="auto"/>
        </w:rPr>
      </w:pPr>
      <w:r>
        <w:rPr>
          <w:rFonts w:ascii="Times New Roman" w:cs="Times New Roman" w:eastAsia="Times New Roman" w:hAnsi="Times New Roman"/>
          <w:sz w:val="18"/>
          <w:szCs w:val="18"/>
          <w:color w:val="auto"/>
        </w:rPr>
        <w:t xml:space="preserve">As of and for the year ended December 31, 2018, leases were accounted for in accordance with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Under ASC 840, operating leases were not recorded on the balance sheet and the Company recognized lease expense on a straight-line basis over the lease term, and the difference between lease payments and straight-line rent was recorded as deferred rent as a current and noncurrent liability on the consolidated balance sheet.</w:t>
      </w:r>
    </w:p>
    <w:p>
      <w:pPr>
        <w:spacing w:after="0" w:line="72" w:lineRule="exact"/>
        <w:rPr>
          <w:sz w:val="20"/>
          <w:szCs w:val="20"/>
          <w:color w:val="auto"/>
        </w:rPr>
      </w:pPr>
    </w:p>
    <w:p>
      <w:pPr>
        <w:ind w:left="600" w:right="140"/>
        <w:spacing w:after="0" w:line="258" w:lineRule="auto"/>
        <w:rPr>
          <w:sz w:val="20"/>
          <w:szCs w:val="20"/>
          <w:color w:val="auto"/>
        </w:rPr>
      </w:pPr>
      <w:r>
        <w:rPr>
          <w:rFonts w:ascii="Times New Roman" w:cs="Times New Roman" w:eastAsia="Times New Roman" w:hAnsi="Times New Roman"/>
          <w:sz w:val="18"/>
          <w:szCs w:val="18"/>
          <w:color w:val="auto"/>
        </w:rPr>
        <w:t xml:space="preserve">On January 1, 2019, the Company adopted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on a modified retrospective basis, and accordingly, the 2018 consolidated financial statements continue to reflect the application of ASC 840. ASC 842 provided a number of optional practical expedients in transition. The Company elected the “package of practical expedients,” which permitted the Company not to reassess whether a contract is or contains a lease, lease classification and initial direct costs.</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60"/>
          </w:cols>
          <w:pgMar w:left="320" w:top="454" w:right="51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600" w:right="20"/>
        <w:spacing w:after="0" w:line="262" w:lineRule="auto"/>
        <w:rPr>
          <w:sz w:val="20"/>
          <w:szCs w:val="20"/>
          <w:color w:val="auto"/>
        </w:rPr>
      </w:pPr>
      <w:r>
        <w:rPr>
          <w:rFonts w:ascii="Times New Roman" w:cs="Times New Roman" w:eastAsia="Times New Roman" w:hAnsi="Times New Roman"/>
          <w:sz w:val="18"/>
          <w:szCs w:val="18"/>
          <w:color w:val="auto"/>
        </w:rPr>
        <w:t>The Company has elected to account for lease and nonlease components as a single lease component and also elected not to record operating lease right-of-use assets and operating lease liabilities for leases with an initial term of 12 months or less. Lease payments for short-term leases are recognized as lease expense on a straight-line basis over the lease term.</w:t>
      </w:r>
    </w:p>
    <w:p>
      <w:pPr>
        <w:spacing w:after="0" w:line="70" w:lineRule="exact"/>
        <w:rPr>
          <w:sz w:val="20"/>
          <w:szCs w:val="20"/>
          <w:color w:val="auto"/>
        </w:rPr>
      </w:pPr>
    </w:p>
    <w:p>
      <w:pPr>
        <w:ind w:left="600" w:right="60"/>
        <w:spacing w:after="0" w:line="252" w:lineRule="auto"/>
        <w:rPr>
          <w:sz w:val="20"/>
          <w:szCs w:val="20"/>
          <w:color w:val="auto"/>
        </w:rPr>
      </w:pPr>
      <w:r>
        <w:rPr>
          <w:rFonts w:ascii="Times New Roman" w:cs="Times New Roman" w:eastAsia="Times New Roman" w:hAnsi="Times New Roman"/>
          <w:sz w:val="18"/>
          <w:szCs w:val="18"/>
          <w:color w:val="auto"/>
        </w:rPr>
        <w:t>The Company determines if a contract is, or contains, a lease at inception. All the Company’s leases are operating leases. Leases are included in the operating lease right-of-use assets, operating lease liabilities, current and operating lease liabilities, net of current portion on the consolidated balance sheet. Right-of-use assets and lease liabilities are recognized at the lease commencement date based on the present value of lease payments over the lease term discounted using the Company’s incremental borrowing rate. Lease payments include fixed payments and variable payments based on an index or rate, if any, and are recognized as lease expense on a straight-line basis over the term of the lease. The lease term includes options to extend or terminate the lease when it is reasonably certain they will be exercised. As none of the Company’s leases provide an implicit rate, the incremental borrowing rate used is estimated based on what the Company would be required to pay for a collateralized loan over a similar term as the lease. Variable lease payments not based on a rate or index are expensed as incurred.</w:t>
      </w:r>
    </w:p>
    <w:p>
      <w:pPr>
        <w:spacing w:after="0" w:line="2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18" w:lineRule="exact"/>
        <w:rPr>
          <w:sz w:val="20"/>
          <w:szCs w:val="20"/>
          <w:color w:val="auto"/>
        </w:rPr>
      </w:pPr>
    </w:p>
    <w:p>
      <w:pPr>
        <w:ind w:left="600" w:right="140"/>
        <w:spacing w:after="0" w:line="257" w:lineRule="auto"/>
        <w:rPr>
          <w:sz w:val="20"/>
          <w:szCs w:val="20"/>
          <w:color w:val="auto"/>
        </w:rPr>
      </w:pPr>
      <w:r>
        <w:rPr>
          <w:rFonts w:ascii="Times New Roman" w:cs="Times New Roman" w:eastAsia="Times New Roman" w:hAnsi="Times New Roman"/>
          <w:sz w:val="18"/>
          <w:szCs w:val="18"/>
          <w:color w:val="auto"/>
        </w:rPr>
        <w:t>Costs incurred in connection with the issuance of long-term debt are capitalized and amortized to interest expense over the contractual life of the loan using the effective-interest method. These costs are recorded as a reduction of the related long-term debt balance on the accompanying consolidated balance sheets. Costs incurred in connection with the issuance of line of credit facilities are recorded in other assets and are amortized to interest expense on a straight-line basis over the term of the line of credit facility.</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8" w:lineRule="exact"/>
        <w:rPr>
          <w:sz w:val="20"/>
          <w:szCs w:val="20"/>
          <w:color w:val="auto"/>
        </w:rPr>
      </w:pPr>
    </w:p>
    <w:p>
      <w:pPr>
        <w:ind w:left="600" w:right="240"/>
        <w:spacing w:after="0" w:line="277" w:lineRule="auto"/>
        <w:rPr>
          <w:sz w:val="20"/>
          <w:szCs w:val="20"/>
          <w:color w:val="auto"/>
        </w:rPr>
      </w:pPr>
      <w:r>
        <w:rPr>
          <w:rFonts w:ascii="Times New Roman" w:cs="Times New Roman" w:eastAsia="Times New Roman" w:hAnsi="Times New Roman"/>
          <w:sz w:val="17"/>
          <w:szCs w:val="17"/>
          <w:color w:val="auto"/>
        </w:rPr>
        <w:t>Deferred income tax assets and liabilities are determined based upon the net tax effects of the differences between the Company’s consolidated financial statements carrying amounts and the tax basis of assets and liabilities and are measured using the enacted tax rate expected to apply to taxable income in the years in which the differences are expected to be reversed. A valuation allowance is used to reduce some or all of the deferred tax assets if, based upon the weight of available evidence, it is more likely than not that those deferred tax assets will not be realized.</w:t>
      </w:r>
    </w:p>
    <w:p>
      <w:pPr>
        <w:spacing w:after="0" w:line="59" w:lineRule="exact"/>
        <w:rPr>
          <w:sz w:val="20"/>
          <w:szCs w:val="20"/>
          <w:color w:val="auto"/>
        </w:rPr>
      </w:pPr>
    </w:p>
    <w:p>
      <w:pPr>
        <w:ind w:left="600" w:right="120"/>
        <w:spacing w:after="0" w:line="255"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The Company recognizes interest and penalties accrued related to its uncertain tax positions in income tax expense in the accompanying consolidated statements of operations.</w:t>
      </w:r>
    </w:p>
    <w:p>
      <w:pPr>
        <w:spacing w:after="0" w:line="2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8" w:lineRule="exact"/>
        <w:rPr>
          <w:sz w:val="20"/>
          <w:szCs w:val="20"/>
          <w:color w:val="auto"/>
        </w:rPr>
      </w:pPr>
    </w:p>
    <w:p>
      <w:pPr>
        <w:ind w:left="600" w:right="160"/>
        <w:spacing w:after="0" w:line="277" w:lineRule="auto"/>
        <w:rPr>
          <w:sz w:val="20"/>
          <w:szCs w:val="20"/>
          <w:color w:val="auto"/>
        </w:rPr>
      </w:pPr>
      <w:r>
        <w:rPr>
          <w:rFonts w:ascii="Times New Roman" w:cs="Times New Roman" w:eastAsia="Times New Roman" w:hAnsi="Times New Roman"/>
          <w:sz w:val="18"/>
          <w:szCs w:val="18"/>
          <w:color w:val="auto"/>
        </w:rPr>
        <w:t>The Company’s revenue is primarily derived from prescription transaction fees generated when pharmacies fill prescriptions for consumers. The Company also generates other revenue from subscription, advertising and telehealth services.</w:t>
      </w:r>
    </w:p>
    <w:p>
      <w:pPr>
        <w:spacing w:after="0" w:line="55" w:lineRule="exact"/>
        <w:rPr>
          <w:sz w:val="20"/>
          <w:szCs w:val="20"/>
          <w:color w:val="auto"/>
        </w:rPr>
      </w:pPr>
    </w:p>
    <w:p>
      <w:pPr>
        <w:ind w:left="600"/>
        <w:spacing w:after="0" w:line="270" w:lineRule="auto"/>
        <w:rPr>
          <w:sz w:val="20"/>
          <w:szCs w:val="20"/>
          <w:color w:val="auto"/>
        </w:rPr>
      </w:pPr>
      <w:r>
        <w:rPr>
          <w:rFonts w:ascii="Times New Roman" w:cs="Times New Roman" w:eastAsia="Times New Roman" w:hAnsi="Times New Roman"/>
          <w:sz w:val="17"/>
          <w:szCs w:val="17"/>
          <w:color w:val="auto"/>
        </w:rPr>
        <w:t xml:space="preserve">On January 1, 2019, the Company adopted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on a modified retrospective basis. The adoption of ASC 606 was applied to all contracts at the date of initial application and did not have a material impact on the Company’s revenue recognition. Prior to January 1, 2019, the Company applied ASC 605, </w:t>
      </w: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and recognized revenue when the following criteria have been met:</w:t>
      </w:r>
    </w:p>
    <w:p>
      <w:pPr>
        <w:spacing w:after="0" w:line="2" w:lineRule="exact"/>
        <w:rPr>
          <w:sz w:val="20"/>
          <w:szCs w:val="20"/>
          <w:color w:val="auto"/>
        </w:rPr>
      </w:pPr>
    </w:p>
    <w:p>
      <w:pPr>
        <w:ind w:left="600" w:firstLine="10"/>
        <w:spacing w:after="0" w:line="255" w:lineRule="auto"/>
        <w:tabs>
          <w:tab w:leader="none" w:pos="85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persuasive evidence of an arrangement exists; (2) delivery has occurred or services have been rendered; (3) the price is fixed and determinable; and (4) collectability is reasonable assured.</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60"/>
          </w:cols>
          <w:pgMar w:left="320" w:top="454" w:right="51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600" w:right="140"/>
        <w:spacing w:after="0" w:line="277" w:lineRule="auto"/>
        <w:rPr>
          <w:sz w:val="20"/>
          <w:szCs w:val="20"/>
          <w:color w:val="auto"/>
        </w:rPr>
      </w:pPr>
      <w:r>
        <w:rPr>
          <w:rFonts w:ascii="Times New Roman" w:cs="Times New Roman" w:eastAsia="Times New Roman" w:hAnsi="Times New Roman"/>
          <w:sz w:val="18"/>
          <w:szCs w:val="18"/>
          <w:color w:val="auto"/>
        </w:rPr>
        <w:t>Under ASC 606, the Company recognizes revenue when control of the promised good or service is transferred to the customer in an amount that reflects the consideration for which the Company is expected to be entitled to in exchange for those services.</w:t>
      </w:r>
    </w:p>
    <w:p>
      <w:pPr>
        <w:spacing w:after="0" w:line="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the years ended December 31, 2018 and 2019, revenue comprises the following:</w:t>
      </w:r>
    </w:p>
    <w:p>
      <w:pPr>
        <w:spacing w:after="0" w:line="241"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0" w:type="dxa"/>
            <w:vAlign w:val="bottom"/>
          </w:tcPr>
          <w:p>
            <w:pPr>
              <w:spacing w:after="0"/>
              <w:rPr>
                <w:sz w:val="14"/>
                <w:szCs w:val="14"/>
                <w:color w:val="auto"/>
              </w:rPr>
            </w:pPr>
          </w:p>
        </w:tc>
        <w:tc>
          <w:tcPr>
            <w:tcW w:w="19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4380" w:type="dxa"/>
            <w:vAlign w:val="bottom"/>
            <w:vMerge w:val="continue"/>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Borders>
              <w:top w:val="single" w:sz="8" w:color="auto"/>
            </w:tcBorders>
          </w:tcPr>
          <w:p>
            <w:pPr>
              <w:jc w:val="right"/>
              <w:ind w:right="123"/>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1180" w:type="dxa"/>
            <w:vAlign w:val="bottom"/>
            <w:tcBorders>
              <w:top w:val="single" w:sz="8" w:color="auto"/>
            </w:tcBorders>
            <w:gridSpan w:val="2"/>
          </w:tcPr>
          <w:p>
            <w:pPr>
              <w:jc w:val="right"/>
              <w:ind w:right="131"/>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Prescription transactions revenue</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$242,911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$ 364,582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0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4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249,522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$ 388,224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Prescription Transactions Revenue</w:t>
      </w:r>
    </w:p>
    <w:p>
      <w:pPr>
        <w:spacing w:after="0" w:line="118" w:lineRule="exact"/>
        <w:rPr>
          <w:sz w:val="20"/>
          <w:szCs w:val="20"/>
          <w:color w:val="auto"/>
        </w:rPr>
      </w:pPr>
    </w:p>
    <w:p>
      <w:pPr>
        <w:ind w:left="600"/>
        <w:spacing w:after="0" w:line="255" w:lineRule="auto"/>
        <w:rPr>
          <w:sz w:val="20"/>
          <w:szCs w:val="20"/>
          <w:color w:val="auto"/>
        </w:rPr>
      </w:pPr>
      <w:r>
        <w:rPr>
          <w:rFonts w:ascii="Times New Roman" w:cs="Times New Roman" w:eastAsia="Times New Roman" w:hAnsi="Times New Roman"/>
          <w:sz w:val="18"/>
          <w:szCs w:val="18"/>
          <w:color w:val="auto"/>
        </w:rPr>
        <w:t>Prescription transactions revenue is primarily generated from PBMs, or customers, when a prescription is filled with a GoodRx code provided through the Company’s platform. In its contracts with customers, the nature of the Company’s promise is to direct prescription volume through its platform, which may include marketing through its mobile apps, websites, and GoodRx cards. These activities are not distinct from each other and are not separate performance obligations. The Company’s performance obligation is to connect consumers with pharmacies that are contracted with the Company’s customers. The Company has no performance obligation to fill prescriptions.</w:t>
      </w:r>
    </w:p>
    <w:p>
      <w:pPr>
        <w:spacing w:after="0" w:line="76" w:lineRule="exact"/>
        <w:rPr>
          <w:sz w:val="20"/>
          <w:szCs w:val="20"/>
          <w:color w:val="auto"/>
        </w:rPr>
      </w:pPr>
    </w:p>
    <w:p>
      <w:pPr>
        <w:ind w:left="600" w:right="60"/>
        <w:spacing w:after="0" w:line="257" w:lineRule="auto"/>
        <w:rPr>
          <w:sz w:val="20"/>
          <w:szCs w:val="20"/>
          <w:color w:val="auto"/>
        </w:rPr>
      </w:pPr>
      <w:r>
        <w:rPr>
          <w:rFonts w:ascii="Times New Roman" w:cs="Times New Roman" w:eastAsia="Times New Roman" w:hAnsi="Times New Roman"/>
          <w:sz w:val="18"/>
          <w:szCs w:val="18"/>
          <w:color w:val="auto"/>
        </w:rPr>
        <w:t>Contracts with PBMs provide that the Company is entitled to either a percentage of fees the PBM charges the pharmacy or a fixed amount per type of drug prescription, when a consumer uses a GoodRx code. The Company’s performance obligation is satisfied upon the completion of pharmacies filling prescriptions. The Company recognizes revenues for its estimated fee due from the PBM at a point in time when a prescription is filled.</w:t>
      </w:r>
    </w:p>
    <w:p>
      <w:pPr>
        <w:spacing w:after="0" w:line="75" w:lineRule="exact"/>
        <w:rPr>
          <w:sz w:val="20"/>
          <w:szCs w:val="20"/>
          <w:color w:val="auto"/>
        </w:rPr>
      </w:pPr>
    </w:p>
    <w:p>
      <w:pPr>
        <w:ind w:left="600"/>
        <w:spacing w:after="0" w:line="253" w:lineRule="auto"/>
        <w:rPr>
          <w:sz w:val="20"/>
          <w:szCs w:val="20"/>
          <w:color w:val="auto"/>
        </w:rPr>
      </w:pPr>
      <w:r>
        <w:rPr>
          <w:rFonts w:ascii="Times New Roman" w:cs="Times New Roman" w:eastAsia="Times New Roman" w:hAnsi="Times New Roman"/>
          <w:sz w:val="18"/>
          <w:szCs w:val="18"/>
          <w:color w:val="auto"/>
        </w:rPr>
        <w:t>The Company receives reporting from the PBMs of the number of prescriptions and amount of consideration to which it is entitled at a prescription level. Certain arrangements with PBMs provide that the amount of consideration the Company is entitled to is based on the volume of prescription fills each month. In addition, the amount of consideration for which the Company is entitled may be adjusted in the event that a fill is determined ineligible, or based upon other adjustments allowed under the contracts with PBMs. The Company estimates the amount it expects to be entitled to using the expected value method based on historical experience of the number of prescriptions filled, ineligible fills and applicable rates.</w:t>
      </w:r>
    </w:p>
    <w:p>
      <w:pPr>
        <w:spacing w:after="0" w:line="80" w:lineRule="exact"/>
        <w:rPr>
          <w:sz w:val="20"/>
          <w:szCs w:val="20"/>
          <w:color w:val="auto"/>
        </w:rPr>
      </w:pPr>
    </w:p>
    <w:p>
      <w:pPr>
        <w:ind w:left="600" w:right="260"/>
        <w:spacing w:after="0" w:line="277" w:lineRule="auto"/>
        <w:rPr>
          <w:sz w:val="20"/>
          <w:szCs w:val="20"/>
          <w:color w:val="auto"/>
        </w:rPr>
      </w:pPr>
      <w:r>
        <w:rPr>
          <w:rFonts w:ascii="Times New Roman" w:cs="Times New Roman" w:eastAsia="Times New Roman" w:hAnsi="Times New Roman"/>
          <w:sz w:val="18"/>
          <w:szCs w:val="18"/>
          <w:color w:val="auto"/>
        </w:rPr>
        <w:t>The Company generally invoices the PBMs for fills that occurred in the preceding month. Payment terms are typically 30 days after invoicing; however, portions of payments may not be received for up to five months to the extent of adjustments for ineligible fills.</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Other revenue consists of subscription revenue, advertising revenue, and telehealth revenue.</w:t>
      </w:r>
    </w:p>
    <w:p>
      <w:pPr>
        <w:spacing w:after="0" w:line="114" w:lineRule="exact"/>
        <w:rPr>
          <w:sz w:val="20"/>
          <w:szCs w:val="20"/>
          <w:color w:val="auto"/>
        </w:rPr>
      </w:pPr>
    </w:p>
    <w:p>
      <w:pPr>
        <w:ind w:left="600" w:right="40"/>
        <w:spacing w:after="0" w:line="252" w:lineRule="auto"/>
        <w:rPr>
          <w:sz w:val="20"/>
          <w:szCs w:val="20"/>
          <w:color w:val="auto"/>
        </w:rPr>
      </w:pPr>
      <w:r>
        <w:rPr>
          <w:rFonts w:ascii="Times New Roman" w:cs="Times New Roman" w:eastAsia="Times New Roman" w:hAnsi="Times New Roman"/>
          <w:sz w:val="18"/>
          <w:szCs w:val="18"/>
          <w:color w:val="auto"/>
        </w:rPr>
        <w:t>Subscription revenue consists of subscriptions to the GoodRx Gold plan (the “Gold plan”) and the Kroger Savings Club powered by GoodRx (the “Kroger plan”). Under the Gold plan, subscribers purchase a monthly subscription that provides access to lower prices for prescriptions. Subscribers can cancel the Gold subscription at any time. The Company recognizes revenue for the Gold plan over the subscription period. Under the Kroger plan, subscribers pay an annual upfront fee for a subscription that provides access to lower prices on prescriptions at Kroger pharmacies. At the commencement of the subscription term, subscribers pay an annual fee to the Company which the Company shares with Kroger. Kroger plan subscription fees are generally nonrefundable to the subscriber after the first 30 days unless the Company cancels the subscription, in which case the subscriber is entitled to a pro rata refund. The Company recognizes revenue for the Kroger plan over the subscription period, net of the fee shared with Kroger. The</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40"/>
          </w:cols>
          <w:pgMar w:left="320" w:top="454" w:right="5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both"/>
        <w:ind w:left="600" w:right="460"/>
        <w:spacing w:after="0" w:line="262" w:lineRule="auto"/>
        <w:rPr>
          <w:sz w:val="20"/>
          <w:szCs w:val="20"/>
          <w:color w:val="auto"/>
        </w:rPr>
      </w:pPr>
      <w:r>
        <w:rPr>
          <w:rFonts w:ascii="Times New Roman" w:cs="Times New Roman" w:eastAsia="Times New Roman" w:hAnsi="Times New Roman"/>
          <w:sz w:val="18"/>
          <w:szCs w:val="18"/>
          <w:color w:val="auto"/>
        </w:rPr>
        <w:t>amount of deferred revenue recorded related to these plans as of December 31, 2018 and 2019 is $0.3 million and $3.2 million, respectively. Substantially all of the deferred revenue included in the balance sheet at December 31, 2018 was recognized as revenue during 2019 and the Company expects substantially all of the deferred revenue at December 31, 2019 to be recognized as revenue in 2020.</w:t>
      </w:r>
    </w:p>
    <w:p>
      <w:pPr>
        <w:spacing w:after="0" w:line="70" w:lineRule="exact"/>
        <w:rPr>
          <w:sz w:val="20"/>
          <w:szCs w:val="20"/>
          <w:color w:val="auto"/>
        </w:rPr>
      </w:pPr>
    </w:p>
    <w:p>
      <w:pPr>
        <w:ind w:left="600"/>
        <w:spacing w:after="0" w:line="255" w:lineRule="auto"/>
        <w:rPr>
          <w:sz w:val="20"/>
          <w:szCs w:val="20"/>
          <w:color w:val="auto"/>
        </w:rPr>
      </w:pPr>
      <w:r>
        <w:rPr>
          <w:rFonts w:ascii="Times New Roman" w:cs="Times New Roman" w:eastAsia="Times New Roman" w:hAnsi="Times New Roman"/>
          <w:sz w:val="18"/>
          <w:szCs w:val="18"/>
          <w:color w:val="auto"/>
        </w:rPr>
        <w:t>Advertising customers may purchase advertisements for a fixed fee that appear on the Company’s apps and websites for a specified period of time, and revenue is recognized over the term of the arrangement. Customers may also purchase advertisements where the Company charges fees on a cost-per-click basis or they may purchase advertisements placed in the Company’s direct mailers. Revenue for these arrangements is recognized at a point in time when the advertisement is clicked or when the direct mailer is shipped. The amount of deferred revenue recorded related to these services as of December 31, 2018 and 2019 is $0 and $0.3 million, respectively.</w:t>
      </w:r>
    </w:p>
    <w:p>
      <w:pPr>
        <w:spacing w:after="0" w:line="76" w:lineRule="exact"/>
        <w:rPr>
          <w:sz w:val="20"/>
          <w:szCs w:val="20"/>
          <w:color w:val="auto"/>
        </w:rPr>
      </w:pPr>
    </w:p>
    <w:p>
      <w:pPr>
        <w:jc w:val="both"/>
        <w:ind w:left="600" w:right="180"/>
        <w:spacing w:after="0" w:line="262" w:lineRule="auto"/>
        <w:rPr>
          <w:sz w:val="20"/>
          <w:szCs w:val="20"/>
          <w:color w:val="auto"/>
        </w:rPr>
      </w:pPr>
      <w:r>
        <w:rPr>
          <w:rFonts w:ascii="Times New Roman" w:cs="Times New Roman" w:eastAsia="Times New Roman" w:hAnsi="Times New Roman"/>
          <w:sz w:val="18"/>
          <w:szCs w:val="18"/>
          <w:color w:val="auto"/>
        </w:rPr>
        <w:t>Telehealth revenue consists of revenues generated from consumers who complete a telehealth visit with a member of the Company’s network of qualified medical professionals. Consumers pay a fee per telehealth visit and the Company recognizes the fee as revenue at a point in time when the visit is complete.</w:t>
      </w:r>
    </w:p>
    <w:p>
      <w:pPr>
        <w:spacing w:after="0" w:line="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Deferred revenue is included in accrued expenses and other current liabilities in the consolidated balance sheets.</w:t>
      </w:r>
    </w:p>
    <w:p>
      <w:pPr>
        <w:spacing w:after="0" w:line="3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18" w:lineRule="exact"/>
        <w:rPr>
          <w:sz w:val="20"/>
          <w:szCs w:val="20"/>
          <w:color w:val="auto"/>
        </w:rPr>
      </w:pPr>
    </w:p>
    <w:p>
      <w:pPr>
        <w:ind w:left="600" w:right="220"/>
        <w:spacing w:after="0" w:line="255" w:lineRule="auto"/>
        <w:rPr>
          <w:sz w:val="20"/>
          <w:szCs w:val="20"/>
          <w:color w:val="auto"/>
        </w:rPr>
      </w:pPr>
      <w:r>
        <w:rPr>
          <w:rFonts w:ascii="Times New Roman" w:cs="Times New Roman" w:eastAsia="Times New Roman" w:hAnsi="Times New Roman"/>
          <w:sz w:val="18"/>
          <w:szCs w:val="18"/>
          <w:color w:val="auto"/>
        </w:rPr>
        <w:t>Cost of revenue consists primarily of costs related to outsourced consumer support, physician costs for the Company’s telehealth offering, personnel costs, including salaries, benefits, bonuses and stock-based compensation expense, for the Company’s consumer support employees, hosting and cloud costs, merchant account fees, and processing fees. Cost of revenue excludes depreciation and amortization of software development costs, developed technology, and other hosting and data infrastructure equipment used to operate the Company’s platforms, which are included in the depreciation and amortization line item in the consolidated statements of operations.</w:t>
      </w:r>
    </w:p>
    <w:p>
      <w:pPr>
        <w:spacing w:after="0" w:line="2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Product Development and Technology</w:t>
      </w:r>
    </w:p>
    <w:p>
      <w:pPr>
        <w:spacing w:after="0" w:line="118" w:lineRule="exact"/>
        <w:rPr>
          <w:sz w:val="20"/>
          <w:szCs w:val="20"/>
          <w:color w:val="auto"/>
        </w:rPr>
      </w:pPr>
    </w:p>
    <w:p>
      <w:pPr>
        <w:ind w:left="600" w:right="160"/>
        <w:spacing w:after="0" w:line="257" w:lineRule="auto"/>
        <w:rPr>
          <w:sz w:val="20"/>
          <w:szCs w:val="20"/>
          <w:color w:val="auto"/>
        </w:rPr>
      </w:pPr>
      <w:r>
        <w:rPr>
          <w:rFonts w:ascii="Times New Roman" w:cs="Times New Roman" w:eastAsia="Times New Roman" w:hAnsi="Times New Roman"/>
          <w:sz w:val="18"/>
          <w:szCs w:val="18"/>
          <w:color w:val="auto"/>
        </w:rPr>
        <w:t>Costs related to the development of products are charged to product development and technology expense as incurred. Product development and technology expense consists primarily of personnel costs, including salaries, benefits, bonuses and stock-based compensation expense, for employees involved in product development activities, third-party services and contractors related to product development, information technology and software-related costs, and allocated overhead.</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18" w:lineRule="exact"/>
        <w:rPr>
          <w:sz w:val="20"/>
          <w:szCs w:val="20"/>
          <w:color w:val="auto"/>
        </w:rPr>
      </w:pPr>
    </w:p>
    <w:p>
      <w:pPr>
        <w:ind w:left="600" w:right="380"/>
        <w:spacing w:after="0" w:line="262" w:lineRule="auto"/>
        <w:rPr>
          <w:sz w:val="20"/>
          <w:szCs w:val="20"/>
          <w:color w:val="auto"/>
        </w:rPr>
      </w:pPr>
      <w:r>
        <w:rPr>
          <w:rFonts w:ascii="Times New Roman" w:cs="Times New Roman" w:eastAsia="Times New Roman" w:hAnsi="Times New Roman"/>
          <w:sz w:val="18"/>
          <w:szCs w:val="18"/>
          <w:color w:val="auto"/>
        </w:rPr>
        <w:t>Sales and marketing costs are expensed as incurred and consist primarily of advertising and marketing expenses. Advertising costs were $89.3 million and $163.7 million for the years ended December 31, 2018 and 2019, respectively. The Company does not have any significant minimum advertising or media commitments.</w:t>
      </w:r>
    </w:p>
    <w:p>
      <w:pPr>
        <w:spacing w:after="0" w:line="70" w:lineRule="exact"/>
        <w:rPr>
          <w:sz w:val="20"/>
          <w:szCs w:val="20"/>
          <w:color w:val="auto"/>
        </w:rPr>
      </w:pPr>
    </w:p>
    <w:p>
      <w:pPr>
        <w:ind w:left="600" w:right="360"/>
        <w:spacing w:after="0" w:line="262" w:lineRule="auto"/>
        <w:rPr>
          <w:sz w:val="20"/>
          <w:szCs w:val="20"/>
          <w:color w:val="auto"/>
        </w:rPr>
      </w:pPr>
      <w:r>
        <w:rPr>
          <w:rFonts w:ascii="Times New Roman" w:cs="Times New Roman" w:eastAsia="Times New Roman" w:hAnsi="Times New Roman"/>
          <w:sz w:val="18"/>
          <w:szCs w:val="18"/>
          <w:color w:val="auto"/>
        </w:rPr>
        <w:t>Sales and marketing expenses also include personnel costs, including salaries, benefits, bonuses, stock-based compensation expense and sales commissions, for sales and marketing employees, third-party services and contractors, and allocated overhead. Sales commissions relate to contracts with a duration of one year or less and are expensed as incurred.</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18" w:lineRule="exact"/>
        <w:rPr>
          <w:sz w:val="20"/>
          <w:szCs w:val="20"/>
          <w:color w:val="auto"/>
        </w:rPr>
      </w:pPr>
    </w:p>
    <w:p>
      <w:pPr>
        <w:ind w:left="600" w:right="280"/>
        <w:spacing w:after="0" w:line="262" w:lineRule="auto"/>
        <w:rPr>
          <w:sz w:val="20"/>
          <w:szCs w:val="20"/>
          <w:color w:val="auto"/>
        </w:rPr>
      </w:pPr>
      <w:r>
        <w:rPr>
          <w:rFonts w:ascii="Times New Roman" w:cs="Times New Roman" w:eastAsia="Times New Roman" w:hAnsi="Times New Roman"/>
          <w:sz w:val="18"/>
          <w:szCs w:val="18"/>
          <w:color w:val="auto"/>
        </w:rPr>
        <w:t>General and administrative costs are expensed as incurred and include personnel costs, including salaries, benefits, bonuses and stock-based compensation expense, for executive, finance, accounting, legal, and human resources functions, as well as professional fees, occupancy costs, and other general overhead costs.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60"/>
          </w:cols>
          <w:pgMar w:left="320" w:top="454" w:right="51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118" w:lineRule="exact"/>
        <w:rPr>
          <w:sz w:val="20"/>
          <w:szCs w:val="20"/>
          <w:color w:val="auto"/>
        </w:rPr>
      </w:pPr>
    </w:p>
    <w:p>
      <w:pPr>
        <w:ind w:left="600" w:right="740"/>
        <w:spacing w:after="0" w:line="277" w:lineRule="auto"/>
        <w:rPr>
          <w:sz w:val="20"/>
          <w:szCs w:val="20"/>
          <w:color w:val="auto"/>
        </w:rPr>
      </w:pPr>
      <w:r>
        <w:rPr>
          <w:rFonts w:ascii="Times New Roman" w:cs="Times New Roman" w:eastAsia="Times New Roman" w:hAnsi="Times New Roman"/>
          <w:sz w:val="18"/>
          <w:szCs w:val="18"/>
          <w:color w:val="auto"/>
        </w:rPr>
        <w:t>The Company’s depreciation and amortization expenses include depreciation of property and equipment, and amortization of capitalized internal-use software costs and intangible assets.</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18" w:lineRule="exact"/>
        <w:rPr>
          <w:sz w:val="20"/>
          <w:szCs w:val="20"/>
          <w:color w:val="auto"/>
        </w:rPr>
      </w:pPr>
    </w:p>
    <w:p>
      <w:pPr>
        <w:ind w:left="600" w:right="400"/>
        <w:spacing w:after="0" w:line="277"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(exit price). The inputs used to measure fair value are classified into the following hierarchy:</w:t>
      </w:r>
    </w:p>
    <w:p>
      <w:pPr>
        <w:spacing w:after="0" w:line="70" w:lineRule="exact"/>
        <w:rPr>
          <w:sz w:val="20"/>
          <w:szCs w:val="20"/>
          <w:color w:val="auto"/>
        </w:rPr>
      </w:pPr>
    </w:p>
    <w:p>
      <w:pPr>
        <w:ind w:left="620"/>
        <w:spacing w:after="0"/>
        <w:tabs>
          <w:tab w:leader="none" w:pos="15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in active markets for identical assets or liabilities;</w:t>
      </w:r>
    </w:p>
    <w:p>
      <w:pPr>
        <w:spacing w:after="0" w:line="114" w:lineRule="exact"/>
        <w:rPr>
          <w:sz w:val="20"/>
          <w:szCs w:val="20"/>
          <w:color w:val="auto"/>
        </w:rPr>
      </w:pPr>
    </w:p>
    <w:p>
      <w:pPr>
        <w:ind w:left="1520" w:right="620" w:hanging="907"/>
        <w:spacing w:after="0" w:line="285" w:lineRule="auto"/>
        <w:tabs>
          <w:tab w:leader="none" w:pos="15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Unadjusted quoted prices in active markets for similar assets or liabilities, or unadjusted quoted prices for identical or similar assets or liabilities in markets that are not active, or inputs that are derived principally from or corroborated by observable market data by correlation or other means, or inputs other than quoted prices that are observable for the asset or liability; and</w:t>
      </w:r>
    </w:p>
    <w:p>
      <w:pPr>
        <w:spacing w:after="0" w:line="52" w:lineRule="exact"/>
        <w:rPr>
          <w:sz w:val="20"/>
          <w:szCs w:val="20"/>
          <w:color w:val="auto"/>
        </w:rPr>
      </w:pPr>
    </w:p>
    <w:p>
      <w:pPr>
        <w:ind w:left="620"/>
        <w:spacing w:after="0"/>
        <w:tabs>
          <w:tab w:leader="none" w:pos="15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for the asset or liability based on management’s assumptions.</w:t>
      </w:r>
    </w:p>
    <w:p>
      <w:pPr>
        <w:spacing w:after="0" w:line="114" w:lineRule="exact"/>
        <w:rPr>
          <w:sz w:val="20"/>
          <w:szCs w:val="20"/>
          <w:color w:val="auto"/>
        </w:rPr>
      </w:pPr>
    </w:p>
    <w:p>
      <w:pPr>
        <w:ind w:left="600" w:right="80"/>
        <w:spacing w:after="0" w:line="253" w:lineRule="auto"/>
        <w:rPr>
          <w:sz w:val="20"/>
          <w:szCs w:val="20"/>
          <w:color w:val="auto"/>
        </w:rPr>
      </w:pPr>
      <w:r>
        <w:rPr>
          <w:rFonts w:ascii="Times New Roman" w:cs="Times New Roman" w:eastAsia="Times New Roman" w:hAnsi="Times New Roman"/>
          <w:sz w:val="18"/>
          <w:szCs w:val="18"/>
          <w:color w:val="auto"/>
        </w:rPr>
        <w:t>When determining the fair value measurements for assets and liabilities which are required to be measured at fair value, the Company considers the principal or most advantageous market in which to transact and the market-based risk. Goodwill, intangible assets, and other long-lived assets are measured at fair value on a nonrecurring basis, only if impaired. The carrying amounts reported in the consolidated financial statements approximate the fair value for cash, accounts receivable, accounts payable, and accrued liabilities, due to their short-term nature. The carrying value of the Company’s debt approximates fair value based on the borrowing rate currently available to the Company for financing with similar terms and were determined to be Level 2.</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8" w:lineRule="exact"/>
        <w:rPr>
          <w:sz w:val="20"/>
          <w:szCs w:val="20"/>
          <w:color w:val="auto"/>
        </w:rPr>
      </w:pPr>
    </w:p>
    <w:p>
      <w:pPr>
        <w:ind w:left="600"/>
        <w:spacing w:after="0" w:line="253" w:lineRule="auto"/>
        <w:rPr>
          <w:sz w:val="20"/>
          <w:szCs w:val="20"/>
          <w:color w:val="auto"/>
        </w:rPr>
      </w:pPr>
      <w:r>
        <w:rPr>
          <w:rFonts w:ascii="Times New Roman" w:cs="Times New Roman" w:eastAsia="Times New Roman" w:hAnsi="Times New Roman"/>
          <w:sz w:val="18"/>
          <w:szCs w:val="18"/>
          <w:color w:val="auto"/>
        </w:rPr>
        <w:t>Stock-based compensation cost is allocated to cost of revenue, product development and technology, sales and marketing, and general and administrative expense in the consolidated statements of operations. Compensation cost for stock options and restricted stock awards granted to employees is based on the fair value of these awards at the date of grant. Compensation cost is recognized over the requisite service period, which is generally the vesting period of the award. For awards that vest based on continued service, compensation cost is recognized on a straight-line basis over the requisite service period. For awards with performance vesting conditions, compensation cost is recognized on a graded vesting basis when it is probable the performance condition will be achieved. Forfeitures are recognized when they occur.</w:t>
      </w:r>
    </w:p>
    <w:p>
      <w:pPr>
        <w:spacing w:after="0" w:line="80" w:lineRule="exact"/>
        <w:rPr>
          <w:sz w:val="20"/>
          <w:szCs w:val="20"/>
          <w:color w:val="auto"/>
        </w:rPr>
      </w:pPr>
    </w:p>
    <w:p>
      <w:pPr>
        <w:jc w:val="both"/>
        <w:ind w:left="600"/>
        <w:spacing w:after="0" w:line="262" w:lineRule="auto"/>
        <w:rPr>
          <w:sz w:val="20"/>
          <w:szCs w:val="20"/>
          <w:color w:val="auto"/>
        </w:rPr>
      </w:pPr>
      <w:r>
        <w:rPr>
          <w:rFonts w:ascii="Times New Roman" w:cs="Times New Roman" w:eastAsia="Times New Roman" w:hAnsi="Times New Roman"/>
          <w:sz w:val="18"/>
          <w:szCs w:val="18"/>
          <w:color w:val="auto"/>
        </w:rPr>
        <w:t>Determining the fair value of stock-based awards requires judgment. The Black-Scholes option-pricing model is used to estimate the fair value of stock options, while the fair value of the Company’s common stock at the date of grant is used to measure the fair value of restricted stock awards. The assumptions used in the Black-Scholes option-pricing model requires the input of subjective assumptions and are as follows:</w:t>
      </w:r>
    </w:p>
    <w:p>
      <w:pPr>
        <w:spacing w:after="0" w:line="84" w:lineRule="exact"/>
        <w:rPr>
          <w:sz w:val="20"/>
          <w:szCs w:val="20"/>
          <w:color w:val="auto"/>
        </w:rPr>
      </w:pPr>
    </w:p>
    <w:p>
      <w:pPr>
        <w:ind w:left="1020" w:hanging="419"/>
        <w:spacing w:after="0" w:line="252" w:lineRule="auto"/>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common stock underlying the Company’s stock-based awards was determined by the Company’s Board of Directors. Because there is no public market for the Company’s stock, the Company’s Board of Directors determined the common stock fair value at the stock option grant date by considering several objective and subjective factors, including the price paid for its common and preferred stock, actual and forecasted operating and financial performance, market conditions and performance of comparable publicly traded companies, developments and milestones within the Company, the rights, preferences, and privileges of its common and preferred stock, and the likelihood of achieving a liquidity event. The fair value of the underlying common stock will be determined by the Board of Directors until such time as the Company’s common stock is listed on an established stock exchange or national market system. The fair value was determined in accordance with applicable</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60"/>
          </w:cols>
          <w:pgMar w:left="320" w:top="454" w:right="51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040" w:right="100"/>
        <w:spacing w:after="0" w:line="279" w:lineRule="auto"/>
        <w:rPr>
          <w:sz w:val="20"/>
          <w:szCs w:val="20"/>
          <w:color w:val="auto"/>
        </w:rPr>
      </w:pPr>
      <w:r>
        <w:rPr>
          <w:rFonts w:ascii="Times New Roman" w:cs="Times New Roman" w:eastAsia="Times New Roman" w:hAnsi="Times New Roman"/>
          <w:sz w:val="18"/>
          <w:szCs w:val="18"/>
          <w:color w:val="auto"/>
        </w:rPr>
        <w:t xml:space="preserve">elements of the practice aid issued by the American Institute of Certified Public Accountants, </w:t>
      </w:r>
      <w:r>
        <w:rPr>
          <w:rFonts w:ascii="Times New Roman" w:cs="Times New Roman" w:eastAsia="Times New Roman" w:hAnsi="Times New Roman"/>
          <w:sz w:val="18"/>
          <w:szCs w:val="18"/>
          <w:i w:val="1"/>
          <w:iCs w:val="1"/>
          <w:color w:val="auto"/>
        </w:rPr>
        <w:t>Valuation of Privately-Held-Company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Issued as Compensation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1020" w:right="700" w:hanging="419"/>
        <w:spacing w:after="0" w:line="277" w:lineRule="auto"/>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based on historical volatilities of a publicly traded peer group based on daily price observations over a period equivalent to the expected term of the stock option grants.</w:t>
      </w:r>
    </w:p>
    <w:p>
      <w:pPr>
        <w:spacing w:after="0" w:line="69" w:lineRule="exact"/>
        <w:rPr>
          <w:rFonts w:ascii="Times New Roman" w:cs="Times New Roman" w:eastAsia="Times New Roman" w:hAnsi="Times New Roman"/>
          <w:sz w:val="18"/>
          <w:szCs w:val="18"/>
          <w:color w:val="auto"/>
        </w:rPr>
      </w:pPr>
    </w:p>
    <w:p>
      <w:pPr>
        <w:ind w:left="1020" w:hanging="419"/>
        <w:spacing w:after="0"/>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based on historical and estimates of future exercise behavior.</w:t>
      </w:r>
    </w:p>
    <w:p>
      <w:pPr>
        <w:spacing w:after="0" w:line="126" w:lineRule="exact"/>
        <w:rPr>
          <w:rFonts w:ascii="Times New Roman" w:cs="Times New Roman" w:eastAsia="Times New Roman" w:hAnsi="Times New Roman"/>
          <w:sz w:val="18"/>
          <w:szCs w:val="18"/>
          <w:color w:val="auto"/>
        </w:rPr>
      </w:pPr>
    </w:p>
    <w:p>
      <w:pPr>
        <w:ind w:left="1020" w:right="200" w:hanging="419"/>
        <w:spacing w:after="0" w:line="277" w:lineRule="auto"/>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U.S. Treasury yield of treasury bonds with a maturity that approximates the expected term of the options.</w:t>
      </w:r>
    </w:p>
    <w:p>
      <w:pPr>
        <w:spacing w:after="0" w:line="69" w:lineRule="exact"/>
        <w:rPr>
          <w:rFonts w:ascii="Times New Roman" w:cs="Times New Roman" w:eastAsia="Times New Roman" w:hAnsi="Times New Roman"/>
          <w:sz w:val="18"/>
          <w:szCs w:val="18"/>
          <w:color w:val="auto"/>
        </w:rPr>
      </w:pPr>
    </w:p>
    <w:p>
      <w:pPr>
        <w:ind w:left="1020" w:hanging="419"/>
        <w:spacing w:after="0"/>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yield is based on the Company’s current expectations of dividend payouts.</w:t>
      </w:r>
    </w:p>
    <w:p>
      <w:pPr>
        <w:spacing w:after="0" w:line="114" w:lineRule="exact"/>
        <w:rPr>
          <w:sz w:val="20"/>
          <w:szCs w:val="20"/>
          <w:color w:val="auto"/>
        </w:rPr>
      </w:pPr>
    </w:p>
    <w:p>
      <w:pPr>
        <w:ind w:left="600" w:right="100"/>
        <w:spacing w:after="0" w:line="262" w:lineRule="auto"/>
        <w:rPr>
          <w:sz w:val="20"/>
          <w:szCs w:val="20"/>
          <w:color w:val="auto"/>
        </w:rPr>
      </w:pPr>
      <w:r>
        <w:rPr>
          <w:rFonts w:ascii="Times New Roman" w:cs="Times New Roman" w:eastAsia="Times New Roman" w:hAnsi="Times New Roman"/>
          <w:sz w:val="18"/>
          <w:szCs w:val="18"/>
          <w:color w:val="auto"/>
        </w:rPr>
        <w:t>The assumptions used in the Company’s Black-Scholes option-pricing model represent management’s best estimates. These estimates involve inherent uncertainties and the application of management’s judgment. If factors change and different assumptions are used, the Company’s stock-based compensation expense could be materially different in the future.</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118" w:lineRule="exact"/>
        <w:rPr>
          <w:sz w:val="20"/>
          <w:szCs w:val="20"/>
          <w:color w:val="auto"/>
        </w:rPr>
      </w:pPr>
    </w:p>
    <w:p>
      <w:pPr>
        <w:ind w:left="600" w:right="340"/>
        <w:spacing w:after="0" w:line="277" w:lineRule="auto"/>
        <w:rPr>
          <w:sz w:val="20"/>
          <w:szCs w:val="20"/>
          <w:color w:val="auto"/>
        </w:rPr>
      </w:pPr>
      <w:r>
        <w:rPr>
          <w:rFonts w:ascii="Times New Roman" w:cs="Times New Roman" w:eastAsia="Times New Roman" w:hAnsi="Times New Roman"/>
          <w:sz w:val="18"/>
          <w:szCs w:val="18"/>
          <w:color w:val="auto"/>
        </w:rPr>
        <w:t>During the years ended December 31, 2018 and 2019, other than net income, the Company did not have any other elements of comprehensive income.</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p>
      <w:pPr>
        <w:spacing w:after="0" w:line="118" w:lineRule="exact"/>
        <w:rPr>
          <w:sz w:val="20"/>
          <w:szCs w:val="20"/>
          <w:color w:val="auto"/>
        </w:rPr>
      </w:pPr>
    </w:p>
    <w:p>
      <w:pPr>
        <w:ind w:left="600" w:right="20"/>
        <w:spacing w:after="0" w:line="257" w:lineRule="auto"/>
        <w:rPr>
          <w:sz w:val="20"/>
          <w:szCs w:val="20"/>
          <w:color w:val="auto"/>
        </w:rPr>
      </w:pPr>
      <w:r>
        <w:rPr>
          <w:rFonts w:ascii="Times New Roman" w:cs="Times New Roman" w:eastAsia="Times New Roman" w:hAnsi="Times New Roman"/>
          <w:sz w:val="18"/>
          <w:szCs w:val="18"/>
          <w:color w:val="auto"/>
        </w:rPr>
        <w:t>The Company computes earnings per share (“EPS”) using the two-class method required for participating securities. The two-class method requires net income to be allocated between common stock and participating securities based upon their respective rights to receive dividends as if all income for the period had been distributed. The Company considers redeemable convertible preferred stock to be participating securities as preferred stockholders have rights to participate in dividends with the common stockholders.</w:t>
      </w:r>
    </w:p>
    <w:p>
      <w:pPr>
        <w:spacing w:after="0" w:line="75" w:lineRule="exact"/>
        <w:rPr>
          <w:sz w:val="20"/>
          <w:szCs w:val="20"/>
          <w:color w:val="auto"/>
        </w:rPr>
      </w:pPr>
    </w:p>
    <w:p>
      <w:pPr>
        <w:ind w:left="600" w:right="420"/>
        <w:spacing w:after="0" w:line="257" w:lineRule="auto"/>
        <w:rPr>
          <w:sz w:val="20"/>
          <w:szCs w:val="20"/>
          <w:color w:val="auto"/>
        </w:rPr>
      </w:pPr>
      <w:r>
        <w:rPr>
          <w:rFonts w:ascii="Times New Roman" w:cs="Times New Roman" w:eastAsia="Times New Roman" w:hAnsi="Times New Roman"/>
          <w:sz w:val="18"/>
          <w:szCs w:val="18"/>
          <w:color w:val="auto"/>
        </w:rPr>
        <w:t>Basic EPS is computed by dividing net income attributable to common stockholders by the weighted average number of common shares outstanding during the period. The Company computes diluted EPS under a two-class method where income is reallocated between common stock, potential common stock and participating securities. Potential common stock includes stock options and restricted stock awards and is computed using the treasury stock method.</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8" w:lineRule="exact"/>
        <w:rPr>
          <w:sz w:val="20"/>
          <w:szCs w:val="20"/>
          <w:color w:val="auto"/>
        </w:rPr>
      </w:pPr>
    </w:p>
    <w:p>
      <w:pPr>
        <w:ind w:left="600" w:right="140"/>
        <w:spacing w:after="0" w:line="255" w:lineRule="auto"/>
        <w:rPr>
          <w:sz w:val="20"/>
          <w:szCs w:val="20"/>
          <w:color w:val="auto"/>
        </w:rPr>
      </w:pPr>
      <w:r>
        <w:rPr>
          <w:rFonts w:ascii="Times New Roman" w:cs="Times New Roman" w:eastAsia="Times New Roman" w:hAnsi="Times New Roman"/>
          <w:sz w:val="18"/>
          <w:szCs w:val="18"/>
          <w:color w:val="auto"/>
        </w:rPr>
        <w:t>As an “emerging growth company,” the Jumpstart Our Business Startups Act, or the JOBS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2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ASU No. 2014-09, </w:t>
      </w:r>
      <w:r>
        <w:rPr>
          <w:rFonts w:ascii="Times New Roman" w:cs="Times New Roman" w:eastAsia="Times New Roman" w:hAnsi="Times New Roman"/>
          <w:sz w:val="18"/>
          <w:szCs w:val="18"/>
          <w:i w:val="1"/>
          <w:iCs w:val="1"/>
          <w:color w:val="auto"/>
        </w:rPr>
        <w:t>Revenue from Contracts with Customers</w:t>
      </w:r>
    </w:p>
    <w:p>
      <w:pPr>
        <w:spacing w:after="0" w:line="28" w:lineRule="exact"/>
        <w:rPr>
          <w:sz w:val="20"/>
          <w:szCs w:val="20"/>
          <w:color w:val="auto"/>
        </w:rPr>
      </w:pPr>
    </w:p>
    <w:p>
      <w:pPr>
        <w:jc w:val="both"/>
        <w:ind w:left="60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(Topic 606), </w:t>
      </w:r>
      <w:r>
        <w:rPr>
          <w:rFonts w:ascii="Times New Roman" w:cs="Times New Roman" w:eastAsia="Times New Roman" w:hAnsi="Times New Roman"/>
          <w:sz w:val="18"/>
          <w:szCs w:val="18"/>
          <w:color w:val="auto"/>
        </w:rPr>
        <w:t>and several amendments, codified as ASC 606, which requires an entity to recognize the amount of revenue to which it expects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for the transfer of promised goods or services to customers. This ASU replaced most existing revenue recognition guidance under GAAP. The Company adopted this standard as of January 1, 2019 on a modified retrospective basis, and the adoption did not have a material impact to the consolidated financial statements.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60"/>
          </w:cols>
          <w:pgMar w:left="320" w:top="454" w:right="51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600" w:right="120"/>
        <w:spacing w:after="0" w:line="252"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and several amendments, codified as ASC 842, to increase transparency and comparability among organizations by recognizing lease assets and lease liabilities on the consolidated balance sheet and disclosing key information about leasing arrangements. The Company early adopted ASC 842 as of January 1, 2019 using the modified retrospective transition method provided in ASU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As a result of adopting this guidance, the Company recorded $4.8 million of operating lease right-of-use assets and $5.2 million of operating lease liabilities on the consolidated balance sheet at January 1, 2019. The difference between the operating lease right-of-use asset and lease liability at the adoption date was deferred rent. The adoption of this guidance had no material impact on the Company’s consolidated statements of operations or consolidated statements of cash flows.</w:t>
      </w:r>
    </w:p>
    <w:p>
      <w:pPr>
        <w:spacing w:after="0" w:line="78" w:lineRule="exact"/>
        <w:rPr>
          <w:sz w:val="20"/>
          <w:szCs w:val="20"/>
          <w:color w:val="auto"/>
        </w:rPr>
      </w:pPr>
    </w:p>
    <w:p>
      <w:pPr>
        <w:ind w:left="600" w:right="280"/>
        <w:spacing w:after="0" w:line="258"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Compensation-Stock Compensation (Topic 718): Improvements to Nonemployee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Accounting</w:t>
      </w:r>
      <w:r>
        <w:rPr>
          <w:rFonts w:ascii="Times New Roman" w:cs="Times New Roman" w:eastAsia="Times New Roman" w:hAnsi="Times New Roman"/>
          <w:sz w:val="18"/>
          <w:szCs w:val="18"/>
          <w:color w:val="auto"/>
        </w:rPr>
        <w:t>, which simplifies the accounting for share-based payments to nonemployees by aligning it with the accounting for share-based payments to employees, with certain exceptions. The Company early adopted this guidance on January 1, 2019, and the adoption did not have a material impact to the consolidated financial statements.</w:t>
      </w:r>
    </w:p>
    <w:p>
      <w:pPr>
        <w:spacing w:after="0" w:line="72" w:lineRule="exact"/>
        <w:rPr>
          <w:sz w:val="20"/>
          <w:szCs w:val="20"/>
          <w:color w:val="auto"/>
        </w:rPr>
      </w:pPr>
    </w:p>
    <w:p>
      <w:pPr>
        <w:ind w:left="600" w:right="60"/>
        <w:spacing w:after="0" w:line="263"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 – Goodwill and Other: Simplifying the Test for Goodwill Impairment</w:t>
      </w:r>
      <w:r>
        <w:rPr>
          <w:rFonts w:ascii="Times New Roman" w:cs="Times New Roman" w:eastAsia="Times New Roman" w:hAnsi="Times New Roman"/>
          <w:sz w:val="18"/>
          <w:szCs w:val="18"/>
          <w:color w:val="auto"/>
        </w:rPr>
        <w:t>, to simplify the subsequent measurement of goodwill by eliminating Step 2 from the goodwill impairment test. The Company adopted this guidance during the year ended December 31, 2019, and the adoption did not have any impact to the consolidated financial statements.</w:t>
      </w:r>
    </w:p>
    <w:p>
      <w:pPr>
        <w:spacing w:after="0" w:line="2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Pronouncements—Not Yet Adopted</w:t>
      </w:r>
    </w:p>
    <w:p>
      <w:pPr>
        <w:spacing w:after="0" w:line="116" w:lineRule="exact"/>
        <w:rPr>
          <w:sz w:val="20"/>
          <w:szCs w:val="20"/>
          <w:color w:val="auto"/>
        </w:rPr>
      </w:pPr>
    </w:p>
    <w:p>
      <w:pPr>
        <w:ind w:left="600" w:right="60"/>
        <w:spacing w:after="0" w:line="266" w:lineRule="auto"/>
        <w:rPr>
          <w:sz w:val="20"/>
          <w:szCs w:val="20"/>
          <w:color w:val="auto"/>
        </w:rPr>
      </w:pPr>
      <w:r>
        <w:rPr>
          <w:rFonts w:ascii="Times New Roman" w:cs="Times New Roman" w:eastAsia="Times New Roman" w:hAnsi="Times New Roman"/>
          <w:sz w:val="17"/>
          <w:szCs w:val="17"/>
          <w:color w:val="auto"/>
        </w:rPr>
        <w:t xml:space="preserve">In June 2016, the FASB issued ASU 2016-13, </w:t>
      </w:r>
      <w:r>
        <w:rPr>
          <w:rFonts w:ascii="Times New Roman" w:cs="Times New Roman" w:eastAsia="Times New Roman" w:hAnsi="Times New Roman"/>
          <w:sz w:val="17"/>
          <w:szCs w:val="17"/>
          <w:i w:val="1"/>
          <w:iCs w:val="1"/>
          <w:color w:val="auto"/>
        </w:rPr>
        <w:t>Financial Instruments—Credit Losses (Topic 326): Measurement of Credit Losses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Instruments</w:t>
      </w:r>
      <w:r>
        <w:rPr>
          <w:rFonts w:ascii="Times New Roman" w:cs="Times New Roman" w:eastAsia="Times New Roman" w:hAnsi="Times New Roman"/>
          <w:sz w:val="17"/>
          <w:szCs w:val="17"/>
          <w:color w:val="auto"/>
        </w:rPr>
        <w:t>, to require the measurement of all expected credit losses for financial assets held at the reporting date based on historical experience,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current conditions, and reasonable and supportable forecasts. The ASU also amends the accounting for credit losses on available-for-sale debt securities and purchased financial assets with credit deterioration. In February 2020, the FASB issued ASU 2020-02,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Credit Losses (Topic 326) and Leases (Topic 842)—Amendments to SEC Paragraphs Pursuant to SEC Staff Accounting Bulletin No. 119 and Update to SEC Section on Effective Date Related to Accounting Standards Update No. 2016-02, Leases (Topic 842) (SEC Update), </w:t>
      </w:r>
      <w:r>
        <w:rPr>
          <w:rFonts w:ascii="Times New Roman" w:cs="Times New Roman" w:eastAsia="Times New Roman" w:hAnsi="Times New Roman"/>
          <w:sz w:val="17"/>
          <w:szCs w:val="17"/>
          <w:color w:val="auto"/>
        </w:rPr>
        <w:t>which amends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language in Subtopic 326-20 and addresses questions primarily regarding documentation and company policies. The guidance in</w:t>
      </w:r>
    </w:p>
    <w:p>
      <w:pPr>
        <w:ind w:left="600" w:right="120"/>
        <w:spacing w:after="0" w:line="251" w:lineRule="auto"/>
        <w:rPr>
          <w:sz w:val="20"/>
          <w:szCs w:val="20"/>
          <w:color w:val="auto"/>
        </w:rPr>
      </w:pPr>
      <w:r>
        <w:rPr>
          <w:rFonts w:ascii="Times New Roman" w:cs="Times New Roman" w:eastAsia="Times New Roman" w:hAnsi="Times New Roman"/>
          <w:sz w:val="18"/>
          <w:szCs w:val="18"/>
          <w:color w:val="auto"/>
        </w:rPr>
        <w:t>ASU 2016-13 and ASU 2020-02 related to credit losses is effective for fiscal years beginning after December 15, 2022, including interim periods within those fiscal years. Early adoption is permitted. The Company is currently evaluating the impact of the new guidance on its consolidated financial statements.</w:t>
      </w:r>
    </w:p>
    <w:p>
      <w:pPr>
        <w:spacing w:after="0" w:line="78" w:lineRule="exact"/>
        <w:rPr>
          <w:sz w:val="20"/>
          <w:szCs w:val="20"/>
          <w:color w:val="auto"/>
        </w:rPr>
      </w:pPr>
    </w:p>
    <w:p>
      <w:pPr>
        <w:ind w:left="600" w:right="160"/>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This ASU eliminates, modifies and adds disclosure requirements for fair value measurements.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this ASU are effective for fiscal years, and for interim periods within those fiscal years, beginning after December 15, 2019, with early adoption permitted. The Company does not expect the adoption of this ASU to have a material impact on its financial statements.</w:t>
      </w:r>
    </w:p>
    <w:p>
      <w:pPr>
        <w:spacing w:after="0" w:line="72" w:lineRule="exact"/>
        <w:rPr>
          <w:sz w:val="20"/>
          <w:szCs w:val="20"/>
          <w:color w:val="auto"/>
        </w:rPr>
      </w:pPr>
    </w:p>
    <w:p>
      <w:pPr>
        <w:ind w:left="600"/>
        <w:spacing w:after="0" w:line="253"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 is a Service Contract</w:t>
      </w:r>
      <w:r>
        <w:rPr>
          <w:rFonts w:ascii="Times New Roman" w:cs="Times New Roman" w:eastAsia="Times New Roman" w:hAnsi="Times New Roman"/>
          <w:sz w:val="18"/>
          <w:szCs w:val="18"/>
          <w:color w:val="auto"/>
        </w:rPr>
        <w:t>. ASU 2018-15 requires implementation costs incurred by customers in cloud computing arrangements to be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noncancelable term of the cloud-computing arrangements plus any optional renewal periods (1) that are reasonably certain to be exercised by the customer or (2) for which exercise of the renewal option is controlled by the cloud service provider. This guidance is effective for fiscal years beginning after December 15, 2020, and interim periods within annual periods beginning after December 15, 2021. Early adoption is permitted. This guidance can be adopted either using the prospective or retrospective transition approach. The Company is currently evaluating the impacts of this ASU on its consolidated financial statements.</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80"/>
          </w:cols>
          <w:pgMar w:left="320" w:top="454" w:right="49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600"/>
        <w:spacing w:after="0" w:line="253" w:lineRule="auto"/>
        <w:rPr>
          <w:sz w:val="20"/>
          <w:szCs w:val="20"/>
          <w:color w:val="auto"/>
        </w:rPr>
      </w:pPr>
      <w:r>
        <w:rPr>
          <w:rFonts w:ascii="Times New Roman" w:cs="Times New Roman" w:eastAsia="Times New Roman" w:hAnsi="Times New Roman"/>
          <w:sz w:val="18"/>
          <w:szCs w:val="18"/>
          <w:color w:val="auto"/>
        </w:rPr>
        <w:t xml:space="preserve">In October 2018, the FASB issued ASU 2018-17, </w:t>
      </w:r>
      <w:r>
        <w:rPr>
          <w:rFonts w:ascii="Times New Roman" w:cs="Times New Roman" w:eastAsia="Times New Roman" w:hAnsi="Times New Roman"/>
          <w:sz w:val="18"/>
          <w:szCs w:val="18"/>
          <w:i w:val="1"/>
          <w:iCs w:val="1"/>
          <w:color w:val="auto"/>
        </w:rPr>
        <w:t>Consolidation (Topic 810): Targeted Improvements to the Related Party Guidance for Variable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Entities</w:t>
      </w:r>
      <w:r>
        <w:rPr>
          <w:rFonts w:ascii="Times New Roman" w:cs="Times New Roman" w:eastAsia="Times New Roman" w:hAnsi="Times New Roman"/>
          <w:sz w:val="18"/>
          <w:szCs w:val="18"/>
          <w:color w:val="auto"/>
        </w:rPr>
        <w:t>. ASU 2018-17 changes how entities evaluate decision-making fees under the variable interest entity guidance.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decision-making fees represent a variable interest, an entity considers indirect interests held through related parties under common control on a proportional basis, rather than in their entirety. This guidance is effective for fiscal years, beginning after December 15, 2020 and interim periods within fiscal years beginning after December 15, 2021, with early adoption permitted. All entities are required to apply the amendments in this ASU retrospectively with a cumulative-effect adjustment to retained earnings at the beginning of the earliest period presented. The Company is currently evaluating the impact of the adoption of this ASU on its consolidated financial statements.</w:t>
      </w:r>
    </w:p>
    <w:p>
      <w:pPr>
        <w:spacing w:after="0" w:line="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xml:space="preserve">In December 2019, the FASB issued ASU 2019-12, </w:t>
      </w:r>
      <w:r>
        <w:rPr>
          <w:rFonts w:ascii="Times New Roman" w:cs="Times New Roman" w:eastAsia="Times New Roman" w:hAnsi="Times New Roman"/>
          <w:sz w:val="17"/>
          <w:szCs w:val="17"/>
          <w:i w:val="1"/>
          <w:iCs w:val="1"/>
          <w:color w:val="auto"/>
        </w:rPr>
        <w:t>Income Taxes (Topic 740): Simplifying the Accounting for Income Taxes</w:t>
      </w:r>
      <w:r>
        <w:rPr>
          <w:rFonts w:ascii="Times New Roman" w:cs="Times New Roman" w:eastAsia="Times New Roman" w:hAnsi="Times New Roman"/>
          <w:sz w:val="17"/>
          <w:szCs w:val="17"/>
          <w:color w:val="auto"/>
        </w:rPr>
        <w:t>. The objective of the</w:t>
      </w:r>
    </w:p>
    <w:p>
      <w:pPr>
        <w:spacing w:after="0" w:line="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guidance is to simplify the accounting for income taxes by removing certain exceptions to the general principles in Topic 740 and to provide more</w:t>
      </w:r>
    </w:p>
    <w:p>
      <w:pPr>
        <w:spacing w:after="0" w:line="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consistent application to improve the comparability of financial statements. The guidance is effective for fiscal years beginning after</w:t>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December 15, 2021, and interim periods within fiscal years beginning after December 15, 2022. The Company is currently evaluating the impact</w:t>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of this ASU on its consolidated financial statements.</w:t>
      </w:r>
    </w:p>
    <w:p>
      <w:pPr>
        <w:spacing w:after="0" w:line="344" w:lineRule="exact"/>
        <w:rPr>
          <w:sz w:val="20"/>
          <w:szCs w:val="20"/>
          <w:color w:val="auto"/>
        </w:rPr>
      </w:pPr>
    </w:p>
    <w:p>
      <w:pPr>
        <w:ind w:left="600" w:right="8100" w:hanging="426"/>
        <w:spacing w:after="0" w:line="396" w:lineRule="auto"/>
        <w:tabs>
          <w:tab w:leader="none" w:pos="592" w:val="left"/>
        </w:tabs>
        <w:numPr>
          <w:ilvl w:val="0"/>
          <w:numId w:val="1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Combinations Sappira Inc. (d.b.a HeyDoctor)</w:t>
      </w:r>
    </w:p>
    <w:p>
      <w:pPr>
        <w:ind w:left="600" w:right="18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April 18, 2019, the Company completed its acquisition of 100% of the equity interests in San Francisco, California-based Sappira Inc. (d.b.a HeyDoctor), a privately-held company offering an online application for consultation with physicians. HeyDoctor can be used by patients to obtain prescriptions for various medical afflictions. The Company intends to use HeyDoctor’s technology and service offerings to increase the visits to the GoodRx online platform. The total purchase consideration for the acquisition of HeyDoctor was $14.3 million in cash, of which $1.4 million was placed in escrow for potential breaches of representations and warranties. The escrow amount, net of any claims for such indemnifiable matters, is scheduled to be released from escrow to stockholders of HeyDoctor on October 18, 2020.</w:t>
      </w:r>
    </w:p>
    <w:p>
      <w:pPr>
        <w:spacing w:after="0" w:line="80" w:lineRule="exact"/>
        <w:rPr>
          <w:rFonts w:ascii="Times New Roman" w:cs="Times New Roman" w:eastAsia="Times New Roman" w:hAnsi="Times New Roman"/>
          <w:sz w:val="17"/>
          <w:szCs w:val="17"/>
          <w:b w:val="1"/>
          <w:bCs w:val="1"/>
          <w:color w:val="auto"/>
        </w:rPr>
      </w:pPr>
    </w:p>
    <w:p>
      <w:pPr>
        <w:ind w:left="600" w:right="160"/>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goodwill recorded in connection with this acquisition primarily related to the expected long-term synergies and other benefits, including the acquired assembled workforce, from the acquisition. The acquisition was considered a stock acquisition for tax purposes and, accordingly, goodwill is not expected to be deductible for tax purposes.</w:t>
      </w:r>
    </w:p>
    <w:p>
      <w:pPr>
        <w:spacing w:after="0" w:line="70" w:lineRule="exact"/>
        <w:rPr>
          <w:rFonts w:ascii="Times New Roman" w:cs="Times New Roman" w:eastAsia="Times New Roman" w:hAnsi="Times New Roman"/>
          <w:sz w:val="17"/>
          <w:szCs w:val="17"/>
          <w:b w:val="1"/>
          <w:bCs w:val="1"/>
          <w:color w:val="auto"/>
        </w:rPr>
      </w:pPr>
    </w:p>
    <w:p>
      <w:pPr>
        <w:ind w:left="600" w:right="120"/>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also issued 1,878,588 shares of restricted stock with an acquisition date fair value of $7.3 million to certain HeyDoctor employees in connection with this acquisition. These shares have been excluded from the purchase consideration and will be recorded as post-combination expense over four years (refer to Note 15. Stock-based Compensation for further details).</w:t>
      </w:r>
    </w:p>
    <w:p>
      <w:pPr>
        <w:spacing w:after="0" w:line="70"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allocation of the purchase price for HeyDoctor is as follows:</w:t>
      </w:r>
    </w:p>
    <w:p>
      <w:pPr>
        <w:spacing w:after="0" w:line="266"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tangible assets</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(486)</w:t>
            </w:r>
          </w:p>
        </w:tc>
      </w:tr>
      <w:tr>
        <w:trPr>
          <w:trHeight w:val="214"/>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(877)</w:t>
            </w:r>
          </w:p>
        </w:tc>
      </w:tr>
      <w:tr>
        <w:trPr>
          <w:trHeight w:val="214"/>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12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2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37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14,259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820" w:type="dxa"/>
            <w:vAlign w:val="bottom"/>
            <w:gridSpan w:val="2"/>
          </w:tcPr>
          <w:p>
            <w:pPr>
              <w:jc w:val="right"/>
              <w:ind w:right="2837"/>
              <w:spacing w:after="0"/>
              <w:rPr>
                <w:sz w:val="20"/>
                <w:szCs w:val="20"/>
                <w:color w:val="auto"/>
              </w:rPr>
            </w:pPr>
            <w:r>
              <w:rPr>
                <w:rFonts w:ascii="Times New Roman" w:cs="Times New Roman" w:eastAsia="Times New Roman" w:hAnsi="Times New Roman"/>
                <w:sz w:val="18"/>
                <w:szCs w:val="18"/>
                <w:color w:val="auto"/>
              </w:rPr>
              <w:t>F-17</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60"/>
          </w:cols>
          <w:pgMar w:left="320" w:top="454" w:right="51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presents details of the identified intangible assets acquired:</w:t>
      </w:r>
    </w:p>
    <w:p>
      <w:pPr>
        <w:spacing w:after="0" w:line="227"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72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7"/>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amounts in thousands)</w:t>
            </w:r>
          </w:p>
        </w:tc>
        <w:tc>
          <w:tcPr>
            <w:tcW w:w="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460" w:type="dxa"/>
            <w:vAlign w:val="bottom"/>
            <w:gridSpan w:val="3"/>
          </w:tcPr>
          <w:p>
            <w:pPr>
              <w:jc w:val="center"/>
              <w:ind w:left="557"/>
              <w:spacing w:after="0" w:line="147"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72"/>
        </w:trPr>
        <w:tc>
          <w:tcPr>
            <w:tcW w:w="6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2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0" w:type="dxa"/>
            <w:vAlign w:val="bottom"/>
          </w:tcPr>
          <w:p>
            <w:pPr>
              <w:spacing w:after="0"/>
              <w:rPr>
                <w:sz w:val="1"/>
                <w:szCs w:val="1"/>
                <w:color w:val="auto"/>
              </w:rPr>
            </w:pPr>
          </w:p>
        </w:tc>
      </w:tr>
      <w:tr>
        <w:trPr>
          <w:trHeight w:val="207"/>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$3,100</w:t>
            </w:r>
          </w:p>
        </w:tc>
        <w:tc>
          <w:tcPr>
            <w:tcW w:w="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0" w:type="dxa"/>
            <w:vAlign w:val="bottom"/>
            <w:gridSpan w:val="2"/>
          </w:tcPr>
          <w:p>
            <w:pPr>
              <w:jc w:val="right"/>
              <w:ind w:right="103"/>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Backlog</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40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4,200</w:t>
            </w: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600" w:right="460"/>
        <w:spacing w:after="0" w:line="277" w:lineRule="auto"/>
        <w:rPr>
          <w:sz w:val="20"/>
          <w:szCs w:val="20"/>
          <w:color w:val="auto"/>
        </w:rPr>
      </w:pPr>
      <w:r>
        <w:rPr>
          <w:rFonts w:ascii="Times New Roman" w:cs="Times New Roman" w:eastAsia="Times New Roman" w:hAnsi="Times New Roman"/>
          <w:sz w:val="18"/>
          <w:szCs w:val="18"/>
          <w:color w:val="auto"/>
        </w:rPr>
        <w:t>The fair value of the developed technology and backlog were measured using the multi-period excess earnings method. The fair value of the trademarks was measured using the relief from royalty method.</w:t>
      </w:r>
    </w:p>
    <w:p>
      <w:pPr>
        <w:spacing w:after="0" w:line="57" w:lineRule="exact"/>
        <w:rPr>
          <w:sz w:val="20"/>
          <w:szCs w:val="20"/>
          <w:color w:val="auto"/>
        </w:rPr>
      </w:pPr>
    </w:p>
    <w:p>
      <w:pPr>
        <w:ind w:left="600" w:right="380"/>
        <w:spacing w:after="0" w:line="262" w:lineRule="auto"/>
        <w:rPr>
          <w:sz w:val="20"/>
          <w:szCs w:val="20"/>
          <w:color w:val="auto"/>
        </w:rPr>
      </w:pPr>
      <w:r>
        <w:rPr>
          <w:rFonts w:ascii="Times New Roman" w:cs="Times New Roman" w:eastAsia="Times New Roman" w:hAnsi="Times New Roman"/>
          <w:sz w:val="18"/>
          <w:szCs w:val="18"/>
          <w:color w:val="auto"/>
        </w:rPr>
        <w:t>Unaudited supplemental pro forma financial information for the HeyDoctor acquisition, and the revenue and earnings of HeyDoctor from the acquisition date through December 31, 2019, have not been presented because the effects were not material to the Company’s consolidated financial statements.</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FocusScript LLC</w:t>
      </w:r>
    </w:p>
    <w:p>
      <w:pPr>
        <w:spacing w:after="0" w:line="118" w:lineRule="exact"/>
        <w:rPr>
          <w:sz w:val="20"/>
          <w:szCs w:val="20"/>
          <w:color w:val="auto"/>
        </w:rPr>
      </w:pPr>
    </w:p>
    <w:p>
      <w:pPr>
        <w:jc w:val="both"/>
        <w:ind w:left="600" w:right="200"/>
        <w:spacing w:after="0" w:line="262" w:lineRule="auto"/>
        <w:rPr>
          <w:sz w:val="20"/>
          <w:szCs w:val="20"/>
          <w:color w:val="auto"/>
        </w:rPr>
      </w:pPr>
      <w:r>
        <w:rPr>
          <w:rFonts w:ascii="Times New Roman" w:cs="Times New Roman" w:eastAsia="Times New Roman" w:hAnsi="Times New Roman"/>
          <w:sz w:val="18"/>
          <w:szCs w:val="18"/>
          <w:color w:val="auto"/>
        </w:rPr>
        <w:t>On August 30, 2019, the Company completed the acquisition of certain software assets and the assembled workforce of Creve Coeur, Missouri-based FocusScript LLC (“FocusScript Acquisition”). The Company intends to use the acquired claim routing software to service its customers. The total purchase consideration consisted of $18.7 million in cash.</w:t>
      </w:r>
    </w:p>
    <w:p>
      <w:pPr>
        <w:spacing w:after="0" w:line="70" w:lineRule="exact"/>
        <w:rPr>
          <w:sz w:val="20"/>
          <w:szCs w:val="20"/>
          <w:color w:val="auto"/>
        </w:rPr>
      </w:pPr>
    </w:p>
    <w:p>
      <w:pPr>
        <w:ind w:left="600" w:right="160"/>
        <w:spacing w:after="0" w:line="277" w:lineRule="auto"/>
        <w:rPr>
          <w:sz w:val="20"/>
          <w:szCs w:val="20"/>
          <w:color w:val="auto"/>
        </w:rPr>
      </w:pPr>
      <w:r>
        <w:rPr>
          <w:rFonts w:ascii="Times New Roman" w:cs="Times New Roman" w:eastAsia="Times New Roman" w:hAnsi="Times New Roman"/>
          <w:sz w:val="18"/>
          <w:szCs w:val="18"/>
          <w:color w:val="auto"/>
        </w:rPr>
        <w:t>The goodwill recorded in connection with this acquisition primarily related to the expected long-term synergies and other benefits, including the acquired assembled workforce, from the acquisition. Goodwill is deductible for tax purposes.</w:t>
      </w:r>
    </w:p>
    <w:p>
      <w:pPr>
        <w:spacing w:after="0" w:line="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allocation of the purchase price for the FocusScript Acquisition is as follows:</w:t>
      </w:r>
    </w:p>
    <w:p>
      <w:pPr>
        <w:spacing w:after="0" w:line="241"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assets</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12,200</w:t>
            </w:r>
          </w:p>
        </w:tc>
        <w:tc>
          <w:tcPr>
            <w:tcW w:w="12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18,700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presents details of the identified intangible assets acquired:</w:t>
      </w:r>
    </w:p>
    <w:p>
      <w:pPr>
        <w:spacing w:after="0" w:line="227"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w:t>
            </w:r>
          </w:p>
        </w:tc>
        <w:tc>
          <w:tcPr>
            <w:tcW w:w="7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7"/>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amounts in thousands)</w:t>
            </w:r>
          </w:p>
        </w:tc>
        <w:tc>
          <w:tcPr>
            <w:tcW w:w="23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20" w:type="dxa"/>
            <w:vAlign w:val="bottom"/>
            <w:gridSpan w:val="2"/>
          </w:tcPr>
          <w:p>
            <w:pPr>
              <w:jc w:val="center"/>
              <w:ind w:left="649"/>
              <w:spacing w:after="0" w:line="147"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72"/>
        </w:trPr>
        <w:tc>
          <w:tcPr>
            <w:tcW w:w="3940" w:type="dxa"/>
            <w:vAlign w:val="bottom"/>
            <w:tcBorders>
              <w:bottom w:val="single" w:sz="8" w:color="CCEEFF"/>
            </w:tcBorders>
            <w:vMerge w:val="continue"/>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7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0" w:type="dxa"/>
            <w:vAlign w:val="bottom"/>
          </w:tcPr>
          <w:p>
            <w:pPr>
              <w:spacing w:after="0"/>
              <w:rPr>
                <w:sz w:val="1"/>
                <w:szCs w:val="1"/>
                <w:color w:val="auto"/>
              </w:rPr>
            </w:pPr>
          </w:p>
        </w:tc>
      </w:tr>
      <w:tr>
        <w:trPr>
          <w:trHeight w:val="20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34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$12,200</w:t>
            </w: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fair value of the developed technology was measured using the multi-period excess earnings method.</w:t>
      </w:r>
    </w:p>
    <w:p>
      <w:pPr>
        <w:spacing w:after="0" w:line="114" w:lineRule="exact"/>
        <w:rPr>
          <w:sz w:val="20"/>
          <w:szCs w:val="20"/>
          <w:color w:val="auto"/>
        </w:rPr>
      </w:pPr>
    </w:p>
    <w:p>
      <w:pPr>
        <w:ind w:left="600"/>
        <w:spacing w:after="0" w:line="257" w:lineRule="auto"/>
        <w:rPr>
          <w:sz w:val="20"/>
          <w:szCs w:val="20"/>
          <w:color w:val="auto"/>
        </w:rPr>
      </w:pPr>
      <w:r>
        <w:rPr>
          <w:rFonts w:ascii="Times New Roman" w:cs="Times New Roman" w:eastAsia="Times New Roman" w:hAnsi="Times New Roman"/>
          <w:sz w:val="18"/>
          <w:szCs w:val="18"/>
          <w:color w:val="auto"/>
        </w:rPr>
        <w:t>Disclosure of unaudited supplemental pro forma financial information for the FocusScript Acquisition is not practicable given the Company purchased certain assets and assembled workforce for which historical information was not available. In addition, disclosure of revenues and earnings of FocusScript from the acquisition date through December 31, 2019 is not practicable as the FocusScript Acquisition has been integrated into the Company’s operations.</w:t>
      </w:r>
    </w:p>
    <w:p>
      <w:pPr>
        <w:spacing w:after="0" w:line="75" w:lineRule="exact"/>
        <w:rPr>
          <w:sz w:val="20"/>
          <w:szCs w:val="20"/>
          <w:color w:val="auto"/>
        </w:rPr>
      </w:pPr>
    </w:p>
    <w:p>
      <w:pPr>
        <w:ind w:left="600" w:right="160"/>
        <w:spacing w:after="0" w:line="277" w:lineRule="auto"/>
        <w:rPr>
          <w:sz w:val="20"/>
          <w:szCs w:val="20"/>
          <w:color w:val="auto"/>
        </w:rPr>
      </w:pPr>
      <w:r>
        <w:rPr>
          <w:rFonts w:ascii="Times New Roman" w:cs="Times New Roman" w:eastAsia="Times New Roman" w:hAnsi="Times New Roman"/>
          <w:sz w:val="18"/>
          <w:szCs w:val="18"/>
          <w:color w:val="auto"/>
        </w:rPr>
        <w:t>The Company incurred an aggregate of $1.1 million in acquisition-related costs related to the aforementioned acquisitions during the year ended December 31, 2019. These costs are included in general and administrative expenses in the consolidated statements of operations.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60"/>
          </w:cols>
          <w:pgMar w:left="320" w:top="454" w:right="51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600" w:hanging="426"/>
        <w:spacing w:after="0"/>
        <w:tabs>
          <w:tab w:leader="none" w:pos="60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17"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41"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4"/>
                <w:szCs w:val="14"/>
                <w:color w:val="auto"/>
              </w:rPr>
            </w:pPr>
          </w:p>
        </w:tc>
        <w:tc>
          <w:tcPr>
            <w:tcW w:w="18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0" w:type="dxa"/>
            <w:vAlign w:val="bottom"/>
          </w:tcPr>
          <w:p>
            <w:pPr>
              <w:spacing w:after="0"/>
              <w:rPr>
                <w:sz w:val="1"/>
                <w:szCs w:val="1"/>
                <w:color w:val="auto"/>
              </w:rPr>
            </w:pPr>
          </w:p>
        </w:tc>
      </w:tr>
      <w:tr>
        <w:trPr>
          <w:trHeight w:val="140"/>
        </w:trPr>
        <w:tc>
          <w:tcPr>
            <w:tcW w:w="64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5"/>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$3,448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Lease incentive receivable</w:t>
            </w:r>
          </w:p>
        </w:tc>
        <w:tc>
          <w:tcPr>
            <w:tcW w:w="20" w:type="dxa"/>
            <w:vAlign w:val="bottom"/>
          </w:tcPr>
          <w:p>
            <w:pPr>
              <w:spacing w:after="0"/>
              <w:rPr>
                <w:sz w:val="18"/>
                <w:szCs w:val="18"/>
                <w:color w:val="auto"/>
              </w:rPr>
            </w:pPr>
          </w:p>
        </w:tc>
        <w:tc>
          <w:tcPr>
            <w:tcW w:w="4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5,112</w:t>
            </w:r>
          </w:p>
        </w:tc>
        <w:tc>
          <w:tcPr>
            <w:tcW w:w="7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12,403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600" w:hanging="426"/>
        <w:spacing w:after="0"/>
        <w:tabs>
          <w:tab w:leader="none" w:pos="60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17"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consisted of the following:</w:t>
      </w:r>
    </w:p>
    <w:p>
      <w:pPr>
        <w:spacing w:after="0" w:line="241"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0" w:type="dxa"/>
            <w:vAlign w:val="bottom"/>
          </w:tcPr>
          <w:p>
            <w:pPr>
              <w:spacing w:after="0"/>
              <w:rPr>
                <w:sz w:val="1"/>
                <w:szCs w:val="1"/>
                <w:color w:val="auto"/>
              </w:rPr>
            </w:pPr>
          </w:p>
        </w:tc>
      </w:tr>
      <w:tr>
        <w:trPr>
          <w:trHeight w:val="140"/>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4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51"/>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4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1,542</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(554)</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20"/>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the years ended December 31, 2018 and 2019, depreciation expense was $0.3 million and $0.7 million, respectively.</w:t>
      </w:r>
    </w:p>
    <w:p>
      <w:pPr>
        <w:spacing w:after="0" w:line="363" w:lineRule="exact"/>
        <w:rPr>
          <w:sz w:val="20"/>
          <w:szCs w:val="20"/>
          <w:color w:val="auto"/>
        </w:rPr>
      </w:pPr>
    </w:p>
    <w:p>
      <w:pPr>
        <w:ind w:left="600" w:hanging="426"/>
        <w:spacing w:after="0"/>
        <w:tabs>
          <w:tab w:leader="none" w:pos="60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17"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changes in the carrying amount of goodwill for the years ended December 31, 2018 and 2019:</w:t>
      </w:r>
    </w:p>
    <w:p>
      <w:pPr>
        <w:spacing w:after="0" w:line="241"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60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7"/>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5"/>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220,420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220,420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Add: Sappira Inc. acquisition and FocusScript Acquisition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impairments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220,420</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236,225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600" w:hanging="426"/>
        <w:spacing w:after="0"/>
        <w:tabs>
          <w:tab w:leader="none" w:pos="60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17"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details of the Company’s intangible assets:</w:t>
      </w:r>
    </w:p>
    <w:p>
      <w:pPr>
        <w:spacing w:after="0" w:line="241"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3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At December 31, 2018</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240" w:type="dxa"/>
            <w:vAlign w:val="bottom"/>
          </w:tcPr>
          <w:p>
            <w:pPr>
              <w:spacing w:after="0"/>
              <w:rPr>
                <w:sz w:val="10"/>
                <w:szCs w:val="10"/>
                <w:color w:val="auto"/>
              </w:rPr>
            </w:pPr>
          </w:p>
        </w:tc>
        <w:tc>
          <w:tcPr>
            <w:tcW w:w="3000" w:type="dxa"/>
            <w:vAlign w:val="bottom"/>
            <w:gridSpan w:val="2"/>
            <w:vMerge w:val="restart"/>
          </w:tcPr>
          <w:p>
            <w:pPr>
              <w:jc w:val="center"/>
              <w:ind w:left="1715"/>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80" w:type="dxa"/>
            <w:vAlign w:val="bottom"/>
          </w:tcPr>
          <w:p>
            <w:pPr>
              <w:spacing w:after="0"/>
              <w:rPr>
                <w:sz w:val="10"/>
                <w:szCs w:val="10"/>
                <w:color w:val="auto"/>
              </w:rPr>
            </w:pPr>
          </w:p>
        </w:tc>
        <w:tc>
          <w:tcPr>
            <w:tcW w:w="58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Gross</w:t>
            </w:r>
          </w:p>
        </w:tc>
        <w:tc>
          <w:tcPr>
            <w:tcW w:w="1760" w:type="dxa"/>
            <w:vAlign w:val="bottom"/>
            <w:gridSpan w:val="4"/>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60" w:type="dxa"/>
            <w:vAlign w:val="bottom"/>
            <w:gridSpan w:val="4"/>
            <w:vMerge w:val="restart"/>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7"/>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amounts in thousands)</w:t>
            </w:r>
          </w:p>
        </w:tc>
        <w:tc>
          <w:tcPr>
            <w:tcW w:w="30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760" w:type="dxa"/>
            <w:vAlign w:val="bottom"/>
            <w:gridSpan w:val="4"/>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40" w:type="dxa"/>
            <w:vAlign w:val="bottom"/>
            <w:vMerge w:val="continue"/>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60" w:type="dxa"/>
            <w:vAlign w:val="bottom"/>
            <w:gridSpan w:val="4"/>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3000" w:type="dxa"/>
            <w:vAlign w:val="bottom"/>
            <w:gridSpan w:val="2"/>
            <w:shd w:val="clear" w:color="auto" w:fill="CCEEFF"/>
          </w:tcPr>
          <w:p>
            <w:pPr>
              <w:jc w:val="center"/>
              <w:ind w:left="1715"/>
              <w:spacing w:after="0"/>
              <w:rPr>
                <w:sz w:val="20"/>
                <w:szCs w:val="20"/>
                <w:color w:val="auto"/>
              </w:rPr>
            </w:pPr>
            <w:r>
              <w:rPr>
                <w:rFonts w:ascii="Times New Roman" w:cs="Times New Roman" w:eastAsia="Times New Roman" w:hAnsi="Times New Roman"/>
                <w:sz w:val="18"/>
                <w:szCs w:val="18"/>
                <w:color w:val="auto"/>
                <w:w w:val="99"/>
              </w:rPr>
              <w:t>5-7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(7,496)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0" w:type="dxa"/>
            <w:vAlign w:val="bottom"/>
            <w:gridSpan w:val="2"/>
          </w:tcPr>
          <w:p>
            <w:pPr>
              <w:jc w:val="center"/>
              <w:ind w:left="1715"/>
              <w:spacing w:after="0"/>
              <w:rPr>
                <w:sz w:val="20"/>
                <w:szCs w:val="20"/>
                <w:color w:val="auto"/>
              </w:rPr>
            </w:pPr>
            <w:r>
              <w:rPr>
                <w:rFonts w:ascii="Times New Roman" w:cs="Times New Roman" w:eastAsia="Times New Roman" w:hAnsi="Times New Roman"/>
                <w:sz w:val="18"/>
                <w:szCs w:val="18"/>
                <w:color w:val="auto"/>
                <w:w w:val="88"/>
              </w:rPr>
              <w:t>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(1,690)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000" w:type="dxa"/>
            <w:vAlign w:val="bottom"/>
            <w:gridSpan w:val="2"/>
            <w:shd w:val="clear" w:color="auto" w:fill="CCEEFF"/>
          </w:tcPr>
          <w:p>
            <w:pPr>
              <w:jc w:val="center"/>
              <w:ind w:left="1715"/>
              <w:spacing w:after="0"/>
              <w:rPr>
                <w:sz w:val="20"/>
                <w:szCs w:val="20"/>
                <w:color w:val="auto"/>
              </w:rPr>
            </w:pPr>
            <w:r>
              <w:rPr>
                <w:rFonts w:ascii="Times New Roman" w:cs="Times New Roman" w:eastAsia="Times New Roman" w:hAnsi="Times New Roman"/>
                <w:sz w:val="18"/>
                <w:szCs w:val="18"/>
                <w:color w:val="auto"/>
                <w:w w:val="99"/>
              </w:rPr>
              <w:t>4-5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31,298</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(20,256)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45,498</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(29,442</w:t>
            </w:r>
          </w:p>
        </w:tc>
        <w:tc>
          <w:tcPr>
            <w:tcW w:w="340" w:type="dxa"/>
            <w:vAlign w:val="bottom"/>
          </w:tcPr>
          <w:p>
            <w:pPr>
              <w:jc w:val="right"/>
              <w:ind w:right="261"/>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00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8"/>
                <w:szCs w:val="18"/>
                <w:color w:val="auto"/>
              </w:rPr>
              <w:t>F-19</w:t>
            </w: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240" w:type="dxa"/>
            <w:vAlign w:val="bottom"/>
          </w:tcPr>
          <w:p>
            <w:pPr>
              <w:spacing w:after="0"/>
              <w:rPr>
                <w:sz w:val="24"/>
                <w:szCs w:val="24"/>
                <w:color w:val="auto"/>
              </w:rPr>
            </w:pPr>
          </w:p>
        </w:tc>
        <w:tc>
          <w:tcPr>
            <w:tcW w:w="30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40"/>
          </w:cols>
          <w:pgMar w:left="320" w:top="454" w:right="9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3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At December 31, 2019</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460" w:type="dxa"/>
            <w:vAlign w:val="bottom"/>
          </w:tcPr>
          <w:p>
            <w:pPr>
              <w:spacing w:after="0"/>
              <w:rPr>
                <w:sz w:val="10"/>
                <w:szCs w:val="10"/>
                <w:color w:val="auto"/>
              </w:rPr>
            </w:pPr>
          </w:p>
        </w:tc>
        <w:tc>
          <w:tcPr>
            <w:tcW w:w="2780" w:type="dxa"/>
            <w:vAlign w:val="bottom"/>
            <w:gridSpan w:val="2"/>
            <w:vMerge w:val="restart"/>
          </w:tcPr>
          <w:p>
            <w:pPr>
              <w:jc w:val="center"/>
              <w:ind w:left="1475"/>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00" w:type="dxa"/>
            <w:vAlign w:val="bottom"/>
          </w:tcPr>
          <w:p>
            <w:pPr>
              <w:spacing w:after="0"/>
              <w:rPr>
                <w:sz w:val="10"/>
                <w:szCs w:val="10"/>
                <w:color w:val="auto"/>
              </w:rPr>
            </w:pPr>
          </w:p>
        </w:tc>
        <w:tc>
          <w:tcPr>
            <w:tcW w:w="6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Gross</w:t>
            </w:r>
          </w:p>
        </w:tc>
        <w:tc>
          <w:tcPr>
            <w:tcW w:w="172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7"/>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amounts in thousands)</w:t>
            </w:r>
          </w:p>
        </w:tc>
        <w:tc>
          <w:tcPr>
            <w:tcW w:w="27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720" w:type="dxa"/>
            <w:vAlign w:val="bottom"/>
            <w:gridSpan w:val="4"/>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46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94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2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2780" w:type="dxa"/>
            <w:vAlign w:val="bottom"/>
            <w:gridSpan w:val="2"/>
            <w:shd w:val="clear" w:color="auto" w:fill="CCEEFF"/>
          </w:tcPr>
          <w:p>
            <w:pPr>
              <w:jc w:val="center"/>
              <w:ind w:left="1575"/>
              <w:spacing w:after="0"/>
              <w:rPr>
                <w:sz w:val="20"/>
                <w:szCs w:val="20"/>
                <w:color w:val="auto"/>
              </w:rPr>
            </w:pPr>
            <w:r>
              <w:rPr>
                <w:rFonts w:ascii="Times New Roman" w:cs="Times New Roman" w:eastAsia="Times New Roman" w:hAnsi="Times New Roman"/>
                <w:sz w:val="18"/>
                <w:szCs w:val="18"/>
                <w:color w:val="auto"/>
                <w:w w:val="99"/>
              </w:rPr>
              <w:t>5-7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7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(9,856)</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780" w:type="dxa"/>
            <w:vAlign w:val="bottom"/>
            <w:gridSpan w:val="2"/>
          </w:tcPr>
          <w:p>
            <w:pPr>
              <w:jc w:val="center"/>
              <w:ind w:left="1575"/>
              <w:spacing w:after="0"/>
              <w:rPr>
                <w:sz w:val="20"/>
                <w:szCs w:val="20"/>
                <w:color w:val="auto"/>
              </w:rPr>
            </w:pPr>
            <w:r>
              <w:rPr>
                <w:rFonts w:ascii="Times New Roman" w:cs="Times New Roman" w:eastAsia="Times New Roman" w:hAnsi="Times New Roman"/>
                <w:sz w:val="18"/>
                <w:szCs w:val="18"/>
                <w:color w:val="auto"/>
                <w:w w:val="88"/>
              </w:rPr>
              <w:t>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780" w:type="dxa"/>
            <w:vAlign w:val="bottom"/>
            <w:gridSpan w:val="2"/>
            <w:shd w:val="clear" w:color="auto" w:fill="CCEEFF"/>
          </w:tcPr>
          <w:p>
            <w:pPr>
              <w:jc w:val="center"/>
              <w:ind w:left="1575"/>
              <w:spacing w:after="0"/>
              <w:rPr>
                <w:sz w:val="20"/>
                <w:szCs w:val="20"/>
                <w:color w:val="auto"/>
              </w:rPr>
            </w:pPr>
            <w:r>
              <w:rPr>
                <w:rFonts w:ascii="Times New Roman" w:cs="Times New Roman" w:eastAsia="Times New Roman" w:hAnsi="Times New Roman"/>
                <w:sz w:val="18"/>
                <w:szCs w:val="18"/>
                <w:color w:val="auto"/>
                <w:w w:val="99"/>
              </w:rPr>
              <w:t>4-5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(28,075)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2780" w:type="dxa"/>
            <w:vAlign w:val="bottom"/>
            <w:gridSpan w:val="2"/>
          </w:tcPr>
          <w:p>
            <w:pPr>
              <w:jc w:val="center"/>
              <w:ind w:left="1575"/>
              <w:spacing w:after="0"/>
              <w:rPr>
                <w:sz w:val="20"/>
                <w:szCs w:val="20"/>
                <w:color w:val="auto"/>
              </w:rPr>
            </w:pPr>
            <w:r>
              <w:rPr>
                <w:rFonts w:ascii="Times New Roman" w:cs="Times New Roman" w:eastAsia="Times New Roman" w:hAnsi="Times New Roman"/>
                <w:sz w:val="18"/>
                <w:szCs w:val="18"/>
                <w:color w:val="auto"/>
                <w:w w:val="88"/>
              </w:rPr>
              <w:t>1</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61,898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(40,631)</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weighted-average remaining life of intangible assets was 5.0 and 4.4 years at December 31, 2018 and 2019, respectively.</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the years ended December 31, 2018 and 2019, amortization expense was $9.1 million and $11.2 million, respectively.</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 December 31, 2019, the expected amortization of intangible assets for future periods is as follows:</w:t>
      </w:r>
    </w:p>
    <w:p>
      <w:pPr>
        <w:spacing w:after="0" w:line="24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6985</wp:posOffset>
            </wp:positionV>
            <wp:extent cx="4699000" cy="135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699000" cy="135890"/>
                    </a:xfrm>
                    <a:prstGeom prst="rect">
                      <a:avLst/>
                    </a:prstGeom>
                    <a:noFill/>
                  </pic:spPr>
                </pic:pic>
              </a:graphicData>
            </a:graphic>
          </wp:anchor>
        </w:drawing>
      </w:r>
    </w:p>
    <w:p>
      <w:pPr>
        <w:ind w:left="192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6" w:lineRule="exact"/>
        <w:rPr>
          <w:sz w:val="20"/>
          <w:szCs w:val="20"/>
          <w:color w:val="auto"/>
        </w:rPr>
      </w:pPr>
    </w:p>
    <w:tbl>
      <w:tblPr>
        <w:tblLayout w:type="fixed"/>
        <w:tblInd w:w="1920" w:type="dxa"/>
        <w:tblCellMar>
          <w:top w:w="0" w:type="dxa"/>
          <w:left w:w="0" w:type="dxa"/>
          <w:bottom w:w="0" w:type="dxa"/>
          <w:right w:w="0" w:type="dxa"/>
        </w:tblCellMar>
      </w:tblPr>
      <w:tr>
        <w:trPr>
          <w:trHeight w:val="213"/>
        </w:trPr>
        <w:tc>
          <w:tcPr>
            <w:tcW w:w="6720" w:type="dxa"/>
            <w:vAlign w:val="bottom"/>
            <w:gridSpan w:val="2"/>
          </w:tcPr>
          <w:p>
            <w:pPr>
              <w:jc w:val="right"/>
              <w:ind w:right="6271"/>
              <w:spacing w:after="0"/>
              <w:rPr>
                <w:sz w:val="20"/>
                <w:szCs w:val="20"/>
                <w:color w:val="auto"/>
              </w:rPr>
            </w:pPr>
            <w:r>
              <w:rPr>
                <w:rFonts w:ascii="Times New Roman" w:cs="Times New Roman" w:eastAsia="Times New Roman" w:hAnsi="Times New Roman"/>
                <w:sz w:val="18"/>
                <w:szCs w:val="18"/>
                <w:color w:val="auto"/>
                <w:w w:val="94"/>
              </w:rPr>
              <w:t>2020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$ 11,048</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jc w:val="right"/>
              <w:ind w:right="6271"/>
              <w:spacing w:after="0"/>
              <w:rPr>
                <w:sz w:val="20"/>
                <w:szCs w:val="20"/>
                <w:color w:val="auto"/>
              </w:rPr>
            </w:pPr>
            <w:r>
              <w:rPr>
                <w:rFonts w:ascii="Times New Roman" w:cs="Times New Roman" w:eastAsia="Times New Roman" w:hAnsi="Times New Roman"/>
                <w:sz w:val="18"/>
                <w:szCs w:val="18"/>
                <w:color w:val="auto"/>
                <w:w w:val="88"/>
              </w:rPr>
              <w:t>2021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700" w:type="dxa"/>
            <w:vAlign w:val="bottom"/>
          </w:tcPr>
          <w:p>
            <w:pPr>
              <w:jc w:val="right"/>
              <w:ind w:right="6271"/>
              <w:spacing w:after="0"/>
              <w:rPr>
                <w:sz w:val="20"/>
                <w:szCs w:val="20"/>
                <w:color w:val="auto"/>
              </w:rPr>
            </w:pPr>
            <w:r>
              <w:rPr>
                <w:rFonts w:ascii="Times New Roman" w:cs="Times New Roman" w:eastAsia="Times New Roman" w:hAnsi="Times New Roman"/>
                <w:sz w:val="18"/>
                <w:szCs w:val="18"/>
                <w:color w:val="auto"/>
                <w:w w:val="88"/>
              </w:rPr>
              <w:t>2022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jc w:val="right"/>
              <w:ind w:right="6271"/>
              <w:spacing w:after="0"/>
              <w:rPr>
                <w:sz w:val="20"/>
                <w:szCs w:val="20"/>
                <w:color w:val="auto"/>
              </w:rPr>
            </w:pPr>
            <w:r>
              <w:rPr>
                <w:rFonts w:ascii="Times New Roman" w:cs="Times New Roman" w:eastAsia="Times New Roman" w:hAnsi="Times New Roman"/>
                <w:sz w:val="18"/>
                <w:szCs w:val="18"/>
                <w:color w:val="auto"/>
                <w:w w:val="88"/>
              </w:rPr>
              <w:t>2023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700" w:type="dxa"/>
            <w:vAlign w:val="bottom"/>
          </w:tcPr>
          <w:p>
            <w:pPr>
              <w:jc w:val="right"/>
              <w:ind w:right="6271"/>
              <w:spacing w:after="0"/>
              <w:rPr>
                <w:sz w:val="20"/>
                <w:szCs w:val="20"/>
                <w:color w:val="auto"/>
              </w:rPr>
            </w:pPr>
            <w:r>
              <w:rPr>
                <w:rFonts w:ascii="Times New Roman" w:cs="Times New Roman" w:eastAsia="Times New Roman" w:hAnsi="Times New Roman"/>
                <w:sz w:val="18"/>
                <w:szCs w:val="18"/>
                <w:color w:val="auto"/>
                <w:w w:val="88"/>
              </w:rPr>
              <w:t>2024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jc w:val="right"/>
              <w:ind w:right="5251"/>
              <w:spacing w:after="0"/>
              <w:rPr>
                <w:sz w:val="20"/>
                <w:szCs w:val="20"/>
                <w:color w:val="auto"/>
              </w:rPr>
            </w:pPr>
            <w:r>
              <w:rPr>
                <w:rFonts w:ascii="Times New Roman" w:cs="Times New Roman" w:eastAsia="Times New Roman" w:hAnsi="Times New Roman"/>
                <w:sz w:val="18"/>
                <w:szCs w:val="18"/>
                <w:color w:val="auto"/>
                <w:w w:val="95"/>
              </w:rPr>
              <w:t>2025 and thereafter</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$ 21,267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2" w:lineRule="exact"/>
        <w:rPr>
          <w:sz w:val="20"/>
          <w:szCs w:val="20"/>
          <w:color w:val="auto"/>
        </w:rPr>
      </w:pPr>
    </w:p>
    <w:p>
      <w:pPr>
        <w:ind w:left="600" w:hanging="426"/>
        <w:spacing w:after="0"/>
        <w:tabs>
          <w:tab w:leader="none" w:pos="60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Capitalized Software</w:t>
      </w:r>
    </w:p>
    <w:p>
      <w:pPr>
        <w:spacing w:after="0" w:line="117"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details of the Company’s capitalized software:</w:t>
      </w:r>
    </w:p>
    <w:p>
      <w:pPr>
        <w:spacing w:after="0" w:line="241"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0" w:type="dxa"/>
            <w:vAlign w:val="bottom"/>
          </w:tcPr>
          <w:p>
            <w:pPr>
              <w:spacing w:after="0"/>
              <w:rPr>
                <w:sz w:val="14"/>
                <w:szCs w:val="14"/>
                <w:color w:val="auto"/>
              </w:rPr>
            </w:pPr>
          </w:p>
        </w:tc>
        <w:tc>
          <w:tcPr>
            <w:tcW w:w="19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0" w:type="dxa"/>
            <w:vAlign w:val="bottom"/>
          </w:tcPr>
          <w:p>
            <w:pPr>
              <w:spacing w:after="0"/>
              <w:rPr>
                <w:sz w:val="1"/>
                <w:szCs w:val="1"/>
                <w:color w:val="auto"/>
              </w:rPr>
            </w:pPr>
          </w:p>
        </w:tc>
      </w:tr>
      <w:tr>
        <w:trPr>
          <w:trHeight w:val="140"/>
        </w:trPr>
        <w:tc>
          <w:tcPr>
            <w:tcW w:w="4320" w:type="dxa"/>
            <w:vAlign w:val="bottom"/>
            <w:vMerge w:val="continue"/>
          </w:tcPr>
          <w:p>
            <w:pPr>
              <w:spacing w:after="0"/>
              <w:rPr>
                <w:sz w:val="12"/>
                <w:szCs w:val="12"/>
                <w:color w:val="auto"/>
              </w:rPr>
            </w:pPr>
          </w:p>
        </w:tc>
        <w:tc>
          <w:tcPr>
            <w:tcW w:w="2000" w:type="dxa"/>
            <w:vAlign w:val="bottom"/>
          </w:tcPr>
          <w:p>
            <w:pPr>
              <w:spacing w:after="0"/>
              <w:rPr>
                <w:sz w:val="12"/>
                <w:szCs w:val="12"/>
                <w:color w:val="auto"/>
              </w:rPr>
            </w:pPr>
          </w:p>
        </w:tc>
        <w:tc>
          <w:tcPr>
            <w:tcW w:w="480" w:type="dxa"/>
            <w:vAlign w:val="bottom"/>
            <w:tcBorders>
              <w:top w:val="single" w:sz="8" w:color="auto"/>
            </w:tcBorders>
          </w:tcPr>
          <w:p>
            <w:pPr>
              <w:jc w:val="right"/>
              <w:ind w:right="23"/>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(440)</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(2,185)</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2,214</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the years ended December 31, 2018 and 2019, amortization expense was $0.4 million and $1.7 million, respectively.</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 December 31, 2019, the expected amortization of capitalized software for future periods is as follows:</w:t>
      </w:r>
    </w:p>
    <w:p>
      <w:pPr>
        <w:spacing w:after="0" w:line="24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6985</wp:posOffset>
            </wp:positionV>
            <wp:extent cx="4699000" cy="135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699000" cy="135890"/>
                    </a:xfrm>
                    <a:prstGeom prst="rect">
                      <a:avLst/>
                    </a:prstGeom>
                    <a:noFill/>
                  </pic:spPr>
                </pic:pic>
              </a:graphicData>
            </a:graphic>
          </wp:anchor>
        </w:drawing>
      </w:r>
    </w:p>
    <w:p>
      <w:pPr>
        <w:ind w:left="192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6" w:lineRule="exact"/>
        <w:rPr>
          <w:sz w:val="20"/>
          <w:szCs w:val="20"/>
          <w:color w:val="auto"/>
        </w:rPr>
      </w:pPr>
    </w:p>
    <w:tbl>
      <w:tblPr>
        <w:tblLayout w:type="fixed"/>
        <w:tblInd w:w="1920" w:type="dxa"/>
        <w:tblCellMar>
          <w:top w:w="0" w:type="dxa"/>
          <w:left w:w="0" w:type="dxa"/>
          <w:bottom w:w="0" w:type="dxa"/>
          <w:right w:w="0" w:type="dxa"/>
        </w:tblCellMar>
      </w:tblPr>
      <w:tr>
        <w:trPr>
          <w:trHeight w:val="213"/>
        </w:trPr>
        <w:tc>
          <w:tcPr>
            <w:tcW w:w="1940" w:type="dxa"/>
            <w:vAlign w:val="bottom"/>
            <w:gridSpan w:val="2"/>
          </w:tcPr>
          <w:p>
            <w:pPr>
              <w:jc w:val="right"/>
              <w:ind w:right="1491"/>
              <w:spacing w:after="0"/>
              <w:rPr>
                <w:sz w:val="20"/>
                <w:szCs w:val="20"/>
                <w:color w:val="auto"/>
              </w:rPr>
            </w:pPr>
            <w:r>
              <w:rPr>
                <w:rFonts w:ascii="Times New Roman" w:cs="Times New Roman" w:eastAsia="Times New Roman" w:hAnsi="Times New Roman"/>
                <w:sz w:val="18"/>
                <w:szCs w:val="18"/>
                <w:color w:val="auto"/>
                <w:w w:val="94"/>
              </w:rPr>
              <w:t>2020</w:t>
            </w:r>
          </w:p>
        </w:tc>
        <w:tc>
          <w:tcPr>
            <w:tcW w:w="5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920" w:type="dxa"/>
            <w:vAlign w:val="bottom"/>
            <w:shd w:val="clear" w:color="auto" w:fill="CCEEFF"/>
          </w:tcPr>
          <w:p>
            <w:pPr>
              <w:jc w:val="right"/>
              <w:ind w:right="1491"/>
              <w:spacing w:after="0"/>
              <w:rPr>
                <w:sz w:val="20"/>
                <w:szCs w:val="20"/>
                <w:color w:val="auto"/>
              </w:rPr>
            </w:pPr>
            <w:r>
              <w:rPr>
                <w:rFonts w:ascii="Times New Roman" w:cs="Times New Roman" w:eastAsia="Times New Roman" w:hAnsi="Times New Roman"/>
                <w:sz w:val="18"/>
                <w:szCs w:val="18"/>
                <w:color w:val="auto"/>
                <w:w w:val="88"/>
              </w:rPr>
              <w:t>2021</w:t>
            </w:r>
          </w:p>
        </w:tc>
        <w:tc>
          <w:tcPr>
            <w:tcW w:w="5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6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1920" w:type="dxa"/>
            <w:vAlign w:val="bottom"/>
          </w:tcPr>
          <w:p>
            <w:pPr>
              <w:jc w:val="right"/>
              <w:ind w:right="1491"/>
              <w:spacing w:after="0"/>
              <w:rPr>
                <w:sz w:val="20"/>
                <w:szCs w:val="20"/>
                <w:color w:val="auto"/>
              </w:rPr>
            </w:pPr>
            <w:r>
              <w:rPr>
                <w:rFonts w:ascii="Times New Roman" w:cs="Times New Roman" w:eastAsia="Times New Roman" w:hAnsi="Times New Roman"/>
                <w:sz w:val="18"/>
                <w:szCs w:val="18"/>
                <w:color w:val="auto"/>
                <w:w w:val="88"/>
              </w:rPr>
              <w:t>2022</w:t>
            </w:r>
          </w:p>
        </w:tc>
        <w:tc>
          <w:tcPr>
            <w:tcW w:w="49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5,178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F-20</w:t>
            </w:r>
          </w:p>
        </w:tc>
      </w:tr>
    </w:tbl>
    <w:p>
      <w:pPr>
        <w:sectPr>
          <w:pgSz w:w="11900" w:h="16838" w:orient="portrait"/>
          <w:cols w:equalWidth="0" w:num="1">
            <w:col w:w="10640"/>
          </w:cols>
          <w:pgMar w:left="320" w:top="454" w:right="9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600" w:hanging="426"/>
        <w:spacing w:after="0"/>
        <w:tabs>
          <w:tab w:leader="none" w:pos="60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17" w:lineRule="exact"/>
        <w:rPr>
          <w:rFonts w:ascii="Times New Roman" w:cs="Times New Roman" w:eastAsia="Times New Roman" w:hAnsi="Times New Roman"/>
          <w:sz w:val="18"/>
          <w:szCs w:val="18"/>
          <w:b w:val="1"/>
          <w:bCs w:val="1"/>
          <w:color w:val="auto"/>
        </w:rPr>
      </w:pPr>
    </w:p>
    <w:p>
      <w:pPr>
        <w:ind w:left="60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components of accrued expenses and other current liabilities in the accompanying consolidated balance sheets at December 31, 2018 and 2019:</w:t>
      </w:r>
    </w:p>
    <w:p>
      <w:pPr>
        <w:spacing w:after="0" w:line="184"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60" w:type="dxa"/>
            <w:vAlign w:val="bottom"/>
          </w:tcPr>
          <w:p>
            <w:pPr>
              <w:spacing w:after="0"/>
              <w:rPr>
                <w:sz w:val="14"/>
                <w:szCs w:val="14"/>
                <w:color w:val="auto"/>
              </w:rPr>
            </w:pPr>
          </w:p>
        </w:tc>
        <w:tc>
          <w:tcPr>
            <w:tcW w:w="16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0" w:type="dxa"/>
            <w:vAlign w:val="bottom"/>
          </w:tcPr>
          <w:p>
            <w:pPr>
              <w:spacing w:after="0"/>
              <w:rPr>
                <w:sz w:val="1"/>
                <w:szCs w:val="1"/>
                <w:color w:val="auto"/>
              </w:rPr>
            </w:pPr>
          </w:p>
        </w:tc>
      </w:tr>
      <w:tr>
        <w:trPr>
          <w:trHeight w:val="140"/>
        </w:trPr>
        <w:tc>
          <w:tcPr>
            <w:tcW w:w="532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tcBorders>
              <w:top w:val="single" w:sz="8" w:color="auto"/>
            </w:tcBorders>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bonus and payroll</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360" w:type="dxa"/>
            <w:vAlign w:val="bottom"/>
          </w:tcPr>
          <w:p>
            <w:pPr>
              <w:spacing w:after="0"/>
              <w:rPr>
                <w:sz w:val="18"/>
                <w:szCs w:val="18"/>
                <w:color w:val="auto"/>
              </w:rPr>
            </w:pP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marketing expense</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360" w:type="dxa"/>
            <w:vAlign w:val="bottom"/>
          </w:tcPr>
          <w:p>
            <w:pPr>
              <w:spacing w:after="0"/>
              <w:rPr>
                <w:sz w:val="19"/>
                <w:szCs w:val="19"/>
                <w:color w:val="auto"/>
              </w:rPr>
            </w:pPr>
          </w:p>
        </w:tc>
        <w:tc>
          <w:tcPr>
            <w:tcW w:w="5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3,990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600" w:hanging="426"/>
        <w:spacing w:after="0"/>
        <w:tabs>
          <w:tab w:leader="none" w:pos="60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7" w:lineRule="exact"/>
        <w:rPr>
          <w:rFonts w:ascii="Times New Roman" w:cs="Times New Roman" w:eastAsia="Times New Roman" w:hAnsi="Times New Roman"/>
          <w:sz w:val="18"/>
          <w:szCs w:val="18"/>
          <w:b w:val="1"/>
          <w:bCs w:val="1"/>
          <w:color w:val="auto"/>
        </w:rPr>
      </w:pPr>
    </w:p>
    <w:p>
      <w:pPr>
        <w:ind w:left="600" w:right="20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leases consist of office facilities under noncancellable operating lease arrangements that expire at various dates through 2031. Certain of the Company’s facility leases contain renewal options for periods of up to 10 years, at the Company’s election. The Company has not recognized any renewal options in its estimate of the lease term as they are not reasonably certain of exercise. None of the Company’s lease agreements contain any material residual value guarantees or material restrictive covenants.</w:t>
      </w:r>
    </w:p>
    <w:p>
      <w:pPr>
        <w:spacing w:after="0" w:line="75" w:lineRule="exact"/>
        <w:rPr>
          <w:rFonts w:ascii="Times New Roman" w:cs="Times New Roman" w:eastAsia="Times New Roman" w:hAnsi="Times New Roman"/>
          <w:sz w:val="18"/>
          <w:szCs w:val="18"/>
          <w:b w:val="1"/>
          <w:bCs w:val="1"/>
          <w:color w:val="auto"/>
        </w:rPr>
      </w:pPr>
    </w:p>
    <w:p>
      <w:pPr>
        <w:ind w:left="600" w:right="12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years ended December 31, 2018 and 2019, lease expense of $1.9 million and $3.0 million, respectively, is included in operating expenses in the consolidated statements of operations. The Company did not have any material variable lease costs or short-term lease expenses for the years ended December 31, 2018 and 2019.</w:t>
      </w:r>
    </w:p>
    <w:p>
      <w:pPr>
        <w:spacing w:after="0" w:line="70" w:lineRule="exact"/>
        <w:rPr>
          <w:rFonts w:ascii="Times New Roman" w:cs="Times New Roman" w:eastAsia="Times New Roman" w:hAnsi="Times New Roman"/>
          <w:sz w:val="18"/>
          <w:szCs w:val="18"/>
          <w:b w:val="1"/>
          <w:bCs w:val="1"/>
          <w:color w:val="auto"/>
        </w:rPr>
      </w:pPr>
    </w:p>
    <w:p>
      <w:pPr>
        <w:ind w:left="600" w:right="20"/>
        <w:spacing w:after="0" w:line="28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Cash paid for amounts affecting the measurement of the Company’s operating lease liabilities included in cash flows from operating activities was $2.5 million for the year ended December 31, 2019. The weighted-average remaining lease term at December 31, 2019 was 9.9 years and the weighted-average discount rate as of December 31, 2019 was 5.99%. The Company’s facility leases do not contain material nonlease components.</w:t>
      </w:r>
    </w:p>
    <w:p>
      <w:pPr>
        <w:spacing w:after="0" w:line="51" w:lineRule="exact"/>
        <w:rPr>
          <w:rFonts w:ascii="Times New Roman" w:cs="Times New Roman" w:eastAsia="Times New Roman" w:hAnsi="Times New Roman"/>
          <w:sz w:val="18"/>
          <w:szCs w:val="18"/>
          <w:b w:val="1"/>
          <w:bCs w:val="1"/>
          <w:color w:val="auto"/>
        </w:rPr>
      </w:pPr>
    </w:p>
    <w:p>
      <w:pPr>
        <w:ind w:left="600" w:right="26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future minimum annual lease payments as of December 31, 2018 required under operating leases that have initial or remaining noncancellable lease terms in excess of one year are as follows for the years ending December 31:</w:t>
      </w:r>
    </w:p>
    <w:p>
      <w:pPr>
        <w:spacing w:after="0" w:line="184"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5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5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5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6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6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7,806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24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F-21</w:t>
            </w:r>
          </w:p>
        </w:tc>
      </w:tr>
    </w:tbl>
    <w:p>
      <w:pPr>
        <w:sectPr>
          <w:pgSz w:w="11900" w:h="16838" w:orient="portrait"/>
          <w:cols w:equalWidth="0" w:num="1">
            <w:col w:w="11060"/>
          </w:cols>
          <w:pgMar w:left="320" w:top="454" w:right="51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presents maturities of operating lease liabilities at December 31, 2019:</w:t>
      </w:r>
    </w:p>
    <w:p>
      <w:pPr>
        <w:spacing w:after="0" w:line="241" w:lineRule="exact"/>
        <w:rPr>
          <w:sz w:val="20"/>
          <w:szCs w:val="20"/>
          <w:color w:val="auto"/>
        </w:rPr>
      </w:pPr>
    </w:p>
    <w:tbl>
      <w:tblPr>
        <w:tblLayout w:type="fixed"/>
        <w:tblInd w:w="1920" w:type="dxa"/>
        <w:tblCellMar>
          <w:top w:w="0" w:type="dxa"/>
          <w:left w:w="0" w:type="dxa"/>
          <w:bottom w:w="0" w:type="dxa"/>
          <w:right w:w="0" w:type="dxa"/>
        </w:tblCellMar>
      </w:tblPr>
      <w:tr>
        <w:trPr>
          <w:trHeight w:val="187"/>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9"/>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Years Ending December 31,</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2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33,437</w:t>
            </w:r>
          </w:p>
        </w:tc>
        <w:tc>
          <w:tcPr>
            <w:tcW w:w="12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55,953</w:t>
            </w:r>
          </w:p>
        </w:tc>
        <w:tc>
          <w:tcPr>
            <w:tcW w:w="12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Less: Effects of discounting</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(15,887)</w:t>
            </w:r>
          </w:p>
        </w:tc>
      </w:tr>
      <w:tr>
        <w:trPr>
          <w:trHeight w:val="214"/>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40,066</w:t>
            </w:r>
          </w:p>
        </w:tc>
        <w:tc>
          <w:tcPr>
            <w:tcW w:w="120" w:type="dxa"/>
            <w:vAlign w:val="bottom"/>
            <w:shd w:val="clear" w:color="auto" w:fill="CCEEFF"/>
          </w:tcPr>
          <w:p>
            <w:pPr>
              <w:spacing w:after="0"/>
              <w:rPr>
                <w:sz w:val="18"/>
                <w:szCs w:val="18"/>
                <w:color w:val="auto"/>
              </w:rPr>
            </w:pPr>
          </w:p>
        </w:tc>
      </w:tr>
      <w:tr>
        <w:trPr>
          <w:trHeight w:val="227"/>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2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2" w:lineRule="exact"/>
        <w:rPr>
          <w:sz w:val="20"/>
          <w:szCs w:val="20"/>
          <w:color w:val="auto"/>
        </w:rPr>
      </w:pPr>
    </w:p>
    <w:p>
      <w:pPr>
        <w:ind w:left="600"/>
        <w:spacing w:after="0" w:line="277" w:lineRule="auto"/>
        <w:rPr>
          <w:sz w:val="20"/>
          <w:szCs w:val="20"/>
          <w:color w:val="auto"/>
        </w:rPr>
      </w:pPr>
      <w:r>
        <w:rPr>
          <w:rFonts w:ascii="Times New Roman" w:cs="Times New Roman" w:eastAsia="Times New Roman" w:hAnsi="Times New Roman"/>
          <w:sz w:val="18"/>
          <w:szCs w:val="18"/>
          <w:color w:val="auto"/>
        </w:rPr>
        <w:t>Lease incentives of $7.4 million to be received over the next twelve months exceed the minimum lease payments and this amount is recorded in prepaid expenses and other current assets.</w:t>
      </w:r>
    </w:p>
    <w:p>
      <w:pPr>
        <w:spacing w:after="0" w:line="306" w:lineRule="exact"/>
        <w:rPr>
          <w:sz w:val="20"/>
          <w:szCs w:val="20"/>
          <w:color w:val="auto"/>
        </w:rPr>
      </w:pPr>
    </w:p>
    <w:p>
      <w:pPr>
        <w:ind w:left="600" w:hanging="426"/>
        <w:spacing w:after="0"/>
        <w:tabs>
          <w:tab w:leader="none" w:pos="60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17"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Company’s income tax expense are as follows:</w:t>
      </w:r>
    </w:p>
    <w:p>
      <w:pPr>
        <w:spacing w:after="0" w:line="241"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4200" w:type="dxa"/>
            <w:vAlign w:val="bottom"/>
            <w:gridSpan w:val="2"/>
            <w:vMerge w:val="continue"/>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3"/>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2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10,368</w:t>
            </w:r>
          </w:p>
        </w:tc>
        <w:tc>
          <w:tcPr>
            <w:tcW w:w="3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2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(2,433)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(5,674)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right="280"/>
        <w:spacing w:after="0" w:line="277" w:lineRule="auto"/>
        <w:rPr>
          <w:sz w:val="20"/>
          <w:szCs w:val="20"/>
          <w:color w:val="auto"/>
        </w:rPr>
      </w:pPr>
      <w:r>
        <w:rPr>
          <w:rFonts w:ascii="Times New Roman" w:cs="Times New Roman" w:eastAsia="Times New Roman" w:hAnsi="Times New Roman"/>
          <w:sz w:val="18"/>
          <w:szCs w:val="18"/>
          <w:color w:val="auto"/>
        </w:rPr>
        <w:t>The reconciliation of the income tax expense computed at the U.S. Federal statutory rate of 21% to the Company’s income tax expense is as follows:</w:t>
      </w:r>
    </w:p>
    <w:p>
      <w:pPr>
        <w:spacing w:after="0" w:line="184"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3700" w:type="dxa"/>
            <w:vAlign w:val="bottom"/>
            <w:vMerge w:val="continue"/>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3"/>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computed at Federal statutory rate</w:t>
            </w:r>
          </w:p>
        </w:tc>
        <w:tc>
          <w:tcPr>
            <w:tcW w:w="2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(1,661)</w:t>
            </w:r>
          </w:p>
        </w:tc>
        <w:tc>
          <w:tcPr>
            <w:tcW w:w="0" w:type="dxa"/>
            <w:vAlign w:val="bottom"/>
          </w:tcPr>
          <w:p>
            <w:pPr>
              <w:spacing w:after="0"/>
              <w:rPr>
                <w:sz w:val="1"/>
                <w:szCs w:val="1"/>
                <w:color w:val="auto"/>
              </w:rPr>
            </w:pPr>
          </w:p>
        </w:tc>
      </w:tr>
      <w:tr>
        <w:trPr>
          <w:trHeight w:val="214"/>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 for income taxes</w:t>
            </w:r>
          </w:p>
        </w:tc>
        <w:tc>
          <w:tcPr>
            <w:tcW w:w="2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700" w:type="dxa"/>
            <w:vAlign w:val="bottom"/>
          </w:tcPr>
          <w:p>
            <w:pPr>
              <w:spacing w:after="0"/>
              <w:rPr>
                <w:sz w:val="24"/>
                <w:szCs w:val="24"/>
                <w:color w:val="auto"/>
              </w:rPr>
            </w:pPr>
          </w:p>
        </w:tc>
        <w:tc>
          <w:tcPr>
            <w:tcW w:w="2640" w:type="dxa"/>
            <w:vAlign w:val="bottom"/>
            <w:gridSpan w:val="2"/>
          </w:tcPr>
          <w:p>
            <w:pPr>
              <w:jc w:val="right"/>
              <w:ind w:right="2020"/>
              <w:spacing w:after="0"/>
              <w:rPr>
                <w:sz w:val="20"/>
                <w:szCs w:val="20"/>
                <w:color w:val="auto"/>
              </w:rPr>
            </w:pPr>
            <w:r>
              <w:rPr>
                <w:rFonts w:ascii="Times New Roman" w:cs="Times New Roman" w:eastAsia="Times New Roman" w:hAnsi="Times New Roman"/>
                <w:sz w:val="18"/>
                <w:szCs w:val="18"/>
                <w:color w:val="auto"/>
              </w:rPr>
              <w:t>F-22</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54" w:right="71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components of the net deferred tax assets and liabilities are as follows:</w:t>
      </w:r>
    </w:p>
    <w:p>
      <w:pPr>
        <w:spacing w:after="0" w:line="241"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0" w:type="dxa"/>
            <w:vAlign w:val="bottom"/>
          </w:tcPr>
          <w:p>
            <w:pPr>
              <w:spacing w:after="0"/>
              <w:rPr>
                <w:sz w:val="1"/>
                <w:szCs w:val="1"/>
                <w:color w:val="auto"/>
              </w:rPr>
            </w:pPr>
          </w:p>
        </w:tc>
      </w:tr>
      <w:tr>
        <w:trPr>
          <w:trHeight w:val="140"/>
        </w:trPr>
        <w:tc>
          <w:tcPr>
            <w:tcW w:w="508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3"/>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2"/>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liabilities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credits, net of reserves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assets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(4,058)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(5,679)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(4,609)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(15,230)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deferred tax (liability) asset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(2,590)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right="80"/>
        <w:spacing w:after="0" w:line="253" w:lineRule="auto"/>
        <w:rPr>
          <w:sz w:val="20"/>
          <w:szCs w:val="20"/>
          <w:color w:val="auto"/>
        </w:rPr>
      </w:pPr>
      <w:r>
        <w:rPr>
          <w:rFonts w:ascii="Times New Roman" w:cs="Times New Roman" w:eastAsia="Times New Roman" w:hAnsi="Times New Roman"/>
          <w:sz w:val="18"/>
          <w:szCs w:val="18"/>
          <w:color w:val="auto"/>
        </w:rPr>
        <w:t>The Company regularly reviews the deferred tax assets for recoverability and establishes a valuation allowance when it is more likely that some portion, or all, of the deferred tax assets will not be realized. In making the assessment, the Company is required to consider all available positive and negative evidence to determine whether, based on such evidence, it is more likely than not that some portion or all of the net deferred tax assets will not be realized in future periods. At December 31, 2019, the Company has recorded a valuation allowance of $0.6 million for certain deferred tax assets, primarily related to U.S. net operating loss carryforwards (“NOLs”) generated by the VIEs as sufficient uncertainty exists regarding the future realization of these assets.</w:t>
      </w:r>
    </w:p>
    <w:p>
      <w:pPr>
        <w:spacing w:after="0" w:line="80" w:lineRule="exact"/>
        <w:rPr>
          <w:sz w:val="20"/>
          <w:szCs w:val="20"/>
          <w:color w:val="auto"/>
        </w:rPr>
      </w:pPr>
    </w:p>
    <w:p>
      <w:pPr>
        <w:ind w:left="600" w:right="60"/>
        <w:spacing w:after="0" w:line="252" w:lineRule="auto"/>
        <w:rPr>
          <w:sz w:val="20"/>
          <w:szCs w:val="20"/>
          <w:color w:val="auto"/>
        </w:rPr>
      </w:pPr>
      <w:r>
        <w:rPr>
          <w:rFonts w:ascii="Times New Roman" w:cs="Times New Roman" w:eastAsia="Times New Roman" w:hAnsi="Times New Roman"/>
          <w:sz w:val="18"/>
          <w:szCs w:val="18"/>
          <w:color w:val="auto"/>
        </w:rPr>
        <w:t>At December 31, 2019, the Company had U.S. NOLs of $2.4 million available to reduce future federal income taxes. An immaterial portion of these federal NOLs expire in 2037 and the remaining NOLs may be carried over indefinitely. The Company had state NOLs of $0.9 million available to reduce future state income taxes which expire in varying amounts beginning 2029. The Company had U.S. credit carryforwards related to California research and development credits of $3.7 million to offset future California income taxes. Under current California law, unused research credits may be carried over indefinitely. Utilization of these operating loss carryforwards and tax credits may be subject to an annual limitation based on changes in ownership, as defined by Section 382/383 of the Internal Revenue Code (“IRC”) of 1986, as amended. If applicable, the Company expects any adjustments to the financial statements to be immaterial as a valuation allowance was established against its operating loss carryforwards.</w:t>
      </w:r>
    </w:p>
    <w:p>
      <w:pPr>
        <w:spacing w:after="0" w:line="78" w:lineRule="exact"/>
        <w:rPr>
          <w:sz w:val="20"/>
          <w:szCs w:val="20"/>
          <w:color w:val="auto"/>
        </w:rPr>
      </w:pPr>
    </w:p>
    <w:p>
      <w:pPr>
        <w:ind w:left="600"/>
        <w:spacing w:after="0" w:line="262" w:lineRule="auto"/>
        <w:rPr>
          <w:sz w:val="20"/>
          <w:szCs w:val="20"/>
          <w:color w:val="auto"/>
        </w:rPr>
      </w:pPr>
      <w:r>
        <w:rPr>
          <w:rFonts w:ascii="Times New Roman" w:cs="Times New Roman" w:eastAsia="Times New Roman" w:hAnsi="Times New Roman"/>
          <w:sz w:val="18"/>
          <w:szCs w:val="18"/>
          <w:color w:val="auto"/>
        </w:rPr>
        <w:t>In 2018, the Company closed an audit by the Internal Revenue Service (“IRS”) for the year ended December 31, 2015. No assessment was made by the IRS as a result of this audit. At December 31, 2019, the tax years 2016 and forward are subject to examination by the IRS, and the tax years 2015 and forward are subject to examination by the various state taxing jurisdictions in which the Company is subject to tax.</w:t>
      </w:r>
    </w:p>
    <w:p>
      <w:pPr>
        <w:spacing w:after="0" w:line="1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040"/>
          </w:cols>
          <w:pgMar w:left="320" w:top="454" w:right="53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is as follows:</w:t>
      </w:r>
    </w:p>
    <w:p>
      <w:pPr>
        <w:spacing w:after="0" w:line="241"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4"/>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unrecognized tax benefits at December 31, 2017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3,186</w:t>
            </w:r>
          </w:p>
        </w:tc>
        <w:tc>
          <w:tcPr>
            <w:tcW w:w="120" w:type="dxa"/>
            <w:vAlign w:val="bottom"/>
            <w:shd w:val="clear" w:color="auto" w:fill="CCEEFF"/>
          </w:tcPr>
          <w:p>
            <w:pPr>
              <w:spacing w:after="0"/>
              <w:rPr>
                <w:sz w:val="18"/>
                <w:szCs w:val="18"/>
                <w:color w:val="auto"/>
              </w:rPr>
            </w:pPr>
          </w:p>
        </w:tc>
      </w:tr>
      <w:tr>
        <w:trPr>
          <w:trHeight w:val="22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unrecognized tax benefits at December 31, 2018</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4,509</w:t>
            </w:r>
          </w:p>
        </w:tc>
        <w:tc>
          <w:tcPr>
            <w:tcW w:w="12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(879)</w:t>
            </w:r>
          </w:p>
        </w:tc>
      </w:tr>
      <w:tr>
        <w:trPr>
          <w:trHeight w:val="22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1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unrecognized tax benefits at December 31, 2019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4,374</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right="360"/>
        <w:spacing w:after="0" w:line="277" w:lineRule="auto"/>
        <w:rPr>
          <w:sz w:val="20"/>
          <w:szCs w:val="20"/>
          <w:color w:val="auto"/>
        </w:rPr>
      </w:pPr>
      <w:r>
        <w:rPr>
          <w:rFonts w:ascii="Times New Roman" w:cs="Times New Roman" w:eastAsia="Times New Roman" w:hAnsi="Times New Roman"/>
          <w:sz w:val="18"/>
          <w:szCs w:val="18"/>
          <w:color w:val="auto"/>
        </w:rPr>
        <w:t>As of December 31, 2019, the Company had unrecognized tax benefits of $4.4 million, $3.9 million of which, if recognized, would impact its effective tax rate.</w:t>
      </w:r>
    </w:p>
    <w:p>
      <w:pPr>
        <w:spacing w:after="0" w:line="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 estimates unrecognized tax benefits will decrease by $0.3 million in 2020 due to the expiration of statute of limitations.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 December 31, 2018 and 2019, accrued interest and penalties related to uncertain tax positions were $22,000 and $0.1 million, respectively.</w:t>
      </w:r>
    </w:p>
    <w:p>
      <w:pPr>
        <w:spacing w:after="0" w:line="243" w:lineRule="exact"/>
        <w:rPr>
          <w:sz w:val="20"/>
          <w:szCs w:val="20"/>
          <w:color w:val="auto"/>
        </w:rPr>
      </w:pPr>
    </w:p>
    <w:p>
      <w:pPr>
        <w:ind w:left="600" w:hanging="426"/>
        <w:spacing w:after="0"/>
        <w:tabs>
          <w:tab w:leader="none" w:pos="60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17"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debt balances at December 31, 2018 and 2019 were as follows:</w:t>
      </w:r>
    </w:p>
    <w:p>
      <w:pPr>
        <w:spacing w:after="0" w:line="241"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4"/>
                <w:szCs w:val="14"/>
                <w:color w:val="auto"/>
              </w:rPr>
            </w:pPr>
          </w:p>
        </w:tc>
        <w:tc>
          <w:tcPr>
            <w:tcW w:w="20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0" w:type="dxa"/>
            <w:vAlign w:val="bottom"/>
          </w:tcPr>
          <w:p>
            <w:pPr>
              <w:spacing w:after="0"/>
              <w:rPr>
                <w:sz w:val="1"/>
                <w:szCs w:val="1"/>
                <w:color w:val="auto"/>
              </w:rPr>
            </w:pPr>
          </w:p>
        </w:tc>
      </w:tr>
      <w:tr>
        <w:trPr>
          <w:trHeight w:val="140"/>
        </w:trPr>
        <w:tc>
          <w:tcPr>
            <w:tcW w:w="512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Borders>
              <w:top w:val="single" w:sz="8" w:color="auto"/>
            </w:tcBorders>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11"/>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balance under First Lien Credit Agreement</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Principal balance under Second Lien Credit Agreement</w:t>
            </w:r>
          </w:p>
        </w:tc>
        <w:tc>
          <w:tcPr>
            <w:tcW w:w="11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 and discounts</w:t>
            </w:r>
          </w:p>
        </w:tc>
        <w:tc>
          <w:tcPr>
            <w:tcW w:w="1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(22,764)</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(17,233)</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722,236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670,922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First Lien and Second Lien</w:t>
      </w:r>
    </w:p>
    <w:p>
      <w:pPr>
        <w:spacing w:after="0" w:line="118" w:lineRule="exact"/>
        <w:rPr>
          <w:sz w:val="20"/>
          <w:szCs w:val="20"/>
          <w:color w:val="auto"/>
        </w:rPr>
      </w:pPr>
    </w:p>
    <w:p>
      <w:pPr>
        <w:ind w:left="600" w:right="240"/>
        <w:spacing w:after="0" w:line="262" w:lineRule="auto"/>
        <w:rPr>
          <w:sz w:val="20"/>
          <w:szCs w:val="20"/>
          <w:color w:val="auto"/>
        </w:rPr>
      </w:pPr>
      <w:r>
        <w:rPr>
          <w:rFonts w:ascii="Times New Roman" w:cs="Times New Roman" w:eastAsia="Times New Roman" w:hAnsi="Times New Roman"/>
          <w:sz w:val="18"/>
          <w:szCs w:val="18"/>
          <w:color w:val="auto"/>
        </w:rPr>
        <w:t>In October 2018, the Company entered into a First Lien Credit Agreement (“First Lien”) and a Second Lien Credit Agreement (“Second Lien”) with various lenders, for term loans of $545 million and $200 million, respectively. The First Lien and Second Lien are collateralized by substantially all of the assets of the Company and 100% of the equity interest of GoodRx.</w:t>
      </w:r>
    </w:p>
    <w:p>
      <w:pPr>
        <w:spacing w:after="0" w:line="70" w:lineRule="exact"/>
        <w:rPr>
          <w:sz w:val="20"/>
          <w:szCs w:val="20"/>
          <w:color w:val="auto"/>
        </w:rPr>
      </w:pPr>
    </w:p>
    <w:p>
      <w:pPr>
        <w:ind w:left="600" w:right="120"/>
        <w:spacing w:after="0" w:line="255" w:lineRule="auto"/>
        <w:rPr>
          <w:sz w:val="20"/>
          <w:szCs w:val="20"/>
          <w:color w:val="auto"/>
        </w:rPr>
      </w:pPr>
      <w:r>
        <w:rPr>
          <w:rFonts w:ascii="Times New Roman" w:cs="Times New Roman" w:eastAsia="Times New Roman" w:hAnsi="Times New Roman"/>
          <w:sz w:val="18"/>
          <w:szCs w:val="18"/>
          <w:color w:val="auto"/>
        </w:rPr>
        <w:t>The First Lien accrues interest at a rate per annum equal to the LIBO Screen Rate plus a variable margin based on the Company’s most recently determined Net Leverage Ratio (as defined in the First Lien Credit Agreement), ranging from 2.75 to 3.00%. The effective interest rate on the First Lien for the years ended December 31, 2018 and 2019 was 5.9%. The First Lien requires quarterly principal payments from March 2019 through September 2025, with any remaining unpaid principal and any accrued and unpaid interest due on the maturity date of October 10, 2025. The Company may prepay the First Lien without penalty after April 2019.</w:t>
      </w:r>
    </w:p>
    <w:p>
      <w:pPr>
        <w:spacing w:after="0" w:line="76" w:lineRule="exact"/>
        <w:rPr>
          <w:sz w:val="20"/>
          <w:szCs w:val="20"/>
          <w:color w:val="auto"/>
        </w:rPr>
      </w:pPr>
    </w:p>
    <w:p>
      <w:pPr>
        <w:ind w:left="600"/>
        <w:spacing w:after="0" w:line="255" w:lineRule="auto"/>
        <w:rPr>
          <w:sz w:val="20"/>
          <w:szCs w:val="20"/>
          <w:color w:val="auto"/>
        </w:rPr>
      </w:pPr>
      <w:r>
        <w:rPr>
          <w:rFonts w:ascii="Times New Roman" w:cs="Times New Roman" w:eastAsia="Times New Roman" w:hAnsi="Times New Roman"/>
          <w:sz w:val="18"/>
          <w:szCs w:val="18"/>
          <w:color w:val="auto"/>
        </w:rPr>
        <w:t>The Second Lien accrued interest per annum at a rate per annum equal to the LIBO Screen Rate plus a margin of 7.50%. The effective interest rate on the Second Lien for the years ended December 31, 2018 and 2019 was 11.2% and 10.0%, respectively. The Second Lien did not require principal payments during the term of the loan with unpaid principal and any accrued and unpaid interest due on October 12, 2026. The Second Lien was prepayable without penalty after October 2020. Any prepayment prior to October 2019 required a 2.0% prepayment penalty and any prepayment between October 2019 and October 2020 required a 1.0% prepayment penalty.</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60"/>
          </w:cols>
          <w:pgMar w:left="320" w:top="454" w:right="51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600"/>
        <w:spacing w:after="0" w:line="253" w:lineRule="auto"/>
        <w:rPr>
          <w:sz w:val="20"/>
          <w:szCs w:val="20"/>
          <w:color w:val="auto"/>
        </w:rPr>
      </w:pPr>
      <w:r>
        <w:rPr>
          <w:rFonts w:ascii="Times New Roman" w:cs="Times New Roman" w:eastAsia="Times New Roman" w:hAnsi="Times New Roman"/>
          <w:sz w:val="18"/>
          <w:szCs w:val="18"/>
          <w:color w:val="auto"/>
        </w:rPr>
        <w:t>In November 2019, the Company entered into an amendment of the First Lien to draw an additional term loan in the amount of $155 million. The additional term loan has the same maturity date and other terms as the original $545 million term loan. The proceeds from the amendment to the First Lien and existing cash resources were used to repay the Second Lien including prepayment penalties. The Company recognized a loss on extinguishment of the Second Lien of $4.9 million from unamortized debt issuance costs and discounts and prepayment penalties. The Company incurred third-party costs related to the amendment of the First Lien of $2.9 million which were expensed as incurred in other expense, net in the consolidated statements of operations.</w:t>
      </w:r>
    </w:p>
    <w:p>
      <w:pPr>
        <w:spacing w:after="0" w:line="80" w:lineRule="exact"/>
        <w:rPr>
          <w:sz w:val="20"/>
          <w:szCs w:val="20"/>
          <w:color w:val="auto"/>
        </w:rPr>
      </w:pPr>
    </w:p>
    <w:p>
      <w:pPr>
        <w:ind w:left="600" w:right="20"/>
        <w:spacing w:after="0" w:line="262" w:lineRule="auto"/>
        <w:rPr>
          <w:sz w:val="20"/>
          <w:szCs w:val="20"/>
          <w:color w:val="auto"/>
        </w:rPr>
      </w:pPr>
      <w:r>
        <w:rPr>
          <w:rFonts w:ascii="Times New Roman" w:cs="Times New Roman" w:eastAsia="Times New Roman" w:hAnsi="Times New Roman"/>
          <w:sz w:val="18"/>
          <w:szCs w:val="18"/>
          <w:color w:val="auto"/>
        </w:rPr>
        <w:t>As of December 31, 2019, the Company is subject to a financial covenant requiring maintenance of a Net Leverage Ratio not to exceed 8.2 to 1.0 and other nonfinancial covenants under the First Lien. Additionally, GoodRx is restricted from making dividend payments, loans or advances to the Company. At December 31, 2018 and 2019, the Company was in compliance with its covenants.</w:t>
      </w:r>
    </w:p>
    <w:p>
      <w:pPr>
        <w:spacing w:after="0" w:line="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presents details of the future principal payments under the debt agreements at December 31, 2019:</w:t>
      </w:r>
    </w:p>
    <w:p>
      <w:pPr>
        <w:spacing w:after="0" w:line="241" w:lineRule="exact"/>
        <w:rPr>
          <w:sz w:val="20"/>
          <w:szCs w:val="20"/>
          <w:color w:val="auto"/>
        </w:rPr>
      </w:pPr>
    </w:p>
    <w:tbl>
      <w:tblPr>
        <w:tblLayout w:type="fixed"/>
        <w:tblInd w:w="1920" w:type="dxa"/>
        <w:tblCellMar>
          <w:top w:w="0" w:type="dxa"/>
          <w:left w:w="0" w:type="dxa"/>
          <w:bottom w:w="0" w:type="dxa"/>
          <w:right w:w="0" w:type="dxa"/>
        </w:tblCellMar>
      </w:tblPr>
      <w:tr>
        <w:trPr>
          <w:trHeight w:val="187"/>
        </w:trPr>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9"/>
        </w:trPr>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8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653,010</w:t>
            </w:r>
          </w:p>
        </w:tc>
        <w:tc>
          <w:tcPr>
            <w:tcW w:w="8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principal payments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688,155</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line="257" w:lineRule="auto"/>
        <w:rPr>
          <w:sz w:val="20"/>
          <w:szCs w:val="20"/>
          <w:color w:val="auto"/>
        </w:rPr>
      </w:pPr>
      <w:r>
        <w:rPr>
          <w:rFonts w:ascii="Times New Roman" w:cs="Times New Roman" w:eastAsia="Times New Roman" w:hAnsi="Times New Roman"/>
          <w:sz w:val="18"/>
          <w:szCs w:val="18"/>
          <w:color w:val="auto"/>
        </w:rPr>
        <w:t>In 2018 and 2019, the Company incurred debt issuance costs and discounts of $23.4 million and $0.6 million, respectively, relating to the original issuance and subsequent amendment of the First Lien and the issuance of the Second Lien. Amortization of debt issuance costs and discounts of $0.8 million and $3.3 million were recognized as interest expense in the consolidated statements of operations for the years ended December 31, 2018 and 2019, respectively.</w:t>
      </w:r>
    </w:p>
    <w:p>
      <w:pPr>
        <w:spacing w:after="0" w:line="75" w:lineRule="exact"/>
        <w:rPr>
          <w:sz w:val="20"/>
          <w:szCs w:val="20"/>
          <w:color w:val="auto"/>
        </w:rPr>
      </w:pPr>
    </w:p>
    <w:p>
      <w:pPr>
        <w:jc w:val="both"/>
        <w:ind w:left="600" w:right="60"/>
        <w:spacing w:after="0" w:line="262" w:lineRule="auto"/>
        <w:rPr>
          <w:sz w:val="20"/>
          <w:szCs w:val="20"/>
          <w:color w:val="auto"/>
        </w:rPr>
      </w:pPr>
      <w:r>
        <w:rPr>
          <w:rFonts w:ascii="Times New Roman" w:cs="Times New Roman" w:eastAsia="Times New Roman" w:hAnsi="Times New Roman"/>
          <w:sz w:val="18"/>
          <w:szCs w:val="18"/>
          <w:color w:val="auto"/>
        </w:rPr>
        <w:t>Accrued interest on the First Lien and Second Lien was $2.3 million and $0 at December 31, 2018 and 2019, respectively, and interest expense, including the amortization of debt issuance costs and discounts, was $11.7 million and $49.4 million for the years ended December 31, 2018 and 2019, respectively.</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Line of Credit</w:t>
      </w:r>
    </w:p>
    <w:p>
      <w:pPr>
        <w:spacing w:after="0" w:line="118" w:lineRule="exact"/>
        <w:rPr>
          <w:sz w:val="20"/>
          <w:szCs w:val="20"/>
          <w:color w:val="auto"/>
        </w:rPr>
      </w:pPr>
    </w:p>
    <w:p>
      <w:pPr>
        <w:ind w:left="600"/>
        <w:spacing w:after="0" w:line="253" w:lineRule="auto"/>
        <w:rPr>
          <w:sz w:val="20"/>
          <w:szCs w:val="20"/>
          <w:color w:val="auto"/>
        </w:rPr>
      </w:pPr>
      <w:r>
        <w:rPr>
          <w:rFonts w:ascii="Times New Roman" w:cs="Times New Roman" w:eastAsia="Times New Roman" w:hAnsi="Times New Roman"/>
          <w:sz w:val="18"/>
          <w:szCs w:val="18"/>
          <w:color w:val="auto"/>
        </w:rPr>
        <w:t>In October 2018, the Company also obtained a line of credit for up to $40 million. During the year ended December 31, 2019, the term of the line of credit was extended by one year expiring on October 11, 2024. The line of credit bears interest at a rate equal to the LIBO Screen Rate plus a variable margin based on the Company’s most recently determined Net Leverage Ratio (as defined in the First Lien Credit Agreement), ranging from 2.50 to 3.00% on used amounts and 0.25 to 0.50% on unused amounts. There were no borrowings against the line of credit for the years ended December 31, 2018 and 2019. There were outstanding letters of credit issued against the line of credit for $0.1 million and $9.1 million as of December 31, 2018 and 2019, respectively, which reduces the Company’s available borrowings under the line of credit.</w:t>
      </w:r>
    </w:p>
    <w:p>
      <w:pPr>
        <w:spacing w:after="0" w:line="80" w:lineRule="exact"/>
        <w:rPr>
          <w:sz w:val="20"/>
          <w:szCs w:val="20"/>
          <w:color w:val="auto"/>
        </w:rPr>
      </w:pPr>
    </w:p>
    <w:p>
      <w:pPr>
        <w:ind w:left="600" w:right="160"/>
        <w:spacing w:after="0" w:line="262" w:lineRule="auto"/>
        <w:rPr>
          <w:sz w:val="20"/>
          <w:szCs w:val="20"/>
          <w:color w:val="auto"/>
        </w:rPr>
      </w:pPr>
      <w:r>
        <w:rPr>
          <w:rFonts w:ascii="Times New Roman" w:cs="Times New Roman" w:eastAsia="Times New Roman" w:hAnsi="Times New Roman"/>
          <w:sz w:val="18"/>
          <w:szCs w:val="18"/>
          <w:color w:val="auto"/>
        </w:rPr>
        <w:t>In 2019, the Company was required to provide a $9.0 million letter of credit for the benefit of the landlord of a new facility lease which the landlord may draw upon in the event of the Company’s default of rent payment or damages to the building. The letter of credit will decrease by $0.9 million per year commencing in 2022.</w:t>
      </w:r>
    </w:p>
    <w:p>
      <w:pPr>
        <w:spacing w:after="0" w:line="1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0980"/>
          </w:cols>
          <w:pgMar w:left="320" w:top="454" w:right="59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Loss on Extinguishment of Debt in 2018</w:t>
      </w:r>
    </w:p>
    <w:p>
      <w:pPr>
        <w:spacing w:after="0" w:line="118" w:lineRule="exact"/>
        <w:rPr>
          <w:sz w:val="20"/>
          <w:szCs w:val="20"/>
          <w:color w:val="auto"/>
        </w:rPr>
      </w:pPr>
    </w:p>
    <w:p>
      <w:pPr>
        <w:ind w:left="600" w:right="120"/>
        <w:spacing w:after="0" w:line="262" w:lineRule="auto"/>
        <w:rPr>
          <w:sz w:val="20"/>
          <w:szCs w:val="20"/>
          <w:color w:val="auto"/>
        </w:rPr>
      </w:pPr>
      <w:r>
        <w:rPr>
          <w:rFonts w:ascii="Times New Roman" w:cs="Times New Roman" w:eastAsia="Times New Roman" w:hAnsi="Times New Roman"/>
          <w:sz w:val="18"/>
          <w:szCs w:val="18"/>
          <w:color w:val="auto"/>
        </w:rPr>
        <w:t>In April 2017 and May 2018, the Company entered into two credit agreements syndicated with various lenders, which provided term loans in aggregate of $307 million. In connection with the entering into the First Lien and Second Lien, the Company repaid in full all amounts due under its then-existing debt arrangement and recognized a loss on extinguishment of $2.9 million.</w:t>
      </w:r>
    </w:p>
    <w:p>
      <w:pPr>
        <w:spacing w:after="0" w:line="320" w:lineRule="exact"/>
        <w:rPr>
          <w:sz w:val="20"/>
          <w:szCs w:val="20"/>
          <w:color w:val="auto"/>
        </w:rPr>
      </w:pPr>
    </w:p>
    <w:p>
      <w:pPr>
        <w:ind w:left="600" w:right="7960" w:hanging="426"/>
        <w:spacing w:after="0" w:line="396" w:lineRule="auto"/>
        <w:tabs>
          <w:tab w:leader="none" w:pos="592" w:val="left"/>
        </w:tabs>
        <w:numPr>
          <w:ilvl w:val="0"/>
          <w:numId w:val="1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Legal Proceedings</w:t>
      </w:r>
    </w:p>
    <w:p>
      <w:pPr>
        <w:ind w:left="600" w:right="60"/>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normal course of business, the Company may become subject to legal proceedings, claims and litigation. Such matters are subject to many uncertainties and outcomes are not predictable with assurance. Accruals for loss contingencies are recorded when a loss is probable, and the amount of such loss can be reasonably estimated.</w:t>
      </w:r>
    </w:p>
    <w:p>
      <w:pPr>
        <w:spacing w:after="0" w:line="70" w:lineRule="exact"/>
        <w:rPr>
          <w:rFonts w:ascii="Times New Roman" w:cs="Times New Roman" w:eastAsia="Times New Roman" w:hAnsi="Times New Roman"/>
          <w:sz w:val="17"/>
          <w:szCs w:val="17"/>
          <w:b w:val="1"/>
          <w:bCs w:val="1"/>
          <w:color w:val="auto"/>
        </w:rPr>
      </w:pPr>
    </w:p>
    <w:p>
      <w:pPr>
        <w:ind w:left="600" w:right="20"/>
        <w:spacing w:after="0" w:line="27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2019, the Company is not subject to any currently pending legal matters or claims that could have a material adverse effect on its financial position, results of operations, or cash flows should such litigation be resolved unfavorably.</w:t>
      </w:r>
    </w:p>
    <w:p>
      <w:pPr>
        <w:spacing w:after="0" w:line="56"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Refer to Note 10 Leases for detail of the contractual obligations for the Company’s noncancellable operating leases.</w:t>
      </w:r>
    </w:p>
    <w:p>
      <w:pPr>
        <w:spacing w:after="0" w:line="363" w:lineRule="exact"/>
        <w:rPr>
          <w:rFonts w:ascii="Times New Roman" w:cs="Times New Roman" w:eastAsia="Times New Roman" w:hAnsi="Times New Roman"/>
          <w:sz w:val="17"/>
          <w:szCs w:val="17"/>
          <w:b w:val="1"/>
          <w:bCs w:val="1"/>
          <w:color w:val="auto"/>
        </w:rPr>
      </w:pPr>
    </w:p>
    <w:p>
      <w:pPr>
        <w:ind w:left="600" w:right="5380" w:hanging="426"/>
        <w:spacing w:after="0" w:line="374" w:lineRule="auto"/>
        <w:tabs>
          <w:tab w:leader="none" w:pos="592"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 and Stockholders’ Deficit Preferred Stock and Special Dividends</w:t>
      </w:r>
    </w:p>
    <w:p>
      <w:pPr>
        <w:ind w:left="600" w:right="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12, 2018, the Company issued 126 million shares of redeemable convertible preferred stock for gross proceeds of $748.8 million. The Company incurred $11.8 million of issuance costs. Concurrent with this investment, all then-existing shares of preferred stock (the “old preferred stock”) were converted to common shares.</w:t>
      </w:r>
    </w:p>
    <w:p>
      <w:pPr>
        <w:spacing w:after="0" w:line="70" w:lineRule="exact"/>
        <w:rPr>
          <w:rFonts w:ascii="Times New Roman" w:cs="Times New Roman" w:eastAsia="Times New Roman" w:hAnsi="Times New Roman"/>
          <w:sz w:val="18"/>
          <w:szCs w:val="18"/>
          <w:b w:val="1"/>
          <w:bCs w:val="1"/>
          <w:color w:val="auto"/>
        </w:rPr>
      </w:pPr>
    </w:p>
    <w:p>
      <w:pPr>
        <w:ind w:left="600" w:right="8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old preferred stock were entitled to receive cumulative preferential dividends, if declared, at an annual rate of 10% of the original issue price of each share of preferred stock. In May 2018, the Company used the proceeds from the credit agreement described in Note 12 and cash on hand to pay cumulative dividends in arrears on the old preferred stock of $18.6 million and also to pay a special dividend to preferred and common stockholders of $154.4 million.</w:t>
      </w:r>
    </w:p>
    <w:p>
      <w:pPr>
        <w:spacing w:after="0" w:line="75" w:lineRule="exact"/>
        <w:rPr>
          <w:rFonts w:ascii="Times New Roman" w:cs="Times New Roman" w:eastAsia="Times New Roman" w:hAnsi="Times New Roman"/>
          <w:sz w:val="18"/>
          <w:szCs w:val="18"/>
          <w:b w:val="1"/>
          <w:bCs w:val="1"/>
          <w:color w:val="auto"/>
        </w:rPr>
      </w:pPr>
    </w:p>
    <w:p>
      <w:pPr>
        <w:jc w:val="both"/>
        <w:ind w:left="600" w:right="8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2018, the Company used the proceeds from the First Lien and Second Lien, debt facilities, the proceeds from the issuance of preferred stock, and cash on hand to pay cumulative dividends in arrears on the old preferred stock of $6.4 million immediately prior to their conversion to common stock and to pay special dividends to preferred and common stockholders of approximately $1,167.1 million.</w:t>
      </w:r>
    </w:p>
    <w:p>
      <w:pPr>
        <w:spacing w:after="0" w:line="70"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 summary of the significant rights and preferences of the redeemable convertible preferred stock outstanding at December 31, 2019 is as follows:</w:t>
      </w:r>
    </w:p>
    <w:p>
      <w:pPr>
        <w:spacing w:after="0" w:line="334"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w:t>
      </w:r>
    </w:p>
    <w:p>
      <w:pPr>
        <w:spacing w:after="0" w:line="117" w:lineRule="exact"/>
        <w:rPr>
          <w:rFonts w:ascii="Times New Roman" w:cs="Times New Roman" w:eastAsia="Times New Roman" w:hAnsi="Times New Roman"/>
          <w:sz w:val="18"/>
          <w:szCs w:val="18"/>
          <w:b w:val="1"/>
          <w:bCs w:val="1"/>
          <w:color w:val="auto"/>
        </w:rPr>
      </w:pPr>
    </w:p>
    <w:p>
      <w:pPr>
        <w:ind w:left="600" w:right="14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Each share of preferred stock is convertible, at the option of the holder, into shares of common stock by dividing the original issue price by the conversion price, subject to adjustments for certain events as defined by the Amended Certificate of Incorporation. Each redeemable convertible preferred share will automatically be converted into common stock upon the election by the majority of investors provided in writing to the Company at the rate of 1:1. The number of shares of common stock issuable upon conversion of each share of redeemable convertible preferred stock shall be appropriately adjusted to reflect any stock dividend, stock split or other similar event affecting the number of outstanding shares of common stock. Each share of preferred stock will automatically be converted into common stock, (i) immediately prior to</w:t>
      </w:r>
    </w:p>
    <w:p>
      <w:pPr>
        <w:spacing w:after="0" w:line="1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80"/>
          </w:cols>
          <w:pgMar w:left="320" w:top="454" w:right="49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600"/>
        <w:spacing w:after="0" w:line="253" w:lineRule="auto"/>
        <w:rPr>
          <w:sz w:val="20"/>
          <w:szCs w:val="20"/>
          <w:color w:val="auto"/>
        </w:rPr>
      </w:pPr>
      <w:r>
        <w:rPr>
          <w:rFonts w:ascii="Times New Roman" w:cs="Times New Roman" w:eastAsia="Times New Roman" w:hAnsi="Times New Roman"/>
          <w:sz w:val="18"/>
          <w:szCs w:val="18"/>
          <w:color w:val="auto"/>
        </w:rPr>
        <w:t>the closing of a Qualified IPO, (ii) upon the election of the preferred majority provided in writing to the Company, which notice may be provided at any time, or (iii) immediately at such time as the liquidation preference has been reduced to zero. A Qualified IPO is defined as a sale of any class of shares of the Company, resulting in at least $200 million of net proceeds to the Company, in which the per share price of the shares of Common Stock being offered in such public offering is at least (i) prior to October 12, 2022, 1.25x the original issue price and (ii) on or following October 12, 2022, one times the original issue price. In addition, the Company may not redeem any portion of the preferred stock, without majority written consent of the preferred stockholders.</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8" w:lineRule="exact"/>
        <w:rPr>
          <w:sz w:val="20"/>
          <w:szCs w:val="20"/>
          <w:color w:val="auto"/>
        </w:rPr>
      </w:pPr>
    </w:p>
    <w:p>
      <w:pPr>
        <w:ind w:left="600" w:right="140"/>
        <w:spacing w:after="0" w:line="257" w:lineRule="auto"/>
        <w:rPr>
          <w:sz w:val="20"/>
          <w:szCs w:val="20"/>
          <w:color w:val="auto"/>
        </w:rPr>
      </w:pPr>
      <w:r>
        <w:rPr>
          <w:rFonts w:ascii="Times New Roman" w:cs="Times New Roman" w:eastAsia="Times New Roman" w:hAnsi="Times New Roman"/>
          <w:sz w:val="18"/>
          <w:szCs w:val="18"/>
          <w:color w:val="auto"/>
        </w:rPr>
        <w:t>No dividends accrue or are payable with respect to the preferred stock unless declared by the Board of Directors. In the event a dividend to common stockholders is declared, the Company must also declare and pay to holders of the preferred stock at the same time and in the same amount that the preferred stockholders would have been paid had all outstanding preferred stock been converted immediately prior to the record date for such dividend, or if no record date is fixed, the date as of which record holders of common stock are entitled to such dividends.</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118" w:lineRule="exact"/>
        <w:rPr>
          <w:sz w:val="20"/>
          <w:szCs w:val="20"/>
          <w:color w:val="auto"/>
        </w:rPr>
      </w:pPr>
    </w:p>
    <w:p>
      <w:pPr>
        <w:ind w:left="600" w:right="60"/>
        <w:spacing w:after="0" w:line="252" w:lineRule="auto"/>
        <w:rPr>
          <w:sz w:val="20"/>
          <w:szCs w:val="20"/>
          <w:color w:val="auto"/>
        </w:rPr>
      </w:pPr>
      <w:r>
        <w:rPr>
          <w:rFonts w:ascii="Times New Roman" w:cs="Times New Roman" w:eastAsia="Times New Roman" w:hAnsi="Times New Roman"/>
          <w:sz w:val="18"/>
          <w:szCs w:val="18"/>
          <w:color w:val="auto"/>
        </w:rPr>
        <w:t>In the event of any liquidation, dissolution, winding-up of the Company or deemed liquidation events (as defined), the holders of the preferred stock are entitled to receive for each outstanding share an amount equal to the greater of: (i) the original issuance price per share plus all declared but unpaid dividends; and (ii) all declared but unpaid dividends plus the amount per share payable upon the event of any liquidation, dissolution, winding-up or deemed liquidation event, after payment of all declared and unpaid dividends and in lieu of payment of the liquidation preference (as defined), had all the shares of preferred stock been converted into common stock prior to such liquidation. The original issuance price per share is $5.94. After payment of the liquidation preferences to the preferred stock, all remaining assets are distributed to the common stockholders. Any proceeds remaining after payment to the holders of redeemable convertible preferred stock are to be distributed ratably to the holders of common stock.</w:t>
      </w:r>
    </w:p>
    <w:p>
      <w:pPr>
        <w:spacing w:after="0" w:line="78" w:lineRule="exact"/>
        <w:rPr>
          <w:sz w:val="20"/>
          <w:szCs w:val="20"/>
          <w:color w:val="auto"/>
        </w:rPr>
      </w:pPr>
    </w:p>
    <w:p>
      <w:pPr>
        <w:jc w:val="both"/>
        <w:ind w:left="600" w:right="80"/>
        <w:spacing w:after="0" w:line="262" w:lineRule="auto"/>
        <w:rPr>
          <w:sz w:val="20"/>
          <w:szCs w:val="20"/>
          <w:color w:val="auto"/>
        </w:rPr>
      </w:pPr>
      <w:r>
        <w:rPr>
          <w:rFonts w:ascii="Times New Roman" w:cs="Times New Roman" w:eastAsia="Times New Roman" w:hAnsi="Times New Roman"/>
          <w:sz w:val="18"/>
          <w:szCs w:val="18"/>
          <w:color w:val="auto"/>
        </w:rPr>
        <w:t>The liquidation preference provisions of the preferred stock such as a change in control are considered contingent redemption provisions as there are certain elements that are not solely within the control of the Company. Accordingly, the preferred stock has been presented in the mezzanine section of the consolidated balance sheet.</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18" w:lineRule="exact"/>
        <w:rPr>
          <w:sz w:val="20"/>
          <w:szCs w:val="20"/>
          <w:color w:val="auto"/>
        </w:rPr>
      </w:pPr>
    </w:p>
    <w:p>
      <w:pPr>
        <w:ind w:left="600" w:right="120"/>
        <w:spacing w:after="0" w:line="262" w:lineRule="auto"/>
        <w:rPr>
          <w:sz w:val="20"/>
          <w:szCs w:val="20"/>
          <w:color w:val="auto"/>
        </w:rPr>
      </w:pPr>
      <w:r>
        <w:rPr>
          <w:rFonts w:ascii="Times New Roman" w:cs="Times New Roman" w:eastAsia="Times New Roman" w:hAnsi="Times New Roman"/>
          <w:sz w:val="18"/>
          <w:szCs w:val="18"/>
          <w:color w:val="auto"/>
        </w:rPr>
        <w:t>The holders of shares of preferred stock are entitled to vote as a separate class for certain matters. Unless otherwise provided by law or in the current charter, the preferred stockholders vote together with the common stockholders as a single class, on an as converted common stock basis for matters submitted to the stockholders for a vote.</w:t>
      </w:r>
    </w:p>
    <w:p>
      <w:pPr>
        <w:spacing w:after="0" w:line="320" w:lineRule="exact"/>
        <w:rPr>
          <w:sz w:val="20"/>
          <w:szCs w:val="20"/>
          <w:color w:val="auto"/>
        </w:rPr>
      </w:pPr>
    </w:p>
    <w:p>
      <w:pPr>
        <w:jc w:val="both"/>
        <w:ind w:left="600" w:right="8340" w:hanging="426"/>
        <w:spacing w:after="0" w:line="396" w:lineRule="auto"/>
        <w:tabs>
          <w:tab w:leader="none" w:pos="592" w:val="left"/>
        </w:tabs>
        <w:numPr>
          <w:ilvl w:val="0"/>
          <w:numId w:val="1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 2015 Equity Incentive Plan</w:t>
      </w:r>
    </w:p>
    <w:p>
      <w:pPr>
        <w:ind w:left="600" w:right="20"/>
        <w:spacing w:after="0" w:line="27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Board of Directors is authorized to grant stock-based awards under the 2015 Equity Incentive Plan (the “2015 Plan”). At December 31, 2019, 732,723 shares were available for issuance under the 2015 Plan.</w:t>
      </w:r>
    </w:p>
    <w:p>
      <w:pPr>
        <w:spacing w:after="0" w:line="266"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Stock Options</w:t>
      </w:r>
    </w:p>
    <w:p>
      <w:pPr>
        <w:spacing w:after="0" w:line="117" w:lineRule="exact"/>
        <w:rPr>
          <w:rFonts w:ascii="Times New Roman" w:cs="Times New Roman" w:eastAsia="Times New Roman" w:hAnsi="Times New Roman"/>
          <w:sz w:val="17"/>
          <w:szCs w:val="17"/>
          <w:b w:val="1"/>
          <w:bCs w:val="1"/>
          <w:color w:val="auto"/>
        </w:rPr>
      </w:pPr>
    </w:p>
    <w:p>
      <w:pPr>
        <w:ind w:left="600" w:right="100"/>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Options granted generally vest 25% of the total award on the first anniversary of the vesting commencement date, and thereafter ratably monthly over the remaining three-year period. Options generally have a ten-year term. The Company issues new shares upon exercise of stock options. Options granted under the 2015 Plan do not include any forfeitable or non-forfeitable dividend equivalent rights.</w:t>
      </w:r>
    </w:p>
    <w:p>
      <w:pPr>
        <w:spacing w:after="0" w:line="1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020"/>
          </w:cols>
          <w:pgMar w:left="320" w:top="454" w:right="55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600" w:right="420"/>
        <w:spacing w:after="0" w:line="277" w:lineRule="auto"/>
        <w:rPr>
          <w:sz w:val="20"/>
          <w:szCs w:val="20"/>
          <w:color w:val="auto"/>
        </w:rPr>
      </w:pPr>
      <w:r>
        <w:rPr>
          <w:rFonts w:ascii="Times New Roman" w:cs="Times New Roman" w:eastAsia="Times New Roman" w:hAnsi="Times New Roman"/>
          <w:sz w:val="18"/>
          <w:szCs w:val="18"/>
          <w:color w:val="auto"/>
        </w:rPr>
        <w:t>A summary of the stock option activity for the year ended December 31, 2019 is as follows, in thousands, except per share amounts and term information:</w:t>
      </w:r>
    </w:p>
    <w:p>
      <w:pPr>
        <w:spacing w:after="0" w:line="17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tcPr>
          <w:p>
            <w:pPr>
              <w:spacing w:after="0"/>
              <w:rPr>
                <w:sz w:val="13"/>
                <w:szCs w:val="13"/>
                <w:color w:val="auto"/>
              </w:rPr>
            </w:pPr>
          </w:p>
        </w:tc>
        <w:tc>
          <w:tcPr>
            <w:tcW w:w="840" w:type="dxa"/>
            <w:vAlign w:val="bottom"/>
          </w:tcPr>
          <w:p>
            <w:pPr>
              <w:jc w:val="center"/>
              <w:ind w:left="6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40" w:type="dxa"/>
            <w:vAlign w:val="bottom"/>
          </w:tcPr>
          <w:p>
            <w:pPr>
              <w:jc w:val="center"/>
              <w:ind w:left="66"/>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1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0" w:type="dxa"/>
            <w:vAlign w:val="bottom"/>
            <w:vMerge w:val="continue"/>
          </w:tcPr>
          <w:p>
            <w:pPr>
              <w:spacing w:after="0"/>
              <w:rPr>
                <w:sz w:val="12"/>
                <w:szCs w:val="12"/>
                <w:color w:val="auto"/>
              </w:rPr>
            </w:pPr>
          </w:p>
        </w:tc>
        <w:tc>
          <w:tcPr>
            <w:tcW w:w="840" w:type="dxa"/>
            <w:vAlign w:val="bottom"/>
          </w:tcPr>
          <w:p>
            <w:pPr>
              <w:jc w:val="center"/>
              <w:ind w:left="66"/>
              <w:spacing w:after="0" w:line="147"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20" w:type="dxa"/>
            <w:vAlign w:val="bottom"/>
          </w:tcPr>
          <w:p>
            <w:pPr>
              <w:jc w:val="right"/>
              <w:ind w:right="102"/>
              <w:spacing w:after="0" w:line="147"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840" w:type="dxa"/>
            <w:vAlign w:val="bottom"/>
          </w:tcPr>
          <w:p>
            <w:pPr>
              <w:jc w:val="center"/>
              <w:ind w:left="66"/>
              <w:spacing w:after="0" w:line="147"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40" w:type="dxa"/>
            <w:vAlign w:val="bottom"/>
          </w:tcPr>
          <w:p>
            <w:pPr>
              <w:jc w:val="center"/>
              <w:ind w:left="6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2018</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14,869</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2.61</w:t>
            </w:r>
          </w:p>
        </w:tc>
        <w:tc>
          <w:tcPr>
            <w:tcW w:w="11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8.5 years</w:t>
            </w:r>
          </w:p>
        </w:tc>
        <w:tc>
          <w:tcPr>
            <w:tcW w:w="10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$ 12,626</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240" w:type="dxa"/>
            <w:vAlign w:val="bottom"/>
          </w:tcPr>
          <w:p>
            <w:pPr>
              <w:spacing w:after="0"/>
              <w:rPr>
                <w:sz w:val="18"/>
                <w:szCs w:val="18"/>
                <w:color w:val="auto"/>
              </w:rPr>
            </w:pPr>
          </w:p>
        </w:tc>
        <w:tc>
          <w:tcPr>
            <w:tcW w:w="96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5.94</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jc w:val="center"/>
              <w:ind w:left="66"/>
              <w:spacing w:after="0"/>
              <w:rPr>
                <w:sz w:val="20"/>
                <w:szCs w:val="20"/>
                <w:color w:val="auto"/>
              </w:rPr>
            </w:pPr>
            <w:r>
              <w:rPr>
                <w:rFonts w:ascii="Times New Roman" w:cs="Times New Roman" w:eastAsia="Times New Roman" w:hAnsi="Times New Roman"/>
                <w:sz w:val="18"/>
                <w:szCs w:val="18"/>
                <w:color w:val="auto"/>
              </w:rPr>
              <w:t>$  1.27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(2,397)</w:t>
            </w:r>
          </w:p>
        </w:tc>
        <w:tc>
          <w:tcPr>
            <w:tcW w:w="9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1.25</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11,090</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Expired/Cancelled/Forfeited</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(1,729)</w:t>
            </w:r>
          </w:p>
        </w:tc>
        <w:tc>
          <w:tcPr>
            <w:tcW w:w="96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4.19</w:t>
            </w:r>
          </w:p>
        </w:tc>
        <w:tc>
          <w:tcPr>
            <w:tcW w:w="1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2019</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3.82</w:t>
            </w:r>
          </w:p>
        </w:tc>
        <w:tc>
          <w:tcPr>
            <w:tcW w:w="11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8.2 years</w:t>
            </w:r>
          </w:p>
        </w:tc>
        <w:tc>
          <w:tcPr>
            <w:tcW w:w="10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35,043</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Exercisable at December 31, 2019</w:t>
            </w: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vMerge w:val="restart"/>
          </w:tcPr>
          <w:p>
            <w:pPr>
              <w:jc w:val="right"/>
              <w:ind w:right="98"/>
              <w:spacing w:after="0"/>
              <w:rPr>
                <w:sz w:val="20"/>
                <w:szCs w:val="20"/>
                <w:color w:val="auto"/>
              </w:rPr>
            </w:pPr>
            <w:r>
              <w:rPr>
                <w:rFonts w:ascii="Times New Roman" w:cs="Times New Roman" w:eastAsia="Times New Roman" w:hAnsi="Times New Roman"/>
                <w:sz w:val="18"/>
                <w:szCs w:val="18"/>
                <w:color w:val="auto"/>
              </w:rPr>
              <w:t>2.55</w:t>
            </w:r>
          </w:p>
        </w:tc>
        <w:tc>
          <w:tcPr>
            <w:tcW w:w="1120" w:type="dxa"/>
            <w:vAlign w:val="bottom"/>
            <w:vMerge w:val="restart"/>
          </w:tcPr>
          <w:p>
            <w:pPr>
              <w:jc w:val="right"/>
              <w:ind w:right="102"/>
              <w:spacing w:after="0"/>
              <w:rPr>
                <w:sz w:val="20"/>
                <w:szCs w:val="20"/>
                <w:color w:val="auto"/>
              </w:rPr>
            </w:pPr>
            <w:r>
              <w:rPr>
                <w:rFonts w:ascii="Times New Roman" w:cs="Times New Roman" w:eastAsia="Times New Roman" w:hAnsi="Times New Roman"/>
                <w:sz w:val="18"/>
                <w:szCs w:val="18"/>
                <w:color w:val="auto"/>
              </w:rPr>
              <w:t>7.6 years</w:t>
            </w:r>
          </w:p>
        </w:tc>
        <w:tc>
          <w:tcPr>
            <w:tcW w:w="1000" w:type="dxa"/>
            <w:vAlign w:val="bottom"/>
            <w:vMerge w:val="restart"/>
          </w:tcPr>
          <w:p>
            <w:pPr>
              <w:jc w:val="right"/>
              <w:ind w:right="99"/>
              <w:spacing w:after="0"/>
              <w:rPr>
                <w:sz w:val="20"/>
                <w:szCs w:val="20"/>
                <w:color w:val="auto"/>
              </w:rPr>
            </w:pPr>
            <w:r>
              <w:rPr>
                <w:rFonts w:ascii="Times New Roman" w:cs="Times New Roman" w:eastAsia="Times New Roman" w:hAnsi="Times New Roman"/>
                <w:sz w:val="18"/>
                <w:szCs w:val="18"/>
                <w:color w:val="auto"/>
              </w:rPr>
              <w:t>23,314</w:t>
            </w: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200" w:type="dxa"/>
            <w:vAlign w:val="bottom"/>
            <w:gridSpan w:val="2"/>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weighted-average fair value per share of options granted for the year ended December 31, 2018 was $1.17.</w:t>
      </w:r>
    </w:p>
    <w:p>
      <w:pPr>
        <w:spacing w:after="0" w:line="114" w:lineRule="exact"/>
        <w:rPr>
          <w:sz w:val="20"/>
          <w:szCs w:val="20"/>
          <w:color w:val="auto"/>
        </w:rPr>
      </w:pPr>
    </w:p>
    <w:p>
      <w:pPr>
        <w:ind w:left="600" w:right="40"/>
        <w:spacing w:after="0" w:line="277" w:lineRule="auto"/>
        <w:rPr>
          <w:sz w:val="20"/>
          <w:szCs w:val="20"/>
          <w:color w:val="auto"/>
        </w:rPr>
      </w:pPr>
      <w:r>
        <w:rPr>
          <w:rFonts w:ascii="Times New Roman" w:cs="Times New Roman" w:eastAsia="Times New Roman" w:hAnsi="Times New Roman"/>
          <w:sz w:val="18"/>
          <w:szCs w:val="18"/>
          <w:color w:val="auto"/>
        </w:rPr>
        <w:t>The fair value of option awards issued under the plan are estimated on the grant date using the Black-Scholes option-pricing model. The following table summarizes the assumptions used:</w:t>
      </w:r>
    </w:p>
    <w:p>
      <w:pPr>
        <w:spacing w:after="0" w:line="184"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5300" w:type="dxa"/>
            <w:vAlign w:val="bottom"/>
          </w:tcPr>
          <w:p>
            <w:pPr>
              <w:spacing w:after="0"/>
              <w:rPr>
                <w:sz w:val="14"/>
                <w:szCs w:val="14"/>
                <w:color w:val="auto"/>
              </w:rPr>
            </w:pPr>
          </w:p>
        </w:tc>
        <w:tc>
          <w:tcPr>
            <w:tcW w:w="30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0"/>
        </w:trPr>
        <w:tc>
          <w:tcPr>
            <w:tcW w:w="5300" w:type="dxa"/>
            <w:vAlign w:val="bottom"/>
          </w:tcPr>
          <w:p>
            <w:pPr>
              <w:spacing w:after="0"/>
              <w:rPr>
                <w:sz w:val="12"/>
                <w:szCs w:val="12"/>
                <w:color w:val="auto"/>
              </w:rPr>
            </w:pPr>
          </w:p>
        </w:tc>
        <w:tc>
          <w:tcPr>
            <w:tcW w:w="1620" w:type="dxa"/>
            <w:vAlign w:val="bottom"/>
            <w:tcBorders>
              <w:top w:val="single" w:sz="8" w:color="auto"/>
            </w:tcBorders>
          </w:tcPr>
          <w:p>
            <w:pPr>
              <w:jc w:val="right"/>
              <w:ind w:right="736"/>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1300" w:type="dxa"/>
            <w:vAlign w:val="bottom"/>
            <w:tcBorders>
              <w:top w:val="single" w:sz="8" w:color="auto"/>
            </w:tcBorders>
          </w:tcPr>
          <w:p>
            <w:pPr>
              <w:jc w:val="right"/>
              <w:ind w:right="454"/>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2"/>
                <w:szCs w:val="12"/>
                <w:color w:val="auto"/>
              </w:rPr>
            </w:pPr>
          </w:p>
        </w:tc>
      </w:tr>
      <w:tr>
        <w:trPr>
          <w:trHeight w:val="21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2.7% - 2.9%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- 2.4%</w:t>
            </w:r>
          </w:p>
        </w:tc>
        <w:tc>
          <w:tcPr>
            <w:tcW w:w="80" w:type="dxa"/>
            <w:vAlign w:val="bottom"/>
            <w:shd w:val="clear" w:color="auto" w:fill="CCEEFF"/>
          </w:tcPr>
          <w:p>
            <w:pPr>
              <w:spacing w:after="0"/>
              <w:rPr>
                <w:sz w:val="18"/>
                <w:szCs w:val="18"/>
                <w:color w:val="auto"/>
              </w:rPr>
            </w:pPr>
          </w:p>
        </w:tc>
      </w:tr>
      <w:tr>
        <w:trPr>
          <w:trHeight w:val="21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6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5.7 - 6.1 years</w:t>
            </w: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5.6 - 6.3 years</w:t>
            </w:r>
          </w:p>
        </w:tc>
      </w:tr>
      <w:tr>
        <w:trPr>
          <w:trHeight w:val="21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6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60%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r>
      <w:tr>
        <w:trPr>
          <w:trHeight w:val="21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r>
      <w:tr>
        <w:trPr>
          <w:trHeight w:val="21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per share</w:t>
            </w:r>
          </w:p>
        </w:tc>
        <w:tc>
          <w:tcPr>
            <w:tcW w:w="16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$1.05 - $2.75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 $ 5.88</w:t>
            </w:r>
          </w:p>
        </w:tc>
        <w:tc>
          <w:tcPr>
            <w:tcW w:w="80" w:type="dxa"/>
            <w:vAlign w:val="bottom"/>
            <w:shd w:val="clear" w:color="auto" w:fill="CCEEFF"/>
          </w:tcPr>
          <w:p>
            <w:pPr>
              <w:spacing w:after="0"/>
              <w:rPr>
                <w:sz w:val="18"/>
                <w:szCs w:val="18"/>
                <w:color w:val="auto"/>
              </w:rPr>
            </w:pPr>
          </w:p>
        </w:tc>
      </w:tr>
    </w:tbl>
    <w:p>
      <w:pPr>
        <w:spacing w:after="0" w:line="89" w:lineRule="exact"/>
        <w:rPr>
          <w:sz w:val="20"/>
          <w:szCs w:val="20"/>
          <w:color w:val="auto"/>
        </w:rPr>
      </w:pPr>
    </w:p>
    <w:p>
      <w:pPr>
        <w:ind w:left="600" w:right="140"/>
        <w:spacing w:after="0" w:line="257" w:lineRule="auto"/>
        <w:rPr>
          <w:sz w:val="20"/>
          <w:szCs w:val="20"/>
          <w:color w:val="auto"/>
        </w:rPr>
      </w:pPr>
      <w:r>
        <w:rPr>
          <w:rFonts w:ascii="Times New Roman" w:cs="Times New Roman" w:eastAsia="Times New Roman" w:hAnsi="Times New Roman"/>
          <w:sz w:val="18"/>
          <w:szCs w:val="18"/>
          <w:color w:val="auto"/>
        </w:rPr>
        <w:t>For the years ended December 31, 2018 and 2019, stock-based compensation expense related to stock options was $1.8 million and $2.5 million, respectively. There was $5.4 million and $9.1 million of total unrecognized compensation cost related to stock options granted under the 2015 Plan at December 31, 2018 and 2019. The unrecognized compensation cost at December 31, 2019 is expected to be recognized over a weighted-average remaining service period of 2.9 years.</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18" w:lineRule="exact"/>
        <w:rPr>
          <w:sz w:val="20"/>
          <w:szCs w:val="20"/>
          <w:color w:val="auto"/>
        </w:rPr>
      </w:pPr>
    </w:p>
    <w:p>
      <w:pPr>
        <w:ind w:left="600" w:right="20"/>
        <w:spacing w:after="0" w:line="255" w:lineRule="auto"/>
        <w:rPr>
          <w:sz w:val="20"/>
          <w:szCs w:val="20"/>
          <w:color w:val="auto"/>
        </w:rPr>
      </w:pPr>
      <w:r>
        <w:rPr>
          <w:rFonts w:ascii="Times New Roman" w:cs="Times New Roman" w:eastAsia="Times New Roman" w:hAnsi="Times New Roman"/>
          <w:sz w:val="18"/>
          <w:szCs w:val="18"/>
          <w:color w:val="auto"/>
        </w:rPr>
        <w:t>As a result of the HeyDoctor acquisition, the Company issued 1,878,588 shares of restricted stock to certain employees. The restricted shares are subject to a repurchase option that entitles the Company to repurchase any unvested shares at par value if the employees are no longer employed by the Company during the four-year vesting period. Compensation expense is recognized over the vesting period based on the grant-date fair value of $3.88 per share. To the extent the Company pays a dividend, restricted stock awards are entitled to dividends, however such dividends are forfeitable if the award does not vest.</w:t>
      </w:r>
    </w:p>
    <w:p>
      <w:pPr>
        <w:spacing w:after="0" w:line="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shows the activity in the nonvested restricted shares for 2019:</w:t>
      </w:r>
    </w:p>
    <w:p>
      <w:pPr>
        <w:spacing w:after="0" w:line="227"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ind w:lef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7"/>
        </w:trPr>
        <w:tc>
          <w:tcPr>
            <w:tcW w:w="38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ind w:left="12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7"/>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620" w:type="dxa"/>
            <w:vAlign w:val="bottom"/>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20" w:type="dxa"/>
            <w:vAlign w:val="bottom"/>
          </w:tcPr>
          <w:p>
            <w:pPr>
              <w:jc w:val="center"/>
              <w:ind w:left="120"/>
              <w:spacing w:after="0" w:line="14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2"/>
        </w:trPr>
        <w:tc>
          <w:tcPr>
            <w:tcW w:w="3880" w:type="dxa"/>
            <w:vAlign w:val="bottom"/>
            <w:vMerge w:val="continue"/>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20" w:type="dxa"/>
            <w:vAlign w:val="bottom"/>
          </w:tcPr>
          <w:p>
            <w:pPr>
              <w:jc w:val="center"/>
              <w:ind w:lef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Nonvested restricted shares at December 31, 2018</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0.004</w:t>
            </w:r>
          </w:p>
        </w:tc>
        <w:tc>
          <w:tcPr>
            <w:tcW w:w="0" w:type="dxa"/>
            <w:vAlign w:val="bottom"/>
          </w:tcPr>
          <w:p>
            <w:pPr>
              <w:spacing w:after="0"/>
              <w:rPr>
                <w:sz w:val="1"/>
                <w:szCs w:val="1"/>
                <w:color w:val="auto"/>
              </w:rPr>
            </w:pPr>
          </w:p>
        </w:tc>
      </w:tr>
      <w:tr>
        <w:trPr>
          <w:trHeight w:val="21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3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0.004</w:t>
            </w:r>
          </w:p>
        </w:tc>
        <w:tc>
          <w:tcPr>
            <w:tcW w:w="0" w:type="dxa"/>
            <w:vAlign w:val="bottom"/>
          </w:tcPr>
          <w:p>
            <w:pPr>
              <w:spacing w:after="0"/>
              <w:rPr>
                <w:sz w:val="1"/>
                <w:szCs w:val="1"/>
                <w:color w:val="auto"/>
              </w:rPr>
            </w:pPr>
          </w:p>
        </w:tc>
      </w:tr>
      <w:tr>
        <w:trPr>
          <w:trHeight w:val="220"/>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restricted shares at December 31, 2019</w:t>
            </w:r>
          </w:p>
        </w:tc>
        <w:tc>
          <w:tcPr>
            <w:tcW w:w="26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880" w:type="dxa"/>
            <w:vAlign w:val="bottom"/>
          </w:tcPr>
          <w:p>
            <w:pPr>
              <w:spacing w:after="0"/>
              <w:rPr>
                <w:sz w:val="24"/>
                <w:szCs w:val="24"/>
                <w:color w:val="auto"/>
              </w:rPr>
            </w:pPr>
          </w:p>
        </w:tc>
        <w:tc>
          <w:tcPr>
            <w:tcW w:w="3400" w:type="dxa"/>
            <w:vAlign w:val="bottom"/>
            <w:gridSpan w:val="3"/>
          </w:tcPr>
          <w:p>
            <w:pPr>
              <w:jc w:val="right"/>
              <w:ind w:right="2960"/>
              <w:spacing w:after="0"/>
              <w:rPr>
                <w:sz w:val="20"/>
                <w:szCs w:val="20"/>
                <w:color w:val="auto"/>
              </w:rPr>
            </w:pPr>
            <w:r>
              <w:rPr>
                <w:rFonts w:ascii="Times New Roman" w:cs="Times New Roman" w:eastAsia="Times New Roman" w:hAnsi="Times New Roman"/>
                <w:sz w:val="18"/>
                <w:szCs w:val="18"/>
                <w:color w:val="auto"/>
              </w:rPr>
              <w:t>F-28</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600" w:right="140"/>
        <w:spacing w:after="0" w:line="262" w:lineRule="auto"/>
        <w:rPr>
          <w:sz w:val="20"/>
          <w:szCs w:val="20"/>
          <w:color w:val="auto"/>
        </w:rPr>
      </w:pPr>
      <w:r>
        <w:rPr>
          <w:rFonts w:ascii="Times New Roman" w:cs="Times New Roman" w:eastAsia="Times New Roman" w:hAnsi="Times New Roman"/>
          <w:sz w:val="18"/>
          <w:szCs w:val="18"/>
          <w:color w:val="auto"/>
        </w:rPr>
        <w:t>For the year ended December 31, 2019, total stock-based compensation expense related to restricted stock awards was $1.3 million. At December 31, 2019, there was $6.0 million of total unrecognized compensation cost related to these restricted shares which is expected to be recognized over the remaining service period of 3.3 years.</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Stock-based compensation is included in the following components of expenses on the accompanying consolidated statements of operations.</w:t>
      </w:r>
    </w:p>
    <w:p>
      <w:pPr>
        <w:spacing w:after="0" w:line="241"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498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5"/>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3"/>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and technology</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7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income tax benefit recognized</w:t>
            </w: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56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 realized from stock options exercised</w:t>
            </w:r>
          </w:p>
        </w:tc>
        <w:tc>
          <w:tcPr>
            <w:tcW w:w="11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7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Bonus expense for options</w:t>
      </w:r>
    </w:p>
    <w:p>
      <w:pPr>
        <w:spacing w:after="0" w:line="118" w:lineRule="exact"/>
        <w:rPr>
          <w:sz w:val="20"/>
          <w:szCs w:val="20"/>
          <w:color w:val="auto"/>
        </w:rPr>
      </w:pPr>
    </w:p>
    <w:p>
      <w:pPr>
        <w:ind w:left="600"/>
        <w:spacing w:after="0" w:line="257" w:lineRule="auto"/>
        <w:rPr>
          <w:sz w:val="20"/>
          <w:szCs w:val="20"/>
          <w:color w:val="auto"/>
        </w:rPr>
      </w:pPr>
      <w:r>
        <w:rPr>
          <w:rFonts w:ascii="Times New Roman" w:cs="Times New Roman" w:eastAsia="Times New Roman" w:hAnsi="Times New Roman"/>
          <w:sz w:val="18"/>
          <w:szCs w:val="18"/>
          <w:color w:val="auto"/>
        </w:rPr>
        <w:t>In connection with the dividend payments made to stockholders in May 2018 and October 2018, as further described in Note 14 Redeemable Convertible Preferred Stock and Stockholders’ Deficit, the Company paid vested option holders cash bonuses totaling $38.8 million which are included in the following components of expenses on the accompanying consolidated statement of operations for the year ended December 31, 2018 as follows:</w:t>
      </w:r>
    </w:p>
    <w:p>
      <w:pPr>
        <w:spacing w:after="0" w:line="363"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and technology</w:t>
            </w: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29,189</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6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right="320"/>
        <w:spacing w:after="0" w:line="277" w:lineRule="auto"/>
        <w:rPr>
          <w:sz w:val="20"/>
          <w:szCs w:val="20"/>
          <w:color w:val="auto"/>
        </w:rPr>
      </w:pPr>
      <w:r>
        <w:rPr>
          <w:rFonts w:ascii="Times New Roman" w:cs="Times New Roman" w:eastAsia="Times New Roman" w:hAnsi="Times New Roman"/>
          <w:sz w:val="18"/>
          <w:szCs w:val="18"/>
          <w:color w:val="auto"/>
        </w:rPr>
        <w:t>The payment of cash bonuses to vested option holders was not required under terms of the options or the 2015 Plan, and did not result in a modification of the stock options.</w:t>
      </w:r>
    </w:p>
    <w:p>
      <w:pPr>
        <w:spacing w:after="0" w:line="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0780"/>
          </w:cols>
          <w:pgMar w:left="320" w:top="454" w:right="79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600" w:hanging="426"/>
        <w:spacing w:after="0"/>
        <w:tabs>
          <w:tab w:leader="none" w:pos="60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Earnings Per Share</w:t>
      </w:r>
    </w:p>
    <w:p>
      <w:pPr>
        <w:spacing w:after="0" w:line="117"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computation of earnings per share for the years ended December 31, 2018 and 2019 is as follows:</w:t>
      </w:r>
    </w:p>
    <w:p>
      <w:pPr>
        <w:spacing w:after="0" w:line="241"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80" w:type="dxa"/>
            <w:vAlign w:val="bottom"/>
          </w:tcPr>
          <w:p>
            <w:pPr>
              <w:spacing w:after="0"/>
              <w:rPr>
                <w:sz w:val="14"/>
                <w:szCs w:val="14"/>
                <w:color w:val="auto"/>
              </w:rPr>
            </w:pPr>
          </w:p>
        </w:tc>
        <w:tc>
          <w:tcPr>
            <w:tcW w:w="19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712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00"/>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43,793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Accumulated dividends on convertible preferred stock</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(12,984)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Undistributed earnings allocated to convertible preferred stock</w:t>
            </w:r>
          </w:p>
        </w:tc>
        <w:tc>
          <w:tcPr>
            <w:tcW w:w="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(17,014)</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13,795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42,441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10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Add: Undistributed earnings reallocated to holders of common</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w:t>
            </w:r>
          </w:p>
        </w:tc>
        <w:tc>
          <w:tcPr>
            <w:tcW w:w="8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14,226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42,745</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shares—basic</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5"/>
              </w:rPr>
              <w:t>111,842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226,607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impact of stock options and restricted stock awards</w:t>
            </w:r>
          </w:p>
        </w:tc>
        <w:tc>
          <w:tcPr>
            <w:tcW w:w="8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6,502</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shares—diluted</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5"/>
              </w:rPr>
              <w:t>118,344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231,209</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00"/>
        <w:spacing w:after="0" w:line="277" w:lineRule="auto"/>
        <w:rPr>
          <w:sz w:val="20"/>
          <w:szCs w:val="20"/>
          <w:color w:val="auto"/>
        </w:rPr>
      </w:pPr>
      <w:r>
        <w:rPr>
          <w:rFonts w:ascii="Times New Roman" w:cs="Times New Roman" w:eastAsia="Times New Roman" w:hAnsi="Times New Roman"/>
          <w:sz w:val="18"/>
          <w:szCs w:val="18"/>
          <w:color w:val="auto"/>
        </w:rPr>
        <w:t>The following weighted-average potentially dilutive shares were excluded from the computation of diluted net income per share for the periods presented because including them would have been antidilutive:</w:t>
      </w:r>
    </w:p>
    <w:p>
      <w:pPr>
        <w:spacing w:after="0" w:line="184"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1" w:lineRule="exact"/>
        <w:rPr>
          <w:sz w:val="20"/>
          <w:szCs w:val="20"/>
          <w:color w:val="auto"/>
        </w:rPr>
      </w:pPr>
    </w:p>
    <w:tbl>
      <w:tblPr>
        <w:tblLayout w:type="fixed"/>
        <w:tblInd w:w="600" w:type="dxa"/>
        <w:tblCellMar>
          <w:top w:w="0" w:type="dxa"/>
          <w:left w:w="0" w:type="dxa"/>
          <w:bottom w:w="0" w:type="dxa"/>
          <w:right w:w="0" w:type="dxa"/>
        </w:tblCellMar>
      </w:tblPr>
      <w:tr>
        <w:trPr>
          <w:trHeight w:val="140"/>
        </w:trPr>
        <w:tc>
          <w:tcPr>
            <w:tcW w:w="7160" w:type="dxa"/>
            <w:vAlign w:val="bottom"/>
            <w:gridSpan w:val="2"/>
          </w:tcPr>
          <w:p>
            <w:pPr>
              <w:ind w:left="880"/>
              <w:spacing w:after="0" w:line="141"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457"/>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73"/>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9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137,946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126,046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8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94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2,539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6"/>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Pro forma earnings per share (unaudited)</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8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computation of unaudited pro forma earnings per share for the year ended December 31, 2019 is as follows: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880" w:type="dxa"/>
            <w:vAlign w:val="bottom"/>
            <w:vMerge w:val="restart"/>
          </w:tcPr>
          <w:p>
            <w:pPr>
              <w:spacing w:after="0"/>
              <w:rPr>
                <w:sz w:val="20"/>
                <w:szCs w:val="20"/>
                <w:color w:val="auto"/>
              </w:rPr>
            </w:pPr>
          </w:p>
        </w:tc>
        <w:tc>
          <w:tcPr>
            <w:tcW w:w="6400" w:type="dxa"/>
            <w:vAlign w:val="bottom"/>
            <w:gridSpan w:val="2"/>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88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income—basic and diluted</w:t>
            </w:r>
          </w:p>
        </w:tc>
        <w:tc>
          <w:tcPr>
            <w:tcW w:w="9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shares—basic</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226,607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6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Adjustment for assumed conversion of convertible preferred stock to common stock</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126,046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Pro forma weighted-average shares—basic</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352,653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6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impact of stock options and restricted stock awards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Pro forma weighted-average shares—diluted</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357,255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8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earnings per share:</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880" w:type="dxa"/>
            <w:vAlign w:val="bottom"/>
          </w:tcPr>
          <w:p>
            <w:pPr>
              <w:spacing w:after="0"/>
              <w:rPr>
                <w:sz w:val="24"/>
                <w:szCs w:val="24"/>
                <w:color w:val="auto"/>
              </w:rPr>
            </w:pPr>
          </w:p>
        </w:tc>
        <w:tc>
          <w:tcPr>
            <w:tcW w:w="640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F-30</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54" w:right="75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600" w:hanging="426"/>
        <w:spacing w:after="0"/>
        <w:tabs>
          <w:tab w:leader="none" w:pos="60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Financial Information of Parent Company</w:t>
      </w:r>
    </w:p>
    <w:p>
      <w:pPr>
        <w:spacing w:after="0" w:line="117" w:lineRule="exact"/>
        <w:rPr>
          <w:rFonts w:ascii="Times New Roman" w:cs="Times New Roman" w:eastAsia="Times New Roman" w:hAnsi="Times New Roman"/>
          <w:sz w:val="18"/>
          <w:szCs w:val="18"/>
          <w:b w:val="1"/>
          <w:bCs w:val="1"/>
          <w:color w:val="auto"/>
        </w:rPr>
      </w:pPr>
    </w:p>
    <w:p>
      <w:pPr>
        <w:ind w:left="600"/>
        <w:spacing w:after="0" w:line="27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GoodRx Holdings Inc. has no material assets or standalone operations other than its ownership in its consolidated subsidiaries. Under the terms of debt agreements entered into by GoodRx, a wholly-owned subsidiary of GoodRx Intermediate Holdings, LLC, which itself is a wholly-owned subsidiary of GoodRx Holdings, Inc., GoodRx is restricted from making dividend payments, loans or advances to GoodRx Intermediate Holdings, LLC and GoodRx Holdings, Inc. These restrictions have resulted in the restricted net assets (as defined in Rule 4-08(e)(3) of Regulation S-X) of GoodRx, Inc. and its subsidiaries exceeding 25% of the consolidated net assets of GoodRx Holdings, Inc. and its subsidiaries.</w:t>
      </w:r>
    </w:p>
    <w:p>
      <w:pPr>
        <w:spacing w:after="0" w:line="63" w:lineRule="exact"/>
        <w:rPr>
          <w:rFonts w:ascii="Times New Roman" w:cs="Times New Roman" w:eastAsia="Times New Roman" w:hAnsi="Times New Roman"/>
          <w:sz w:val="18"/>
          <w:szCs w:val="18"/>
          <w:b w:val="1"/>
          <w:bCs w:val="1"/>
          <w:color w:val="auto"/>
        </w:rPr>
      </w:pPr>
    </w:p>
    <w:p>
      <w:pPr>
        <w:ind w:left="600" w:right="20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condensed financial information is presented on a “parent-only” basis, and GoodRx Holdings Inc.’s investment in its subsidiary is stated at cost plus equity in earnings of subsidiary less distributions received from subsidiary since the date of the October 7, 2015 acquisition. GoodRx Holdings. Inc.’s share of net income of its subsidiary is included in net income using the equity method of accounting. The subsidiary has made distributions to GoodRx Holdings, Inc. in excess of GoodRx Holdings, Inc.’s investments in and equity in earnings of the subsidiary.</w:t>
      </w:r>
    </w:p>
    <w:p>
      <w:pPr>
        <w:spacing w:after="0" w:line="59" w:lineRule="exact"/>
        <w:rPr>
          <w:rFonts w:ascii="Times New Roman" w:cs="Times New Roman" w:eastAsia="Times New Roman" w:hAnsi="Times New Roman"/>
          <w:sz w:val="18"/>
          <w:szCs w:val="18"/>
          <w:b w:val="1"/>
          <w:bCs w:val="1"/>
          <w:color w:val="auto"/>
        </w:rPr>
      </w:pPr>
    </w:p>
    <w:p>
      <w:pPr>
        <w:ind w:left="600" w:right="1520"/>
        <w:spacing w:after="0" w:line="43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During 2018 and 2019, GoodRx Holdings, Inc. received dividends from its subsidiary of $606.0 million and $0, respectively. The following table presents the parent-only balance sheets of GoodRx Holdings, Inc. as of December 31, 2018 and 2019:</w:t>
      </w:r>
    </w:p>
    <w:p>
      <w:pPr>
        <w:spacing w:after="0" w:line="53"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6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00" w:type="dxa"/>
            <w:vAlign w:val="bottom"/>
          </w:tcPr>
          <w:p>
            <w:pPr>
              <w:spacing w:after="0"/>
              <w:rPr>
                <w:sz w:val="14"/>
                <w:szCs w:val="14"/>
                <w:color w:val="auto"/>
              </w:rPr>
            </w:pPr>
          </w:p>
        </w:tc>
        <w:tc>
          <w:tcPr>
            <w:tcW w:w="2380" w:type="dxa"/>
            <w:vAlign w:val="bottom"/>
            <w:gridSpan w:val="6"/>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0" w:type="dxa"/>
            <w:vAlign w:val="bottom"/>
          </w:tcPr>
          <w:p>
            <w:pPr>
              <w:spacing w:after="0"/>
              <w:rPr>
                <w:sz w:val="1"/>
                <w:szCs w:val="1"/>
                <w:color w:val="auto"/>
              </w:rPr>
            </w:pPr>
          </w:p>
        </w:tc>
      </w:tr>
      <w:tr>
        <w:trPr>
          <w:trHeight w:val="140"/>
        </w:trPr>
        <w:tc>
          <w:tcPr>
            <w:tcW w:w="668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4"/>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2"/>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500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4"/>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0"/>
        </w:trPr>
        <w:tc>
          <w:tcPr>
            <w:tcW w:w="6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subsidiary, net of distributions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425,918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425,918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350,830</w:t>
            </w:r>
          </w:p>
        </w:tc>
        <w:tc>
          <w:tcPr>
            <w:tcW w:w="0" w:type="dxa"/>
            <w:vAlign w:val="bottom"/>
          </w:tcPr>
          <w:p>
            <w:pPr>
              <w:spacing w:after="0"/>
              <w:rPr>
                <w:sz w:val="1"/>
                <w:szCs w:val="1"/>
                <w:color w:val="auto"/>
              </w:rPr>
            </w:pPr>
          </w:p>
        </w:tc>
      </w:tr>
      <w:tr>
        <w:trPr>
          <w:trHeight w:val="214"/>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convertible preferred stock</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680" w:type="dxa"/>
            <w:vAlign w:val="bottom"/>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Redeemable convertible preferred stock, $0.006 par value; 130,000 shares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authorized and 126,046 shares issued and outstanding at December 31, 2018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2019; liquidation preference of $748,800 at December 31, 2019</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737,009</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737,009</w:t>
            </w:r>
          </w:p>
        </w:tc>
        <w:tc>
          <w:tcPr>
            <w:tcW w:w="0" w:type="dxa"/>
            <w:vAlign w:val="bottom"/>
          </w:tcPr>
          <w:p>
            <w:pPr>
              <w:spacing w:after="0"/>
              <w:rPr>
                <w:sz w:val="1"/>
                <w:szCs w:val="1"/>
                <w:color w:val="auto"/>
              </w:rPr>
            </w:pPr>
          </w:p>
        </w:tc>
      </w:tr>
      <w:tr>
        <w:trPr>
          <w:trHeight w:val="214"/>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680" w:type="dxa"/>
            <w:vAlign w:val="bottom"/>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Common stock, $0.002 par value; 380,000 shares authorized at December 31,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2018 and 2019; 225,201 and 229,750 shares issued and outstanding as of</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2018 and December 31, 2019, respectively</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451</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4"/>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12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8,788</w:t>
            </w:r>
          </w:p>
        </w:tc>
        <w:tc>
          <w:tcPr>
            <w:tcW w:w="0" w:type="dxa"/>
            <w:vAlign w:val="bottom"/>
          </w:tcPr>
          <w:p>
            <w:pPr>
              <w:spacing w:after="0"/>
              <w:rPr>
                <w:sz w:val="1"/>
                <w:szCs w:val="1"/>
                <w:color w:val="auto"/>
              </w:rPr>
            </w:pPr>
          </w:p>
        </w:tc>
      </w:tr>
      <w:tr>
        <w:trPr>
          <w:trHeight w:val="214"/>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w w:val="97"/>
              </w:rPr>
              <w:t>(1,162,878)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(1,096,830)</w:t>
            </w:r>
          </w:p>
        </w:tc>
        <w:tc>
          <w:tcPr>
            <w:tcW w:w="0" w:type="dxa"/>
            <w:vAlign w:val="bottom"/>
          </w:tcPr>
          <w:p>
            <w:pPr>
              <w:spacing w:after="0"/>
              <w:rPr>
                <w:sz w:val="1"/>
                <w:szCs w:val="1"/>
                <w:color w:val="auto"/>
              </w:rPr>
            </w:pPr>
          </w:p>
        </w:tc>
      </w:tr>
      <w:tr>
        <w:trPr>
          <w:trHeight w:val="227"/>
        </w:trPr>
        <w:tc>
          <w:tcPr>
            <w:tcW w:w="6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(1,162,427</w:t>
            </w:r>
          </w:p>
        </w:tc>
        <w:tc>
          <w:tcPr>
            <w:tcW w:w="3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(1,087,582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5"/>
        </w:trPr>
        <w:tc>
          <w:tcPr>
            <w:tcW w:w="6680" w:type="dxa"/>
            <w:vAlign w:val="bottom"/>
            <w:shd w:val="clear" w:color="auto" w:fill="CCEEFF"/>
          </w:tcPr>
          <w:p>
            <w:pPr>
              <w:ind w:left="720"/>
              <w:spacing w:after="0" w:line="195" w:lineRule="exact"/>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6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500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4420"/>
              <w:spacing w:after="0"/>
              <w:rPr>
                <w:sz w:val="20"/>
                <w:szCs w:val="20"/>
                <w:color w:val="auto"/>
              </w:rPr>
            </w:pPr>
            <w:r>
              <w:rPr>
                <w:rFonts w:ascii="Times New Roman" w:cs="Times New Roman" w:eastAsia="Times New Roman" w:hAnsi="Times New Roman"/>
                <w:sz w:val="18"/>
                <w:szCs w:val="18"/>
                <w:color w:val="auto"/>
              </w:rPr>
              <w:t>F-31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4" w:right="5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presents the parent-only statement of operations of GoodRx Holdings, Inc. for the years ended December 31, 2018 and 2019:</w:t>
      </w:r>
    </w:p>
    <w:p>
      <w:pPr>
        <w:spacing w:after="0" w:line="252"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jc w:val="right"/>
              <w:ind w:right="357"/>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subsidiary</w:t>
            </w:r>
          </w:p>
        </w:tc>
        <w:tc>
          <w:tcPr>
            <w:tcW w:w="2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43,793</w:t>
            </w:r>
          </w:p>
        </w:tc>
        <w:tc>
          <w:tcPr>
            <w:tcW w:w="1160" w:type="dxa"/>
            <w:vAlign w:val="bottom"/>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43,793</w:t>
            </w:r>
          </w:p>
        </w:tc>
        <w:tc>
          <w:tcPr>
            <w:tcW w:w="7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presents the parent-only statement of cash flows of GoodRx Holdings, Inc. for the years ended December 31, 2018 and 2019:</w:t>
      </w:r>
    </w:p>
    <w:p>
      <w:pPr>
        <w:spacing w:after="0" w:line="252"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ind w:left="200"/>
              <w:spacing w:after="0" w:line="141" w:lineRule="exact"/>
              <w:rPr>
                <w:sz w:val="20"/>
                <w:szCs w:val="20"/>
                <w:color w:val="auto"/>
              </w:rPr>
            </w:pPr>
            <w:r>
              <w:rPr>
                <w:rFonts w:ascii="Times New Roman" w:cs="Times New Roman" w:eastAsia="Times New Roman" w:hAnsi="Times New Roman"/>
                <w:sz w:val="14"/>
                <w:szCs w:val="14"/>
                <w:b w:val="1"/>
                <w:bCs w:val="1"/>
                <w:color w:val="auto"/>
              </w:rPr>
              <w:t>2018</w:t>
            </w: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jc w:val="right"/>
              <w:ind w:right="352"/>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43,793</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66,048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Adjustments to reconcile net income to net cash used in operating</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activities:</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in earnings of subsidiary</w:t>
            </w:r>
          </w:p>
        </w:tc>
        <w:tc>
          <w:tcPr>
            <w:tcW w:w="24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(43,793)</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asset</w:t>
            </w:r>
          </w:p>
        </w:tc>
        <w:tc>
          <w:tcPr>
            <w:tcW w:w="24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from subsidiary</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605,997</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subsidiary</w:t>
            </w:r>
          </w:p>
        </w:tc>
        <w:tc>
          <w:tcPr>
            <w:tcW w:w="24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605,997</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(4,908)</w:t>
            </w:r>
          </w:p>
        </w:tc>
        <w:tc>
          <w:tcPr>
            <w:tcW w:w="0" w:type="dxa"/>
            <w:vAlign w:val="bottom"/>
          </w:tcPr>
          <w:p>
            <w:pPr>
              <w:spacing w:after="0"/>
              <w:rPr>
                <w:sz w:val="1"/>
                <w:szCs w:val="1"/>
                <w:color w:val="auto"/>
              </w:rPr>
            </w:pPr>
          </w:p>
        </w:tc>
      </w:tr>
      <w:tr>
        <w:trPr>
          <w:trHeight w:val="22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preferred stock, net</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737,009</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240" w:type="dxa"/>
            <w:vAlign w:val="bottom"/>
          </w:tcPr>
          <w:p>
            <w:pPr>
              <w:spacing w:after="0"/>
              <w:rPr>
                <w:sz w:val="18"/>
                <w:szCs w:val="18"/>
                <w:color w:val="auto"/>
              </w:rPr>
            </w:pPr>
          </w:p>
        </w:tc>
        <w:tc>
          <w:tcPr>
            <w:tcW w:w="16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(1,346,355)</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3,349</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(605,997)</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Net change in cash</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500</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500</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700" w:hanging="526"/>
        <w:spacing w:after="0"/>
        <w:tabs>
          <w:tab w:leader="none" w:pos="70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8" w:lineRule="exact"/>
        <w:rPr>
          <w:sz w:val="20"/>
          <w:szCs w:val="20"/>
          <w:color w:val="auto"/>
        </w:rPr>
      </w:pPr>
    </w:p>
    <w:p>
      <w:pPr>
        <w:ind w:left="600" w:right="440"/>
        <w:spacing w:after="0" w:line="277" w:lineRule="auto"/>
        <w:rPr>
          <w:sz w:val="20"/>
          <w:szCs w:val="20"/>
          <w:color w:val="auto"/>
        </w:rPr>
      </w:pPr>
      <w:r>
        <w:rPr>
          <w:rFonts w:ascii="Times New Roman" w:cs="Times New Roman" w:eastAsia="Times New Roman" w:hAnsi="Times New Roman"/>
          <w:sz w:val="18"/>
          <w:szCs w:val="18"/>
          <w:color w:val="auto"/>
        </w:rPr>
        <w:t>The Company has evaluated subsequent events through April 27, 2020, the date these consolidated financial statements were available to be issued and has determined that the following subsequent events require disclosure in the consolidated financial statements.</w:t>
      </w:r>
    </w:p>
    <w:p>
      <w:pPr>
        <w:spacing w:after="0" w:line="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On January 28, 2020, an additional 10 million shares of common stock were authorized.</w:t>
      </w:r>
    </w:p>
    <w:p>
      <w:pPr>
        <w:spacing w:after="0" w:line="114" w:lineRule="exact"/>
        <w:rPr>
          <w:sz w:val="20"/>
          <w:szCs w:val="20"/>
          <w:color w:val="auto"/>
        </w:rPr>
      </w:pPr>
    </w:p>
    <w:p>
      <w:pPr>
        <w:ind w:left="600"/>
        <w:spacing w:after="0" w:line="277" w:lineRule="auto"/>
        <w:rPr>
          <w:sz w:val="20"/>
          <w:szCs w:val="20"/>
          <w:color w:val="auto"/>
        </w:rPr>
      </w:pPr>
      <w:r>
        <w:rPr>
          <w:rFonts w:ascii="Times New Roman" w:cs="Times New Roman" w:eastAsia="Times New Roman" w:hAnsi="Times New Roman"/>
          <w:sz w:val="18"/>
          <w:szCs w:val="18"/>
          <w:color w:val="auto"/>
        </w:rPr>
        <w:t>Between January 1, 2020 and April 27, 2020, the Company granted stock options to purchase 5.6 million shares of common stock with a weighted average exercise price of $6.20 per share.</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040"/>
          </w:cols>
          <w:pgMar w:left="320" w:top="454" w:right="53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COVID-19 Outbreak</w:t>
      </w:r>
    </w:p>
    <w:p>
      <w:pPr>
        <w:spacing w:after="0" w:line="118" w:lineRule="exact"/>
        <w:rPr>
          <w:sz w:val="20"/>
          <w:szCs w:val="20"/>
          <w:color w:val="auto"/>
        </w:rPr>
      </w:pPr>
    </w:p>
    <w:p>
      <w:pPr>
        <w:ind w:left="600" w:right="100"/>
        <w:spacing w:after="0" w:line="277" w:lineRule="auto"/>
        <w:rPr>
          <w:sz w:val="20"/>
          <w:szCs w:val="20"/>
          <w:color w:val="auto"/>
        </w:rPr>
      </w:pPr>
      <w:r>
        <w:rPr>
          <w:rFonts w:ascii="Times New Roman" w:cs="Times New Roman" w:eastAsia="Times New Roman" w:hAnsi="Times New Roman"/>
          <w:sz w:val="18"/>
          <w:szCs w:val="18"/>
          <w:color w:val="auto"/>
        </w:rPr>
        <w:t>As a precautionary measure, to increase the Company’s cash position and preserve financial flexibility in light of the current uncertainty resulting from the COVID-19 outbreak, on March 18, 2020, the Company borrowed an aggregate of $28.0 million under its line of credit.</w:t>
      </w:r>
    </w:p>
    <w:p>
      <w:pPr>
        <w:spacing w:after="0" w:line="57" w:lineRule="exact"/>
        <w:rPr>
          <w:sz w:val="20"/>
          <w:szCs w:val="20"/>
          <w:color w:val="auto"/>
        </w:rPr>
      </w:pPr>
    </w:p>
    <w:p>
      <w:pPr>
        <w:ind w:left="600" w:right="80"/>
        <w:spacing w:after="0" w:line="257" w:lineRule="auto"/>
        <w:rPr>
          <w:sz w:val="20"/>
          <w:szCs w:val="20"/>
          <w:color w:val="auto"/>
        </w:rPr>
      </w:pPr>
      <w:r>
        <w:rPr>
          <w:rFonts w:ascii="Times New Roman" w:cs="Times New Roman" w:eastAsia="Times New Roman" w:hAnsi="Times New Roman"/>
          <w:sz w:val="18"/>
          <w:szCs w:val="18"/>
          <w:color w:val="auto"/>
        </w:rPr>
        <w:t>Current circumstances of the COVID-19 crisis are dynamic and the impact on the Company’s business operations, including the duration and changes in customer behavior, cannot be reasonably estimated at this time. Although initial indications point to minimal impact to demand, the Company anticipates this may change and could result in a material impact on its business, results of operations, financial position and cash flows in 2020.</w:t>
      </w:r>
    </w:p>
    <w:p>
      <w:pPr>
        <w:spacing w:after="0" w:line="75" w:lineRule="exact"/>
        <w:rPr>
          <w:sz w:val="20"/>
          <w:szCs w:val="20"/>
          <w:color w:val="auto"/>
        </w:rPr>
      </w:pPr>
    </w:p>
    <w:p>
      <w:pPr>
        <w:ind w:left="600"/>
        <w:spacing w:after="0" w:line="253"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signed into law, featuring significant tax provisions and other measures to assist individuals and businesses impacted by the economic effects of the COVID-19 pandemic. The CARES Act increased the Section 163(j) interest expense limitation from 30% to 50% of adjusted taxable income, provided for the payment deferral of certain Social Security taxes, made a technical correction allowing Qualified Improvement Property (“QIP”) to be treated as 15-year property, and included numerous other provisions. The Company is currently evaluating the impact of the CARES Act and will account for the tax effects of the related changes in the period of enactment.</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Change in Ownership of HeyDoctor Professional Service Corporations</w:t>
      </w:r>
    </w:p>
    <w:p>
      <w:pPr>
        <w:spacing w:after="0" w:line="118" w:lineRule="exact"/>
        <w:rPr>
          <w:sz w:val="20"/>
          <w:szCs w:val="20"/>
          <w:color w:val="auto"/>
        </w:rPr>
      </w:pPr>
    </w:p>
    <w:p>
      <w:pPr>
        <w:ind w:left="600" w:right="160"/>
        <w:spacing w:after="0" w:line="273" w:lineRule="auto"/>
        <w:rPr>
          <w:sz w:val="20"/>
          <w:szCs w:val="20"/>
          <w:color w:val="auto"/>
        </w:rPr>
      </w:pPr>
      <w:r>
        <w:rPr>
          <w:rFonts w:ascii="Times New Roman" w:cs="Times New Roman" w:eastAsia="Times New Roman" w:hAnsi="Times New Roman"/>
          <w:sz w:val="17"/>
          <w:szCs w:val="17"/>
          <w:color w:val="auto"/>
        </w:rPr>
        <w:t>In 2020, the ownership of the HeyDoctor PSCs was transferred to different medical professionals. The Company’s deferred income taxes reflect carryover tax attributes generated by the VIEs available for future utilization. Section 382 of the IRC limits the utilization of U.S. net operating loss carryforwards following a change of control. As the 2020 change in ownership in the PSCs constitutes a change of control, U.S. NOLs from the PSCs will be subject to an annual limitation under IRC Section 382. The Company expects any limitation will be immaterial to the financial statements as a valuation allowance was established against the NOLs from the PSCs due to uncertainty regarding their future realization.</w:t>
      </w:r>
    </w:p>
    <w:p>
      <w:pPr>
        <w:spacing w:after="0" w:line="2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Events Subsequent to Original Issuance of the Consolidated Financial Statements (Unaudited)</w:t>
      </w:r>
    </w:p>
    <w:p>
      <w:pPr>
        <w:spacing w:after="0" w:line="118" w:lineRule="exact"/>
        <w:rPr>
          <w:sz w:val="20"/>
          <w:szCs w:val="20"/>
          <w:color w:val="auto"/>
        </w:rPr>
      </w:pPr>
    </w:p>
    <w:p>
      <w:pPr>
        <w:ind w:left="600" w:right="20"/>
        <w:spacing w:after="0" w:line="277" w:lineRule="auto"/>
        <w:rPr>
          <w:sz w:val="20"/>
          <w:szCs w:val="20"/>
          <w:color w:val="auto"/>
        </w:rPr>
      </w:pPr>
      <w:r>
        <w:rPr>
          <w:rFonts w:ascii="Times New Roman" w:cs="Times New Roman" w:eastAsia="Times New Roman" w:hAnsi="Times New Roman"/>
          <w:sz w:val="18"/>
          <w:szCs w:val="18"/>
          <w:color w:val="auto"/>
        </w:rPr>
        <w:t>In connection with the reissuance of the consolidated financial statements, the Company has evaluated subsequent events through July 2, 2020, the date the financial statements were available to be reissued.</w:t>
      </w:r>
    </w:p>
    <w:p>
      <w:pPr>
        <w:spacing w:after="0" w:line="57" w:lineRule="exact"/>
        <w:rPr>
          <w:sz w:val="20"/>
          <w:szCs w:val="20"/>
          <w:color w:val="auto"/>
        </w:rPr>
      </w:pPr>
    </w:p>
    <w:p>
      <w:pPr>
        <w:ind w:left="600" w:right="140"/>
        <w:spacing w:after="0" w:line="270" w:lineRule="auto"/>
        <w:rPr>
          <w:sz w:val="20"/>
          <w:szCs w:val="20"/>
          <w:color w:val="auto"/>
        </w:rPr>
      </w:pPr>
      <w:r>
        <w:rPr>
          <w:rFonts w:ascii="Times New Roman" w:cs="Times New Roman" w:eastAsia="Times New Roman" w:hAnsi="Times New Roman"/>
          <w:sz w:val="17"/>
          <w:szCs w:val="17"/>
          <w:color w:val="auto"/>
        </w:rPr>
        <w:t>Between April 28, 2020 and July 2, 2020, the Company granted stock options to purchase 3.5 million shares of common stock with a weighted average exercise price of $6.84 per share of which options to purchase 2.9 million shares of common stock vest solely based on the continued service of the employee and options to purchase 0.6 million shares of common stock vest upon continued service and the achievement of both performance and market conditions. The performance condition is satisfied upon the closing of an initial public offering pursuant to an effective registration statement under the Securities Act of 1933, as amended, or a change in the control of the Company, as defined. The market condition is satisfied upon the Company’s common stock achieving certain per share price thresholds in the initial public offering, the trading price of the Company’s stock for a period subsequent to the initial public offering, or the per share price in a change in control transaction.</w:t>
      </w:r>
    </w:p>
    <w:p>
      <w:pPr>
        <w:spacing w:after="0" w:line="64" w:lineRule="exact"/>
        <w:rPr>
          <w:sz w:val="20"/>
          <w:szCs w:val="20"/>
          <w:color w:val="auto"/>
        </w:rPr>
      </w:pPr>
    </w:p>
    <w:p>
      <w:pPr>
        <w:ind w:left="600"/>
        <w:spacing w:after="0" w:line="257" w:lineRule="auto"/>
        <w:rPr>
          <w:sz w:val="20"/>
          <w:szCs w:val="20"/>
          <w:color w:val="auto"/>
        </w:rPr>
      </w:pPr>
      <w:r>
        <w:rPr>
          <w:rFonts w:ascii="Times New Roman" w:cs="Times New Roman" w:eastAsia="Times New Roman" w:hAnsi="Times New Roman"/>
          <w:sz w:val="18"/>
          <w:szCs w:val="18"/>
          <w:color w:val="auto"/>
        </w:rPr>
        <w:t>In May 2020, the Company entered into an amendment of the First Lien to increase the amount of the line of credit to $100.0 million. The maturity date and interest rate are the same as the original line of credit disclosed in Note 12. The Company incurred lender and third-party costs of $1.3 million related to the amendment. The Company has not borrowed any additional amounts under the line of credit subsequent to March 18, 2020.</w:t>
      </w:r>
    </w:p>
    <w:p>
      <w:pPr>
        <w:spacing w:after="0" w:line="75" w:lineRule="exact"/>
        <w:rPr>
          <w:sz w:val="20"/>
          <w:szCs w:val="20"/>
          <w:color w:val="auto"/>
        </w:rPr>
      </w:pPr>
    </w:p>
    <w:p>
      <w:pPr>
        <w:ind w:left="600" w:right="20"/>
        <w:spacing w:after="0" w:line="262" w:lineRule="auto"/>
        <w:rPr>
          <w:sz w:val="20"/>
          <w:szCs w:val="20"/>
          <w:color w:val="auto"/>
        </w:rPr>
      </w:pPr>
      <w:r>
        <w:rPr>
          <w:rFonts w:ascii="Times New Roman" w:cs="Times New Roman" w:eastAsia="Times New Roman" w:hAnsi="Times New Roman"/>
          <w:sz w:val="18"/>
          <w:szCs w:val="18"/>
          <w:color w:val="auto"/>
        </w:rPr>
        <w:t>In June 2020, the Company modified the terms of an option to purchase 0.4 million shares of common stock. The original award that would otherwise have been cancelled upon the employee’s departure from the Company was modified to permit the former employee to only exercise the award within 30 days of the Company completing its initial public offering or a change in control of the Company, as defined.</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80"/>
          </w:cols>
          <w:pgMar w:left="320" w:top="454" w:right="49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2019 AND JUNE 30, 2020</w:t>
      </w:r>
    </w:p>
    <w:p>
      <w:pPr>
        <w:spacing w:after="0" w:line="20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7"/>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par values)</w:t>
            </w:r>
          </w:p>
        </w:tc>
        <w:tc>
          <w:tcPr>
            <w:tcW w:w="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2"/>
        </w:trPr>
        <w:tc>
          <w:tcPr>
            <w:tcW w:w="73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Debt,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convertible preferred stock, $0.006 par value; 130,000 shares authorized and 126,046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issued and outstanding at December 31, 2019 and June 30, 2020; liquidation preference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$748,800 at December 31, 2019 and June 30, 2020; no shares issued and outstanding at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June 30, 2020, pro forma</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737,009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737,009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Common stock, $0.002 par value; 380,000 and 390,000 shares authorized at 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2019 and June 30, 2020, respectively; 229,750 and 230,439 shares issued and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at December 31,2019 and June 30, 2020, respectively; 356,485 shares issued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outstanding at June 30, 2020, pro forma</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4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(1,096,830)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(1,042,147)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(1,042,147)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(1,087,582)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(1,026,735)</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(289,726)</w:t>
            </w:r>
          </w:p>
        </w:tc>
        <w:tc>
          <w:tcPr>
            <w:tcW w:w="0" w:type="dxa"/>
            <w:vAlign w:val="bottom"/>
          </w:tcPr>
          <w:p>
            <w:pPr>
              <w:spacing w:after="0"/>
              <w:rPr>
                <w:sz w:val="1"/>
                <w:szCs w:val="1"/>
                <w:color w:val="auto"/>
              </w:rPr>
            </w:pPr>
          </w:p>
        </w:tc>
      </w:tr>
      <w:tr>
        <w:trPr>
          <w:trHeight w:val="22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convertible preferred stock and stockholders’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080"/>
          </w:cols>
          <w:pgMar w:left="320" w:top="454" w:right="49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SIX MONTHS ENDED JUNE 30, 2019 AND 2020</w:t>
      </w:r>
    </w:p>
    <w:p>
      <w:pPr>
        <w:spacing w:after="0" w:line="20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7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84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33"/>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32"/>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173,223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256,703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 presented separately below</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development and technology</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115,082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1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107,158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171,297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4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82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earnings per share:</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225,841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230,020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229,974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236,557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8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earnings per share: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pro forma earnings per share:</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356,066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362,603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80"/>
          </w:cols>
          <w:pgMar w:left="320" w:top="454" w:right="49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CHANGES IN REDEEMABLE CONVERTIBLE PREFERRED STOCK</w:t>
      </w:r>
    </w:p>
    <w:p>
      <w:pPr>
        <w:spacing w:after="0" w:line="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AND STOCKHOLDERS’ DEFICIT</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SIX MONTHS ENDED JUNE 30, 2019 AND 2020</w:t>
      </w:r>
    </w:p>
    <w:p>
      <w:pPr>
        <w:sectPr>
          <w:pgSz w:w="11900" w:h="16838" w:orient="portrait"/>
          <w:cols w:equalWidth="0" w:num="1">
            <w:col w:w="11060"/>
          </w:cols>
          <w:pgMar w:left="320" w:top="454" w:right="519" w:bottom="1440" w:gutter="0" w:footer="0" w:header="0"/>
        </w:sectPr>
      </w:pPr>
    </w:p>
    <w:p>
      <w:pPr>
        <w:spacing w:after="0" w:line="20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4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47"/>
        </w:trPr>
        <w:tc>
          <w:tcPr>
            <w:tcW w:w="4660" w:type="dxa"/>
            <w:vAlign w:val="bottom"/>
          </w:tcPr>
          <w:p>
            <w:pPr>
              <w:spacing w:after="0"/>
              <w:rPr>
                <w:sz w:val="12"/>
                <w:szCs w:val="12"/>
                <w:color w:val="auto"/>
              </w:rPr>
            </w:pPr>
          </w:p>
        </w:tc>
        <w:tc>
          <w:tcPr>
            <w:tcW w:w="1480" w:type="dxa"/>
            <w:vAlign w:val="bottom"/>
            <w:gridSpan w:val="3"/>
          </w:tcPr>
          <w:p>
            <w:pPr>
              <w:ind w:left="380"/>
              <w:spacing w:after="0" w:line="147"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0" w:type="dxa"/>
            <w:vAlign w:val="bottom"/>
          </w:tcPr>
          <w:p>
            <w:pPr>
              <w:spacing w:after="0"/>
              <w:rPr>
                <w:sz w:val="1"/>
                <w:szCs w:val="1"/>
                <w:color w:val="auto"/>
              </w:rPr>
            </w:pPr>
          </w:p>
        </w:tc>
      </w:tr>
      <w:tr>
        <w:trPr>
          <w:trHeight w:val="172"/>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40"/>
        </w:trPr>
        <w:tc>
          <w:tcPr>
            <w:tcW w:w="4660" w:type="dxa"/>
            <w:vAlign w:val="bottom"/>
            <w:vMerge w:val="continue"/>
          </w:tcPr>
          <w:p>
            <w:pPr>
              <w:spacing w:after="0"/>
              <w:rPr>
                <w:sz w:val="12"/>
                <w:szCs w:val="12"/>
                <w:color w:val="auto"/>
              </w:rPr>
            </w:pPr>
          </w:p>
        </w:tc>
        <w:tc>
          <w:tcPr>
            <w:tcW w:w="640" w:type="dxa"/>
            <w:vAlign w:val="bottom"/>
            <w:tcBorders>
              <w:bottom w:val="single" w:sz="8" w:color="auto"/>
            </w:tcBorders>
          </w:tcPr>
          <w:p>
            <w:pPr>
              <w:ind w:left="120"/>
              <w:spacing w:after="0" w:line="141"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right"/>
              <w:ind w:right="13"/>
              <w:spacing w:after="0" w:line="141"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9"/>
        </w:trPr>
        <w:tc>
          <w:tcPr>
            <w:tcW w:w="466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6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w w:val="95"/>
              </w:rPr>
              <w:t>126,046</w:t>
            </w:r>
          </w:p>
        </w:tc>
        <w:tc>
          <w:tcPr>
            <w:tcW w:w="16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7"/>
              </w:rPr>
              <w:t>$737,009</w:t>
            </w:r>
          </w:p>
        </w:tc>
        <w:tc>
          <w:tcPr>
            <w:tcW w:w="0" w:type="dxa"/>
            <w:vAlign w:val="bottom"/>
          </w:tcPr>
          <w:p>
            <w:pPr>
              <w:spacing w:after="0"/>
              <w:rPr>
                <w:sz w:val="1"/>
                <w:szCs w:val="1"/>
                <w:color w:val="auto"/>
              </w:rPr>
            </w:pPr>
          </w:p>
        </w:tc>
      </w:tr>
      <w:tr>
        <w:trPr>
          <w:trHeight w:val="214"/>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options exercised</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stock issuance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2019</w:t>
            </w: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126,046</w:t>
            </w:r>
          </w:p>
        </w:tc>
        <w:tc>
          <w:tcPr>
            <w:tcW w:w="1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737,009</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660" w:type="dxa"/>
            <w:vAlign w:val="bottom"/>
            <w:vMerge w:val="continue"/>
          </w:tcPr>
          <w:p>
            <w:pPr>
              <w:spacing w:after="0"/>
              <w:rPr>
                <w:sz w:val="24"/>
                <w:szCs w:val="2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5"/>
              </w:rPr>
              <w:t>126,046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$737,009</w:t>
            </w:r>
          </w:p>
        </w:tc>
        <w:tc>
          <w:tcPr>
            <w:tcW w:w="0" w:type="dxa"/>
            <w:vAlign w:val="bottom"/>
          </w:tcPr>
          <w:p>
            <w:pPr>
              <w:spacing w:after="0"/>
              <w:rPr>
                <w:sz w:val="1"/>
                <w:szCs w:val="1"/>
                <w:color w:val="auto"/>
              </w:rPr>
            </w:pPr>
          </w:p>
        </w:tc>
      </w:tr>
      <w:tr>
        <w:trPr>
          <w:trHeight w:val="214"/>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options exercised</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2020</w:t>
            </w: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126,046</w:t>
            </w:r>
          </w:p>
        </w:tc>
        <w:tc>
          <w:tcPr>
            <w:tcW w:w="1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737,009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-2111375</wp:posOffset>
            </wp:positionV>
            <wp:extent cx="6921500" cy="21209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21500" cy="2120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000" w:type="dxa"/>
            <w:vAlign w:val="bottom"/>
            <w:gridSpan w:val="2"/>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920" w:type="dxa"/>
            <w:vAlign w:val="bottom"/>
            <w:gridSpan w:val="2"/>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3"/>
        </w:trPr>
        <w:tc>
          <w:tcPr>
            <w:tcW w:w="1320" w:type="dxa"/>
            <w:vAlign w:val="bottom"/>
            <w:tcBorders>
              <w:bottom w:val="single" w:sz="8" w:color="auto"/>
            </w:tcBorders>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1"/>
              <w:spacing w:after="0" w:line="158"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0"/>
        </w:trPr>
        <w:tc>
          <w:tcPr>
            <w:tcW w:w="640" w:type="dxa"/>
            <w:vAlign w:val="bottom"/>
          </w:tcPr>
          <w:p>
            <w:pPr>
              <w:jc w:val="right"/>
              <w:ind w:right="34"/>
              <w:spacing w:after="0" w:line="141"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52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2"/>
                <w:szCs w:val="12"/>
                <w:color w:val="auto"/>
              </w:rPr>
            </w:pPr>
          </w:p>
        </w:tc>
        <w:tc>
          <w:tcPr>
            <w:tcW w:w="1000" w:type="dxa"/>
            <w:vAlign w:val="bottom"/>
            <w:gridSpan w:val="2"/>
          </w:tcPr>
          <w:p>
            <w:pPr>
              <w:jc w:val="right"/>
              <w:ind w:right="321"/>
              <w:spacing w:after="0" w:line="141"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920" w:type="dxa"/>
            <w:vAlign w:val="bottom"/>
            <w:gridSpan w:val="2"/>
          </w:tcPr>
          <w:p>
            <w:pPr>
              <w:jc w:val="center"/>
              <w:ind w:right="1"/>
              <w:spacing w:after="0" w:line="141"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89"/>
        </w:trPr>
        <w:tc>
          <w:tcPr>
            <w:tcW w:w="6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225,201</w:t>
            </w:r>
          </w:p>
        </w:tc>
        <w:tc>
          <w:tcPr>
            <w:tcW w:w="160" w:type="dxa"/>
            <w:vAlign w:val="bottom"/>
          </w:tcPr>
          <w:p>
            <w:pPr>
              <w:spacing w:after="0"/>
              <w:rPr>
                <w:sz w:val="16"/>
                <w:szCs w:val="16"/>
                <w:color w:val="auto"/>
              </w:rPr>
            </w:pPr>
          </w:p>
        </w:tc>
        <w:tc>
          <w:tcPr>
            <w:tcW w:w="16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w w:val="96"/>
              </w:rPr>
              <w:t>451</w:t>
            </w:r>
          </w:p>
        </w:tc>
        <w:tc>
          <w:tcPr>
            <w:tcW w:w="160" w:type="dxa"/>
            <w:vAlign w:val="bottom"/>
          </w:tcPr>
          <w:p>
            <w:pPr>
              <w:spacing w:after="0"/>
              <w:rPr>
                <w:sz w:val="16"/>
                <w:szCs w:val="16"/>
                <w:color w:val="auto"/>
              </w:rPr>
            </w:pPr>
          </w:p>
        </w:tc>
        <w:tc>
          <w:tcPr>
            <w:tcW w:w="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w w:val="92"/>
              </w:rPr>
              <w:t>$(1,162,878)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w w:val="92"/>
              </w:rPr>
              <w:t>$(1,162,427)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31,202</w:t>
            </w: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228,797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6"/>
              </w:rPr>
              <w:t>458</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(1,131,676</w:t>
            </w:r>
          </w:p>
        </w:tc>
        <w:tc>
          <w:tcPr>
            <w:tcW w:w="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(1,127,394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229,750</w:t>
            </w:r>
          </w:p>
        </w:tc>
        <w:tc>
          <w:tcPr>
            <w:tcW w:w="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460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140" w:type="dxa"/>
            <w:vAlign w:val="bottom"/>
          </w:tcPr>
          <w:p>
            <w:pPr>
              <w:spacing w:after="0"/>
              <w:rPr>
                <w:sz w:val="24"/>
                <w:szCs w:val="24"/>
                <w:color w:val="auto"/>
              </w:rPr>
            </w:pPr>
          </w:p>
        </w:tc>
        <w:tc>
          <w:tcPr>
            <w:tcW w:w="10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$(1,096,830)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$(1,087,582)</w:t>
            </w:r>
          </w:p>
        </w:tc>
        <w:tc>
          <w:tcPr>
            <w:tcW w:w="0" w:type="dxa"/>
            <w:vAlign w:val="bottom"/>
          </w:tcPr>
          <w:p>
            <w:pPr>
              <w:spacing w:after="0"/>
              <w:rPr>
                <w:sz w:val="1"/>
                <w:szCs w:val="1"/>
                <w:color w:val="auto"/>
              </w:rPr>
            </w:pPr>
          </w:p>
        </w:tc>
      </w:tr>
      <w:tr>
        <w:trPr>
          <w:trHeight w:val="21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54,683</w:t>
            </w: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230,439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6"/>
              </w:rPr>
              <w:t>462</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(1,042,147</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(1,026,735</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20" w:space="360"/>
            <w:col w:w="4380"/>
          </w:cols>
          <w:pgMar w:left="320" w:top="454" w:right="519" w:bottom="1440" w:gutter="0" w:footer="0" w:header="0"/>
          <w:type w:val="continuous"/>
        </w:sectPr>
      </w:pP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1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060"/>
          </w:cols>
          <w:pgMar w:left="320" w:top="454" w:right="519" w:bottom="1440" w:gutter="0" w:footer="0" w:header="0"/>
          <w:type w:val="continuous"/>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SIX MONTHS ENDED JUNE 30, 2019 AND 2020</w:t>
      </w:r>
    </w:p>
    <w:p>
      <w:pPr>
        <w:spacing w:after="0" w:line="20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8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0"/>
        </w:trPr>
        <w:tc>
          <w:tcPr>
            <w:tcW w:w="8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2"/>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1"/>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of business acquisition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8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(12,606)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(15,305)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(8,319)</w:t>
            </w:r>
          </w:p>
        </w:tc>
        <w:tc>
          <w:tcPr>
            <w:tcW w:w="0" w:type="dxa"/>
            <w:vAlign w:val="bottom"/>
          </w:tcPr>
          <w:p>
            <w:pPr>
              <w:spacing w:after="0"/>
              <w:rPr>
                <w:sz w:val="1"/>
                <w:szCs w:val="1"/>
                <w:color w:val="auto"/>
              </w:rPr>
            </w:pPr>
          </w:p>
        </w:tc>
      </w:tr>
      <w:tr>
        <w:trPr>
          <w:trHeight w:val="220"/>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early exercise of stock options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8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Net change in cash</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126,625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cash investing and financing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Offering costs included in accounts payable and accrued expense and other current liabilities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included in capitalized software development costs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Capitalized software development costs in accrued expenses and other current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property and equipment included in accounts payable and accrued expenses and other current liabilties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080"/>
          </w:cols>
          <w:pgMar w:left="320" w:top="454" w:right="49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4" w:lineRule="exact"/>
        <w:rPr>
          <w:sz w:val="20"/>
          <w:szCs w:val="20"/>
          <w:color w:val="auto"/>
        </w:rPr>
      </w:pPr>
    </w:p>
    <w:p>
      <w:pPr>
        <w:ind w:left="600" w:hanging="426"/>
        <w:spacing w:after="0"/>
        <w:tabs>
          <w:tab w:leader="none" w:pos="60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17" w:lineRule="exact"/>
        <w:rPr>
          <w:rFonts w:ascii="Times New Roman" w:cs="Times New Roman" w:eastAsia="Times New Roman" w:hAnsi="Times New Roman"/>
          <w:sz w:val="18"/>
          <w:szCs w:val="18"/>
          <w:b w:val="1"/>
          <w:bCs w:val="1"/>
          <w:color w:val="auto"/>
        </w:rPr>
      </w:pPr>
    </w:p>
    <w:p>
      <w:pPr>
        <w:ind w:left="600" w:right="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GoodRx Holdings, Inc. (the “Company”) was formed in September 2015. On October 7, 2015, the Company acquired 100% of the outstanding shares of GoodRx, Inc. (“GoodRx”). GoodRx was formed in September 2011. The Company offers information and tools to help consumers compare prices and save on their prescription drug purchases. The Company operates apps and websites that provide prices and discounts at local and mail-order pharmacies for both insured and uninsured Americans. The services are free to consumers and the Company primarily earns revenue from its core business from Pharmacy Benefit Managers (“PBMs”) that manage formularies and prescription transactions including establishing pricing between consumers and pharmacies.</w:t>
      </w:r>
    </w:p>
    <w:p>
      <w:pPr>
        <w:spacing w:after="0" w:line="329" w:lineRule="exact"/>
        <w:rPr>
          <w:rFonts w:ascii="Times New Roman" w:cs="Times New Roman" w:eastAsia="Times New Roman" w:hAnsi="Times New Roman"/>
          <w:sz w:val="18"/>
          <w:szCs w:val="18"/>
          <w:b w:val="1"/>
          <w:bCs w:val="1"/>
          <w:color w:val="auto"/>
        </w:rPr>
      </w:pPr>
    </w:p>
    <w:p>
      <w:pPr>
        <w:ind w:left="600" w:right="7100" w:hanging="426"/>
        <w:spacing w:after="0" w:line="374" w:lineRule="auto"/>
        <w:tabs>
          <w:tab w:leader="none" w:pos="592"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left="60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for the year ended December 31, 2019 and the related notes. The December 31, 2019 condensed consolidated balance sheet was derived from our audited consolidated financial statements as of that date. Our unaudited interim condensed consolidated financial statements include, in the opinion of management, all adjustments, consisting of normal and recurring items, necessary for the fair statement of the condensed consolidated financial statements. There have been no significant changes in accounting policies during the six months ended June 30, 2020 from those disclosed in the annual consolidated financial statements for the year ended December 31, 2019 and the related notes.</w:t>
      </w:r>
    </w:p>
    <w:p>
      <w:pPr>
        <w:spacing w:after="0" w:line="82" w:lineRule="exact"/>
        <w:rPr>
          <w:rFonts w:ascii="Times New Roman" w:cs="Times New Roman" w:eastAsia="Times New Roman" w:hAnsi="Times New Roman"/>
          <w:sz w:val="18"/>
          <w:szCs w:val="18"/>
          <w:b w:val="1"/>
          <w:bCs w:val="1"/>
          <w:color w:val="auto"/>
        </w:rPr>
      </w:pPr>
    </w:p>
    <w:p>
      <w:pPr>
        <w:ind w:left="600" w:right="64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operating results for the six months ended June 30, 2020 are not necessarily indicative of the results expected for the full year ending December 31, 2020.</w:t>
      </w:r>
    </w:p>
    <w:p>
      <w:pPr>
        <w:spacing w:after="0" w:line="266"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w:t>
      </w:r>
    </w:p>
    <w:p>
      <w:pPr>
        <w:spacing w:after="0" w:line="117" w:lineRule="exact"/>
        <w:rPr>
          <w:rFonts w:ascii="Times New Roman" w:cs="Times New Roman" w:eastAsia="Times New Roman" w:hAnsi="Times New Roman"/>
          <w:sz w:val="18"/>
          <w:szCs w:val="18"/>
          <w:b w:val="1"/>
          <w:bCs w:val="1"/>
          <w:color w:val="auto"/>
        </w:rPr>
      </w:pPr>
    </w:p>
    <w:p>
      <w:pPr>
        <w:ind w:left="600" w:right="40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 the financial statements of GoodRx Holdings, Inc., its wholly owned subsidiaries and variable interest entities (“VIEs”) for which the Company is the primary beneficiary. Intercompany balances and transactions have been eliminated in consolidation. Results of businesses acquired are included in the Company’s consolidated financial statements from their respective dates of acquisition.</w:t>
      </w:r>
    </w:p>
    <w:p>
      <w:pPr>
        <w:spacing w:after="0" w:line="286"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Consolidation of VIEs</w:t>
      </w:r>
    </w:p>
    <w:p>
      <w:pPr>
        <w:spacing w:after="0" w:line="115" w:lineRule="exact"/>
        <w:rPr>
          <w:rFonts w:ascii="Times New Roman" w:cs="Times New Roman" w:eastAsia="Times New Roman" w:hAnsi="Times New Roman"/>
          <w:sz w:val="18"/>
          <w:szCs w:val="18"/>
          <w:b w:val="1"/>
          <w:bCs w:val="1"/>
          <w:color w:val="auto"/>
        </w:rPr>
      </w:pPr>
    </w:p>
    <w:p>
      <w:pPr>
        <w:ind w:left="600" w:right="10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evaluates whether an entity in which it has a variable interest is considered a variable interest entity (“VIE”).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make significant decisions through voting rights and a right to receive the expected residual returns of the entity or an obligation to absorb the expected losses of the entity).</w:t>
      </w:r>
    </w:p>
    <w:p>
      <w:pPr>
        <w:spacing w:after="0" w:line="59" w:lineRule="exact"/>
        <w:rPr>
          <w:rFonts w:ascii="Times New Roman" w:cs="Times New Roman" w:eastAsia="Times New Roman" w:hAnsi="Times New Roman"/>
          <w:sz w:val="18"/>
          <w:szCs w:val="18"/>
          <w:b w:val="1"/>
          <w:bCs w:val="1"/>
          <w:color w:val="auto"/>
        </w:rPr>
      </w:pPr>
    </w:p>
    <w:p>
      <w:pPr>
        <w:ind w:left="600" w:right="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provisions of Accounting Standards Codification (“ASC”) 810, Consolidation, an entity consolidates a VIE if it is determined to be the primary beneficiary of the VIE. The primary beneficiary has both (a) the power to direct the activities of the VIE that most significantly impact the entity’s economic</w:t>
      </w:r>
    </w:p>
    <w:p>
      <w:pPr>
        <w:spacing w:after="0" w:line="1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040"/>
          </w:cols>
          <w:pgMar w:left="320" w:top="454" w:right="53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performance, and (b) the obligation to absorb losses or the right to receive benefits from the VIE that could potentially be significant to the VIE.</w:t>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 periodically reassesses whether it is the primary beneficiary of a VIE.</w:t>
      </w:r>
    </w:p>
    <w:p>
      <w:pPr>
        <w:spacing w:after="0" w:line="95" w:lineRule="exact"/>
        <w:rPr>
          <w:sz w:val="20"/>
          <w:szCs w:val="20"/>
          <w:color w:val="auto"/>
        </w:rPr>
      </w:pPr>
    </w:p>
    <w:p>
      <w:pPr>
        <w:ind w:left="600"/>
        <w:spacing w:after="0" w:line="251" w:lineRule="auto"/>
        <w:rPr>
          <w:sz w:val="20"/>
          <w:szCs w:val="20"/>
          <w:color w:val="auto"/>
        </w:rPr>
      </w:pPr>
      <w:r>
        <w:rPr>
          <w:rFonts w:ascii="Times New Roman" w:cs="Times New Roman" w:eastAsia="Times New Roman" w:hAnsi="Times New Roman"/>
          <w:sz w:val="18"/>
          <w:szCs w:val="18"/>
          <w:color w:val="auto"/>
        </w:rPr>
        <w:t>On April 18, 2019, the Company acquired Sappira, Inc. d.b.a. HeyDoctor (“HeyDoctor”). HeyDoctor provides management and other services to Professional Service Corporations (“PSCs”), which are owned by medical professionals in accordance with certain state laws which restrict the corporate practice of medicine and require medical practitioners to own such entities. The Company determined that the PSCs are VIEs. The Company also determined that it is able to direct the activities of the PSCs that most significantly impact their economic performance and it funds and absorbs all losses of these VIEs resulting in the Company being the primary beneficiary of the PSCs. Accordingly, the Company consolidates the VIEs. Total revenue and net loss for the VIEs were $3.7 million and $(0.6) million, respectively, for the six months ended June 30, 2020. Total revenue and net loss for the VIEs were $0.2 million and $(0.5) million, respectively, for the period from April 18, 2019 to June 30, 2019. The VIEs’ total assets and liabilities were $3.5 million and $5.6 million, respectively, at June 30, 2020. The VIEs’ total stockholders’ deficit was $2.1 million at June 30, 2020. The VIEs’ total assets and liabilities were $1.4 million and $2.9 million, respectively, at December 31, 2019. The VIEs’ total stockholders’ deficit was $1.5 million at December 31, 2019.</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Unaudited pro forma information</w:t>
      </w:r>
    </w:p>
    <w:p>
      <w:pPr>
        <w:spacing w:after="0" w:line="118" w:lineRule="exact"/>
        <w:rPr>
          <w:sz w:val="20"/>
          <w:szCs w:val="20"/>
          <w:color w:val="auto"/>
        </w:rPr>
      </w:pPr>
    </w:p>
    <w:p>
      <w:pPr>
        <w:ind w:left="600" w:right="80"/>
        <w:spacing w:after="0" w:line="262" w:lineRule="auto"/>
        <w:rPr>
          <w:sz w:val="20"/>
          <w:szCs w:val="20"/>
          <w:color w:val="auto"/>
        </w:rPr>
      </w:pPr>
      <w:r>
        <w:rPr>
          <w:rFonts w:ascii="Times New Roman" w:cs="Times New Roman" w:eastAsia="Times New Roman" w:hAnsi="Times New Roman"/>
          <w:sz w:val="18"/>
          <w:szCs w:val="18"/>
          <w:color w:val="auto"/>
        </w:rPr>
        <w:t>In connection with a qualifying initial public offering contemplated by the Company, all shares of redeemable convertible preferred stock will automatically convert into shares of common stock on a one-for-one basis. The unaudited pro forma balance sheet information gives effect to the conversion of the redeemable convertible preferred stock as of June 30, 2020.</w:t>
      </w:r>
    </w:p>
    <w:p>
      <w:pPr>
        <w:spacing w:after="0" w:line="70" w:lineRule="exact"/>
        <w:rPr>
          <w:sz w:val="20"/>
          <w:szCs w:val="20"/>
          <w:color w:val="auto"/>
        </w:rPr>
      </w:pPr>
    </w:p>
    <w:p>
      <w:pPr>
        <w:jc w:val="both"/>
        <w:ind w:left="600" w:right="40"/>
        <w:spacing w:after="0" w:line="262" w:lineRule="auto"/>
        <w:rPr>
          <w:sz w:val="20"/>
          <w:szCs w:val="20"/>
          <w:color w:val="auto"/>
        </w:rPr>
      </w:pPr>
      <w:r>
        <w:rPr>
          <w:rFonts w:ascii="Times New Roman" w:cs="Times New Roman" w:eastAsia="Times New Roman" w:hAnsi="Times New Roman"/>
          <w:sz w:val="18"/>
          <w:szCs w:val="18"/>
          <w:color w:val="auto"/>
        </w:rPr>
        <w:t>Unaudited pro forma basic and diluted earnings per share were computed to give effect to the automatic conversion of all outstanding redeemable convertible preferred stock into common stock in connection with a qualifying initial public offering as though the conversion had occurred as of January 1, 2019.</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Segment Reporting and Geographic Information</w:t>
      </w:r>
    </w:p>
    <w:p>
      <w:pPr>
        <w:spacing w:after="0" w:line="118" w:lineRule="exact"/>
        <w:rPr>
          <w:sz w:val="20"/>
          <w:szCs w:val="20"/>
          <w:color w:val="auto"/>
        </w:rPr>
      </w:pPr>
    </w:p>
    <w:p>
      <w:pPr>
        <w:ind w:left="600" w:right="20"/>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available that is evaluated regularly by the chief operating decision maker in deciding how to allocate resources and in assessing performance. The Company’s chief operating decision maker manages the Company on the basis of one operating segment. During the six months ended June 30, 2019 and 2020, all of the Company’s revenue was from customers located in the United States. In addition, at December 31, 2019 and June 30, 2020, all of the Company’s right-of-use assets and property and equipment was in the United States.</w:t>
      </w:r>
    </w:p>
    <w:p>
      <w:pPr>
        <w:spacing w:after="0" w:line="2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18" w:lineRule="exact"/>
        <w:rPr>
          <w:sz w:val="20"/>
          <w:szCs w:val="20"/>
          <w:color w:val="auto"/>
        </w:rPr>
      </w:pPr>
    </w:p>
    <w:p>
      <w:pPr>
        <w:ind w:left="600" w:right="20"/>
        <w:spacing w:after="0" w:line="271"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that affect the amounts reported in the consolidated financial statements, including the accompanying notes. The Company bases its estimates on historical factors, current circumstances, and the experience and judgment of management. The Company evaluates its estimates and assumptions on an ongoing basis. Actual results could differ from those estimates. Significant estimates reflected in the condensed consolidated financial statements include revenue recognition, valuation of intangible assets, useful lives of long-lived assets and capitalized software costs, recovery of long-lived assets and goodwill, assumptions used for purpose of determining stock-based compensation, and income tax reserves, among others.</w:t>
      </w:r>
    </w:p>
    <w:p>
      <w:pPr>
        <w:spacing w:after="0" w:line="2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Certain Risks and Concentrations</w:t>
      </w:r>
    </w:p>
    <w:p>
      <w:pPr>
        <w:spacing w:after="0" w:line="118" w:lineRule="exact"/>
        <w:rPr>
          <w:sz w:val="20"/>
          <w:szCs w:val="20"/>
          <w:color w:val="auto"/>
        </w:rPr>
      </w:pPr>
    </w:p>
    <w:p>
      <w:pPr>
        <w:ind w:left="600" w:right="320"/>
        <w:spacing w:after="0" w:line="277"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and accounts receivable. The Company maintains cash deposits with several</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020"/>
          </w:cols>
          <w:pgMar w:left="320" w:top="454" w:right="55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600" w:right="180"/>
        <w:spacing w:after="0" w:line="262" w:lineRule="auto"/>
        <w:rPr>
          <w:sz w:val="20"/>
          <w:szCs w:val="20"/>
          <w:color w:val="auto"/>
        </w:rPr>
      </w:pPr>
      <w:r>
        <w:rPr>
          <w:rFonts w:ascii="Times New Roman" w:cs="Times New Roman" w:eastAsia="Times New Roman" w:hAnsi="Times New Roman"/>
          <w:sz w:val="18"/>
          <w:szCs w:val="18"/>
          <w:color w:val="auto"/>
        </w:rPr>
        <w:t>financial institutions in the United States which, at times, may exceed federally insured limits. Cash may be withdrawn or redeemed on demand. The Company believes that the financial institutions that hold its cash are financially sound and, accordingly, minimal credit risk exists with respect to these balances. The Company has not experienced any losses in such accounts.</w:t>
      </w:r>
    </w:p>
    <w:p>
      <w:pPr>
        <w:spacing w:after="0" w:line="70" w:lineRule="exact"/>
        <w:rPr>
          <w:sz w:val="20"/>
          <w:szCs w:val="20"/>
          <w:color w:val="auto"/>
        </w:rPr>
      </w:pPr>
    </w:p>
    <w:p>
      <w:pPr>
        <w:ind w:left="600" w:right="480"/>
        <w:spacing w:after="0" w:line="277" w:lineRule="auto"/>
        <w:rPr>
          <w:sz w:val="20"/>
          <w:szCs w:val="20"/>
          <w:color w:val="auto"/>
        </w:rPr>
      </w:pPr>
      <w:r>
        <w:rPr>
          <w:rFonts w:ascii="Times New Roman" w:cs="Times New Roman" w:eastAsia="Times New Roman" w:hAnsi="Times New Roman"/>
          <w:sz w:val="18"/>
          <w:szCs w:val="18"/>
          <w:color w:val="auto"/>
        </w:rPr>
        <w:t>The Company extends credit to its customers based on an evaluation of their ability to pay amounts due under contractual arrangements and generally does not obtain or require collateral.</w:t>
      </w:r>
    </w:p>
    <w:p>
      <w:pPr>
        <w:spacing w:after="0" w:line="57" w:lineRule="exact"/>
        <w:rPr>
          <w:sz w:val="20"/>
          <w:szCs w:val="20"/>
          <w:color w:val="auto"/>
        </w:rPr>
      </w:pPr>
    </w:p>
    <w:p>
      <w:pPr>
        <w:ind w:left="600" w:right="20"/>
        <w:spacing w:after="0" w:line="257" w:lineRule="auto"/>
        <w:rPr>
          <w:sz w:val="20"/>
          <w:szCs w:val="20"/>
          <w:color w:val="auto"/>
        </w:rPr>
      </w:pPr>
      <w:r>
        <w:rPr>
          <w:rFonts w:ascii="Times New Roman" w:cs="Times New Roman" w:eastAsia="Times New Roman" w:hAnsi="Times New Roman"/>
          <w:sz w:val="18"/>
          <w:szCs w:val="18"/>
          <w:color w:val="auto"/>
        </w:rPr>
        <w:t>For the six months ended June 30, 2020, three customers accounted for approximately 18%, 18% and 12% of the Company’s revenue. At June 30, 2020, two customers accounted for 13% and 13% of the Company’s accounts receivable balance. For the six months ended June 30, 2019, two customers accounted for approximately 26% and 23% of the Company’s revenue. At December 31, 2019, two customers accounted for 17% and 16% of the Company’s accounts receivable balance.</w:t>
      </w:r>
    </w:p>
    <w:p>
      <w:pPr>
        <w:spacing w:after="0" w:line="75" w:lineRule="exact"/>
        <w:rPr>
          <w:sz w:val="20"/>
          <w:szCs w:val="20"/>
          <w:color w:val="auto"/>
        </w:rPr>
      </w:pPr>
    </w:p>
    <w:p>
      <w:pPr>
        <w:ind w:left="600"/>
        <w:spacing w:after="0" w:line="251"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the novel coronavirus disease (“COVID–19”) a pandemic. COVID-19 has spread to almost every country in the world and all 50 states within the United States. Through June 30, 2020, the Company’s prescription offering experienced a decline in activity as many consumers avoided visiting healthcare professionals and pharmacies in-person during the course of the pandemic, which the Company believes has had a similar effect across the industry. In addition, the Company has experienced a significant increase in demand for the telehealth offerings. The Company only commenced its telehealth offerings following the acquisition of HeyDoctor in April 2019. The full extent to which the outbreak of COVID-19 will impact the Company’s business, results of operations and financial condition is still unknown and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w:t>
      </w:r>
    </w:p>
    <w:p>
      <w:pPr>
        <w:spacing w:after="0" w:line="82" w:lineRule="exact"/>
        <w:rPr>
          <w:sz w:val="20"/>
          <w:szCs w:val="20"/>
          <w:color w:val="auto"/>
        </w:rPr>
      </w:pPr>
    </w:p>
    <w:p>
      <w:pPr>
        <w:ind w:left="600" w:right="120"/>
        <w:spacing w:after="0" w:line="253" w:lineRule="auto"/>
        <w:rPr>
          <w:sz w:val="20"/>
          <w:szCs w:val="20"/>
          <w:color w:val="auto"/>
        </w:rPr>
      </w:pPr>
      <w:r>
        <w:rPr>
          <w:rFonts w:ascii="Times New Roman" w:cs="Times New Roman" w:eastAsia="Times New Roman" w:hAnsi="Times New Roman"/>
          <w:sz w:val="18"/>
          <w:szCs w:val="18"/>
          <w:color w:val="auto"/>
        </w:rPr>
        <w:t>In light of the currently unknown ultimate duration and severity of COVID-19, the Company faces a greater degree of uncertainty than normal in making the judgments and estimates needed to apply significant accounting policies. The Company assessed certain accounting matters that generally require consideration of forecasted financial information in context with the information reasonably available to the Company and the unknown future impacts COVID-19 as of June 30, 2020 and through the date of this report. The accounting matters assessed included, but were not limited to, the Company’s allowance for doubtful accounts, the carrying value of the goodwill and other long-lived assets, incentive-based compensation and income taxes.</w:t>
      </w:r>
    </w:p>
    <w:p>
      <w:pPr>
        <w:spacing w:after="0" w:line="80" w:lineRule="exact"/>
        <w:rPr>
          <w:sz w:val="20"/>
          <w:szCs w:val="20"/>
          <w:color w:val="auto"/>
        </w:rPr>
      </w:pPr>
    </w:p>
    <w:p>
      <w:pPr>
        <w:ind w:left="600" w:right="20"/>
        <w:spacing w:after="0" w:line="257" w:lineRule="auto"/>
        <w:rPr>
          <w:sz w:val="20"/>
          <w:szCs w:val="20"/>
          <w:color w:val="auto"/>
        </w:rPr>
      </w:pPr>
      <w:r>
        <w:rPr>
          <w:rFonts w:ascii="Times New Roman" w:cs="Times New Roman" w:eastAsia="Times New Roman" w:hAnsi="Times New Roman"/>
          <w:sz w:val="18"/>
          <w:szCs w:val="18"/>
          <w:color w:val="auto"/>
        </w:rPr>
        <w:t>As of the date of these condensed consolidated financial statements,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our consolidated financial statements in future periods.</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8" w:lineRule="exact"/>
        <w:rPr>
          <w:sz w:val="20"/>
          <w:szCs w:val="20"/>
          <w:color w:val="auto"/>
        </w:rPr>
      </w:pPr>
    </w:p>
    <w:p>
      <w:pPr>
        <w:ind w:left="600" w:right="120"/>
        <w:spacing w:after="0" w:line="277" w:lineRule="auto"/>
        <w:rPr>
          <w:sz w:val="20"/>
          <w:szCs w:val="20"/>
          <w:color w:val="auto"/>
        </w:rPr>
      </w:pPr>
      <w:r>
        <w:rPr>
          <w:rFonts w:ascii="Times New Roman" w:cs="Times New Roman" w:eastAsia="Times New Roman" w:hAnsi="Times New Roman"/>
          <w:sz w:val="18"/>
          <w:szCs w:val="18"/>
          <w:color w:val="auto"/>
        </w:rPr>
        <w:t>The Company calculates income tax expense in interim periods by applying an estimated annual effective tax rate to income before income taxes and by calculating the tax effect of discrete items recognized during the period.</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18" w:lineRule="exact"/>
        <w:rPr>
          <w:sz w:val="20"/>
          <w:szCs w:val="20"/>
          <w:color w:val="auto"/>
        </w:rPr>
      </w:pPr>
    </w:p>
    <w:p>
      <w:pPr>
        <w:ind w:left="600" w:right="120"/>
        <w:spacing w:after="0" w:line="257" w:lineRule="auto"/>
        <w:rPr>
          <w:sz w:val="20"/>
          <w:szCs w:val="20"/>
          <w:color w:val="auto"/>
        </w:rPr>
      </w:pPr>
      <w:r>
        <w:rPr>
          <w:rFonts w:ascii="Times New Roman" w:cs="Times New Roman" w:eastAsia="Times New Roman" w:hAnsi="Times New Roman"/>
          <w:sz w:val="18"/>
          <w:szCs w:val="18"/>
          <w:color w:val="auto"/>
        </w:rPr>
        <w:t>Deferred offering costs of $0 and $0.7 million have been recorded as other assets on the condensed consolidated balance sheets as of December 31, 2019 and June 30, 2020, respectively, and consist of costs incurred in connection with the anticipated sale of the Company’s common stock in its initial public offering (“IPO”), including certain legal, accounting, printing, and other IPO related costs. After completion of the</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060"/>
          </w:cols>
          <w:pgMar w:left="320" w:top="454" w:right="51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600" w:right="40"/>
        <w:spacing w:after="0" w:line="262" w:lineRule="auto"/>
        <w:rPr>
          <w:sz w:val="20"/>
          <w:szCs w:val="20"/>
          <w:color w:val="auto"/>
        </w:rPr>
      </w:pPr>
      <w:r>
        <w:rPr>
          <w:rFonts w:ascii="Times New Roman" w:cs="Times New Roman" w:eastAsia="Times New Roman" w:hAnsi="Times New Roman"/>
          <w:sz w:val="18"/>
          <w:szCs w:val="18"/>
          <w:color w:val="auto"/>
        </w:rPr>
        <w:t>IPO, deferred offering costs are recorded in stockholders’ deficit as a reduction from the proceeds of the offering. Should the Company terminate its planned IPO or if there is a significant delay, the deferred offering costs would be immediately expensed in the condensed consolidated statements of operations.</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the six months ended June 30, 2019 and 2020, revenue comprises the following:</w:t>
      </w:r>
    </w:p>
    <w:p>
      <w:pPr>
        <w:spacing w:after="0" w:line="227"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9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0" w:type="dxa"/>
            <w:vAlign w:val="bottom"/>
          </w:tcPr>
          <w:p>
            <w:pPr>
              <w:spacing w:after="0"/>
              <w:rPr>
                <w:sz w:val="14"/>
                <w:szCs w:val="14"/>
                <w:color w:val="auto"/>
              </w:rPr>
            </w:pPr>
          </w:p>
        </w:tc>
        <w:tc>
          <w:tcPr>
            <w:tcW w:w="19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0"/>
        </w:trPr>
        <w:tc>
          <w:tcPr>
            <w:tcW w:w="4380" w:type="dxa"/>
            <w:vAlign w:val="bottom"/>
            <w:gridSpan w:val="2"/>
            <w:vMerge w:val="continue"/>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160" w:type="dxa"/>
            <w:vAlign w:val="bottom"/>
            <w:tcBorders>
              <w:top w:val="single" w:sz="8" w:color="auto"/>
            </w:tcBorders>
            <w:gridSpan w:val="2"/>
          </w:tcPr>
          <w:p>
            <w:pPr>
              <w:jc w:val="right"/>
              <w:ind w:right="111"/>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Prescription transactions revenue</w:t>
            </w:r>
          </w:p>
        </w:tc>
        <w:tc>
          <w:tcPr>
            <w:tcW w:w="20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$164,318</w:t>
            </w: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$ 232,565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0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8,905</w:t>
            </w:r>
          </w:p>
        </w:tc>
        <w:tc>
          <w:tcPr>
            <w:tcW w:w="4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173,223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$ 256,703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8" w:lineRule="exact"/>
        <w:rPr>
          <w:sz w:val="20"/>
          <w:szCs w:val="20"/>
          <w:color w:val="auto"/>
        </w:rPr>
      </w:pPr>
    </w:p>
    <w:p>
      <w:pPr>
        <w:ind w:left="600"/>
        <w:spacing w:after="0" w:line="249" w:lineRule="auto"/>
        <w:rPr>
          <w:sz w:val="20"/>
          <w:szCs w:val="20"/>
          <w:color w:val="auto"/>
        </w:rPr>
      </w:pPr>
      <w:r>
        <w:rPr>
          <w:rFonts w:ascii="Times New Roman" w:cs="Times New Roman" w:eastAsia="Times New Roman" w:hAnsi="Times New Roman"/>
          <w:sz w:val="18"/>
          <w:szCs w:val="18"/>
          <w:color w:val="auto"/>
        </w:rPr>
        <w:t>Compensation cost is allocated to cost of revenue, product development and technology, sales and marketing, and general and administrative expense in the condensed consolidated statements of operations for stock options and restricted stock awards, based on the fair value of these awards at the date of grant. For awards that vest based on continued service, stock-based compensation cost is recognized on a straight-line basis over the requisite service period, which is generally the vesting period of the awards. For awards with performance vesting conditions, stock-based compensation cost is recognized on a graded vesting basis over the requisite service period when it is probable the performance condition will be achieved. The grant date fair value of stock options that contain service or performance conditions is estimated using the Black-Scholes option-pricing model and the grant date fair value of restricted stock awards that contain service or performance conditions is estimated based on the fair value of the Company’s common stock. For awards with market vesting conditions, the fair value is estimated using a Monte Carlo simulation model that incorporates the likelihood of achieving the market condition. Stock-based compensation cost for awards that contain market vesting conditions is recognized on a graded vesting basis over the requisite service period, even if the market condition is not satisfied. For awards that contain service, performance and market vesting conditions, the Company commences recognition of stock-based compensation cost once it is probable that the performance condition will be achieved. If the performance condition is an initial public offering or a change in control event, the performance condition is not probable of being achieved for accounting purposes until the event occurs. Once it is probable that the performance condition will be achieved, the Company recognizes stock-based compensation cost over the remaining requisite service period under a graded vesting model, with a cumulative adjustment for the portion of the service period that occurred for the period prior to the performance condition becoming probable of being achieved. Thereafter, expense is recognized even if the market condition was not or is not achieved, provided the employee continues to satisfy the service condition. Forfeitures are recognized when they occur.</w:t>
      </w:r>
    </w:p>
    <w:p>
      <w:pPr>
        <w:spacing w:after="0" w:line="2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118" w:lineRule="exact"/>
        <w:rPr>
          <w:sz w:val="20"/>
          <w:szCs w:val="20"/>
          <w:color w:val="auto"/>
        </w:rPr>
      </w:pPr>
    </w:p>
    <w:p>
      <w:pPr>
        <w:ind w:left="600" w:right="280"/>
        <w:spacing w:after="0" w:line="277" w:lineRule="auto"/>
        <w:rPr>
          <w:sz w:val="20"/>
          <w:szCs w:val="20"/>
          <w:color w:val="auto"/>
        </w:rPr>
      </w:pPr>
      <w:r>
        <w:rPr>
          <w:rFonts w:ascii="Times New Roman" w:cs="Times New Roman" w:eastAsia="Times New Roman" w:hAnsi="Times New Roman"/>
          <w:sz w:val="18"/>
          <w:szCs w:val="18"/>
          <w:color w:val="auto"/>
        </w:rPr>
        <w:t>During the six months ended June 30, 2019 and 2020, other than net income, the Company did not have any other elements of comprehensive income.</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xml:space="preserve">In August 2018, the FASB issued Accounting Standards Update (“ASU”) 2018-13, </w:t>
      </w:r>
      <w:r>
        <w:rPr>
          <w:rFonts w:ascii="Times New Roman" w:cs="Times New Roman" w:eastAsia="Times New Roman" w:hAnsi="Times New Roman"/>
          <w:sz w:val="17"/>
          <w:szCs w:val="17"/>
          <w:i w:val="1"/>
          <w:iCs w:val="1"/>
          <w:color w:val="auto"/>
        </w:rPr>
        <w:t>Fair Value Measurement (Topic 820): Disclosure Framework</w:t>
      </w:r>
    </w:p>
    <w:p>
      <w:pPr>
        <w:spacing w:after="0" w:line="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 Changes to the Disclosure Requirements for Fair</w:t>
      </w:r>
    </w:p>
    <w:p>
      <w:pPr>
        <w:spacing w:after="0" w:line="13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000"/>
          </w:cols>
          <w:pgMar w:left="320" w:top="454" w:right="57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600" w:right="320"/>
        <w:spacing w:after="0" w:line="279" w:lineRule="auto"/>
        <w:rPr>
          <w:sz w:val="20"/>
          <w:szCs w:val="20"/>
          <w:color w:val="auto"/>
        </w:rPr>
      </w:pPr>
      <w:r>
        <w:rPr>
          <w:rFonts w:ascii="Times New Roman" w:cs="Times New Roman" w:eastAsia="Times New Roman" w:hAnsi="Times New Roman"/>
          <w:sz w:val="18"/>
          <w:szCs w:val="18"/>
          <w:i w:val="1"/>
          <w:iCs w:val="1"/>
          <w:color w:val="auto"/>
        </w:rPr>
        <w:t>Value Measurement</w:t>
      </w:r>
      <w:r>
        <w:rPr>
          <w:rFonts w:ascii="Times New Roman" w:cs="Times New Roman" w:eastAsia="Times New Roman" w:hAnsi="Times New Roman"/>
          <w:sz w:val="18"/>
          <w:szCs w:val="18"/>
          <w:color w:val="auto"/>
        </w:rPr>
        <w:t>. This ASU eliminates, modifies and adds disclosure requirements for fair value measurements. The Company adopted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on January 1, 2020, and the adoption did not have any impact to the consolidated financial statements.</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116" w:lineRule="exact"/>
        <w:rPr>
          <w:sz w:val="20"/>
          <w:szCs w:val="20"/>
          <w:color w:val="auto"/>
        </w:rPr>
      </w:pPr>
    </w:p>
    <w:p>
      <w:pPr>
        <w:ind w:left="600" w:right="60"/>
        <w:spacing w:after="0" w:line="266" w:lineRule="auto"/>
        <w:rPr>
          <w:sz w:val="20"/>
          <w:szCs w:val="20"/>
          <w:color w:val="auto"/>
        </w:rPr>
      </w:pPr>
      <w:r>
        <w:rPr>
          <w:rFonts w:ascii="Times New Roman" w:cs="Times New Roman" w:eastAsia="Times New Roman" w:hAnsi="Times New Roman"/>
          <w:sz w:val="17"/>
          <w:szCs w:val="17"/>
          <w:color w:val="auto"/>
        </w:rPr>
        <w:t xml:space="preserve">In June 2016, the FASB issued ASU 2016-13, </w:t>
      </w:r>
      <w:r>
        <w:rPr>
          <w:rFonts w:ascii="Times New Roman" w:cs="Times New Roman" w:eastAsia="Times New Roman" w:hAnsi="Times New Roman"/>
          <w:sz w:val="17"/>
          <w:szCs w:val="17"/>
          <w:i w:val="1"/>
          <w:iCs w:val="1"/>
          <w:color w:val="auto"/>
        </w:rPr>
        <w:t>Financial Instruments—Credit Losses (Topic 326): Measurement of Credit Losses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Instruments</w:t>
      </w:r>
      <w:r>
        <w:rPr>
          <w:rFonts w:ascii="Times New Roman" w:cs="Times New Roman" w:eastAsia="Times New Roman" w:hAnsi="Times New Roman"/>
          <w:sz w:val="17"/>
          <w:szCs w:val="17"/>
          <w:color w:val="auto"/>
        </w:rPr>
        <w:t>, to require the measurement of all expected credit losses for financial assets held at the reporting date based on historical experience,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current conditions, and reasonable and supportable forecasts. The ASU also amends the accounting for credit losses on available-for-sale debt securities and purchased financial assets with credit deterioration. In February 2020, the FASB issued ASU 2020-02,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Credit Losses (Topic 326) and Leases (Topic 842)—Amendments to SEC Paragraphs Pursuant to SEC Staff Accounting Bulletin No. 119 and Update to SEC Section on Effective Date Related to Accounting Standards Update No. 2016-02, Leases (Topic 842) (SEC Update), </w:t>
      </w:r>
      <w:r>
        <w:rPr>
          <w:rFonts w:ascii="Times New Roman" w:cs="Times New Roman" w:eastAsia="Times New Roman" w:hAnsi="Times New Roman"/>
          <w:sz w:val="17"/>
          <w:szCs w:val="17"/>
          <w:color w:val="auto"/>
        </w:rPr>
        <w:t>which amends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language in Subtopic 326-20 and addresses questions primarily regarding documentation and company policies. The guidance in ASU</w:t>
      </w:r>
    </w:p>
    <w:p>
      <w:pPr>
        <w:ind w:left="600" w:right="20"/>
        <w:spacing w:after="0" w:line="251" w:lineRule="auto"/>
        <w:rPr>
          <w:sz w:val="20"/>
          <w:szCs w:val="20"/>
          <w:color w:val="auto"/>
        </w:rPr>
      </w:pPr>
      <w:r>
        <w:rPr>
          <w:rFonts w:ascii="Times New Roman" w:cs="Times New Roman" w:eastAsia="Times New Roman" w:hAnsi="Times New Roman"/>
          <w:sz w:val="18"/>
          <w:szCs w:val="18"/>
          <w:color w:val="auto"/>
        </w:rPr>
        <w:t>2016-13 and ASU 2020-02 related to credit losses is effective for fiscal years beginning after December 15, 2022, including interim periods within those fiscal years. Early adoption is permitted. The Company is currently evaluating the impact of the new guidance on its consolidated financial statements.</w:t>
      </w:r>
    </w:p>
    <w:p>
      <w:pPr>
        <w:spacing w:after="0" w:line="78" w:lineRule="exact"/>
        <w:rPr>
          <w:sz w:val="20"/>
          <w:szCs w:val="20"/>
          <w:color w:val="auto"/>
        </w:rPr>
      </w:pPr>
    </w:p>
    <w:p>
      <w:pPr>
        <w:ind w:left="600"/>
        <w:spacing w:after="0" w:line="253"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 is a Service Contract</w:t>
      </w:r>
      <w:r>
        <w:rPr>
          <w:rFonts w:ascii="Times New Roman" w:cs="Times New Roman" w:eastAsia="Times New Roman" w:hAnsi="Times New Roman"/>
          <w:sz w:val="18"/>
          <w:szCs w:val="18"/>
          <w:color w:val="auto"/>
        </w:rPr>
        <w:t>. ASU 2018-15 requires implementation costs incurred by customers in cloud computing arrangements to be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noncancelable term of the cloud-computing arrangements plus any optional renewal periods (1) that are reasonably certain to be exercised by the customer or (2) for which exercise of the renewal option is controlled by the cloud service provider. This guidance is effective date for fiscal years beginning after December 15, 2020, and interim periods within annual periods beginning after December 15, 2021. Early adoption is permitted. This guidance can be adopted either using the prospective or retrospective transition approach. The Company is currently evaluating the impacts of this ASU on its consolidated financial statements.</w:t>
      </w:r>
    </w:p>
    <w:p>
      <w:pPr>
        <w:spacing w:after="0" w:line="76" w:lineRule="exact"/>
        <w:rPr>
          <w:sz w:val="20"/>
          <w:szCs w:val="20"/>
          <w:color w:val="auto"/>
        </w:rPr>
      </w:pPr>
    </w:p>
    <w:p>
      <w:pPr>
        <w:ind w:left="600" w:right="20"/>
        <w:spacing w:after="0" w:line="253" w:lineRule="auto"/>
        <w:rPr>
          <w:sz w:val="20"/>
          <w:szCs w:val="20"/>
          <w:color w:val="auto"/>
        </w:rPr>
      </w:pPr>
      <w:r>
        <w:rPr>
          <w:rFonts w:ascii="Times New Roman" w:cs="Times New Roman" w:eastAsia="Times New Roman" w:hAnsi="Times New Roman"/>
          <w:sz w:val="18"/>
          <w:szCs w:val="18"/>
          <w:color w:val="auto"/>
        </w:rPr>
        <w:t xml:space="preserve">In October 2018, the FASB issued ASU 2018-17, </w:t>
      </w:r>
      <w:r>
        <w:rPr>
          <w:rFonts w:ascii="Times New Roman" w:cs="Times New Roman" w:eastAsia="Times New Roman" w:hAnsi="Times New Roman"/>
          <w:sz w:val="18"/>
          <w:szCs w:val="18"/>
          <w:i w:val="1"/>
          <w:iCs w:val="1"/>
          <w:color w:val="auto"/>
        </w:rPr>
        <w:t>Consolidation (Topic 810): Targeted Improvements to the Related Party Guidance for Variable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Entities</w:t>
      </w:r>
      <w:r>
        <w:rPr>
          <w:rFonts w:ascii="Times New Roman" w:cs="Times New Roman" w:eastAsia="Times New Roman" w:hAnsi="Times New Roman"/>
          <w:sz w:val="18"/>
          <w:szCs w:val="18"/>
          <w:color w:val="auto"/>
        </w:rPr>
        <w:t>. ASU 2018-17 changes how entities evaluate decision-making fees under the variable interest entity guidance.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decision-making fees represent a variable interest, an entity considers indirect interests held through related parties under common control on a proportional basis, rather than in their entirety. This guidance is effective for fiscal years, beginning after December 15, 2020 and interim periods within fiscal years beginning after December 15, 2021, with early adoption permitted. All entities are required to apply the amendments in this ASU retrospectively with a cumulative-effect adjustment to retained earnings at the beginning of the earliest period presented. The Company is currently evaluating the impact of the adoption of this ASU on its consolidated financial statements.</w:t>
      </w:r>
    </w:p>
    <w:p>
      <w:pPr>
        <w:spacing w:after="0" w:line="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xml:space="preserve">In December 2019, the FASB issued ASU 2019-12, </w:t>
      </w:r>
      <w:r>
        <w:rPr>
          <w:rFonts w:ascii="Times New Roman" w:cs="Times New Roman" w:eastAsia="Times New Roman" w:hAnsi="Times New Roman"/>
          <w:sz w:val="17"/>
          <w:szCs w:val="17"/>
          <w:i w:val="1"/>
          <w:iCs w:val="1"/>
          <w:color w:val="auto"/>
        </w:rPr>
        <w:t>Income Taxes (Topic 740): Simplifying the Accounting for Income Taxes</w:t>
      </w:r>
      <w:r>
        <w:rPr>
          <w:rFonts w:ascii="Times New Roman" w:cs="Times New Roman" w:eastAsia="Times New Roman" w:hAnsi="Times New Roman"/>
          <w:sz w:val="17"/>
          <w:szCs w:val="17"/>
          <w:color w:val="auto"/>
        </w:rPr>
        <w:t>. The objective of the</w:t>
      </w:r>
    </w:p>
    <w:p>
      <w:pPr>
        <w:spacing w:after="0" w:line="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guidance is to simplify the accounting for income taxes by removing certain exceptions to the general principles in Topic 740 and to provide more</w:t>
      </w:r>
    </w:p>
    <w:p>
      <w:pPr>
        <w:spacing w:after="0" w:line="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consistent application to improve the comparability of financial statements. The guidance is effective for fiscal years beginning after</w:t>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December 15, 2021, and interim periods within fiscal years beginning after December 15, 2022. The Company is currently evaluating the impact</w:t>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of this ASU on its consolidated financial statements.</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080"/>
          </w:cols>
          <w:pgMar w:left="320" w:top="454" w:right="49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180" w:type="dxa"/>
        <w:tblCellMar>
          <w:top w:w="0" w:type="dxa"/>
          <w:left w:w="0" w:type="dxa"/>
          <w:bottom w:w="0" w:type="dxa"/>
          <w:right w:w="0" w:type="dxa"/>
        </w:tblCellMar>
      </w:tblPr>
      <w:tr>
        <w:trPr>
          <w:trHeight w:val="237"/>
        </w:trPr>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73"/>
              </w:rPr>
              <w:t>3.</w:t>
            </w:r>
          </w:p>
        </w:tc>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280" w:type="dxa"/>
            <w:vAlign w:val="bottom"/>
          </w:tcPr>
          <w:p>
            <w:pPr>
              <w:spacing w:after="0"/>
              <w:rPr>
                <w:sz w:val="24"/>
                <w:szCs w:val="24"/>
                <w:color w:val="auto"/>
              </w:rPr>
            </w:pPr>
          </w:p>
        </w:tc>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80" w:type="dxa"/>
            <w:vAlign w:val="bottom"/>
          </w:tcPr>
          <w:p>
            <w:pPr>
              <w:spacing w:after="0"/>
              <w:rPr>
                <w:sz w:val="24"/>
                <w:szCs w:val="24"/>
                <w:color w:val="auto"/>
              </w:rPr>
            </w:pPr>
          </w:p>
        </w:tc>
        <w:tc>
          <w:tcPr>
            <w:tcW w:w="574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154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At June 30,</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57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Lease incentive receivable</w:t>
            </w: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7,389</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80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9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tbl>
      <w:tblPr>
        <w:tblLayout w:type="fixed"/>
        <w:tblInd w:w="180" w:type="dxa"/>
        <w:tblCellMar>
          <w:top w:w="0" w:type="dxa"/>
          <w:left w:w="0" w:type="dxa"/>
          <w:bottom w:w="0" w:type="dxa"/>
          <w:right w:w="0" w:type="dxa"/>
        </w:tblCellMar>
      </w:tblPr>
      <w:tr>
        <w:trPr>
          <w:trHeight w:val="237"/>
        </w:trPr>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73"/>
              </w:rPr>
              <w:t>4.</w:t>
            </w:r>
          </w:p>
        </w:tc>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280" w:type="dxa"/>
            <w:vAlign w:val="bottom"/>
          </w:tcPr>
          <w:p>
            <w:pPr>
              <w:spacing w:after="0"/>
              <w:rPr>
                <w:sz w:val="24"/>
                <w:szCs w:val="24"/>
                <w:color w:val="auto"/>
              </w:rPr>
            </w:pPr>
          </w:p>
        </w:tc>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80" w:type="dxa"/>
            <w:vAlign w:val="bottom"/>
          </w:tcPr>
          <w:p>
            <w:pPr>
              <w:spacing w:after="0"/>
              <w:rPr>
                <w:sz w:val="24"/>
                <w:szCs w:val="24"/>
                <w:color w:val="auto"/>
              </w:rPr>
            </w:pPr>
          </w:p>
        </w:tc>
        <w:tc>
          <w:tcPr>
            <w:tcW w:w="632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154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At June 30,</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63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marketing</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 and payroll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right="40"/>
        <w:spacing w:after="0" w:line="257" w:lineRule="auto"/>
        <w:rPr>
          <w:sz w:val="20"/>
          <w:szCs w:val="20"/>
          <w:color w:val="auto"/>
        </w:rPr>
      </w:pPr>
      <w:r>
        <w:rPr>
          <w:rFonts w:ascii="Times New Roman" w:cs="Times New Roman" w:eastAsia="Times New Roman" w:hAnsi="Times New Roman"/>
          <w:sz w:val="18"/>
          <w:szCs w:val="18"/>
          <w:color w:val="auto"/>
        </w:rPr>
        <w:t>Of the $3.5 million deferred revenue balance included in the balance sheet at December 31, 2019, $2.8 million was recognized as revenue during the six months ended June 30, 2020 and substantially all of the remainder is expected to be recognized as revenue during the six months ending December 31, 2020. The Company expects substantially all of the deferred revenue at June 30, 2020 will be recognized as revenue within the next twelve months.</w:t>
      </w:r>
    </w:p>
    <w:p>
      <w:pPr>
        <w:spacing w:after="0" w:line="325" w:lineRule="exact"/>
        <w:rPr>
          <w:sz w:val="20"/>
          <w:szCs w:val="20"/>
          <w:color w:val="auto"/>
        </w:rPr>
      </w:pPr>
    </w:p>
    <w:p>
      <w:pPr>
        <w:ind w:left="600" w:hanging="426"/>
        <w:spacing w:after="0"/>
        <w:tabs>
          <w:tab w:leader="none" w:pos="60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17" w:lineRule="exact"/>
        <w:rPr>
          <w:rFonts w:ascii="Times New Roman" w:cs="Times New Roman" w:eastAsia="Times New Roman" w:hAnsi="Times New Roman"/>
          <w:sz w:val="18"/>
          <w:szCs w:val="18"/>
          <w:b w:val="1"/>
          <w:bCs w:val="1"/>
          <w:color w:val="auto"/>
        </w:rPr>
      </w:pPr>
    </w:p>
    <w:p>
      <w:pPr>
        <w:ind w:left="600" w:right="4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income tax rate for the six months ended June 30, 2019 and 2020 was 21.4% and 22.0%, respectively and differs from the U.S. Federal statutory rate of 21% primarily due to effects of stock-based compensation, state income taxes and benefits from research and development tax credits.</w:t>
      </w:r>
    </w:p>
    <w:p>
      <w:pPr>
        <w:spacing w:after="0" w:line="70" w:lineRule="exact"/>
        <w:rPr>
          <w:rFonts w:ascii="Times New Roman" w:cs="Times New Roman" w:eastAsia="Times New Roman" w:hAnsi="Times New Roman"/>
          <w:sz w:val="18"/>
          <w:szCs w:val="18"/>
          <w:b w:val="1"/>
          <w:bCs w:val="1"/>
          <w:color w:val="auto"/>
        </w:rPr>
      </w:pPr>
    </w:p>
    <w:p>
      <w:pPr>
        <w:ind w:left="60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27, 2020, the Coronavirus Aid, Relief, and Economic Security Act (the “CARES Act”) was signed into law, featuring significant tax provisions and other measures to assist individuals and businesses impacted by the economic effects of the COVID-19 pandemic. The CARES Act increased the Section 163(j) interest expense deduction limitation from 30% to 50% of adjusted taxable income, provided for the payment deferral of certain Social Security taxes, made a technical correction allowing Qualified Improvement Property to be treated as 15-year property, and included numerous other provisions. The CARES Act increased the Company’s interest expense deduction applicable to the 2019 tax year resulting in a reduction of deferred tax assets and a corresponding reduction in income taxes payable of approximately $2.3 million during the six months ended June 30, 2020.</w:t>
      </w:r>
    </w:p>
    <w:p>
      <w:pPr>
        <w:spacing w:after="0" w:line="81" w:lineRule="exact"/>
        <w:rPr>
          <w:rFonts w:ascii="Times New Roman" w:cs="Times New Roman" w:eastAsia="Times New Roman" w:hAnsi="Times New Roman"/>
          <w:sz w:val="18"/>
          <w:szCs w:val="18"/>
          <w:b w:val="1"/>
          <w:bCs w:val="1"/>
          <w:color w:val="auto"/>
        </w:rPr>
      </w:pPr>
    </w:p>
    <w:p>
      <w:pPr>
        <w:ind w:left="600" w:right="4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2020, the ownership of the HeyDoctor PSCs was transferred to different medical professionals. The Company’s deferred income taxes reflects carryover tax attributes generated by the VIEs available for future utilization. Section 382 of the Internal Revenue Code (“IRC”) limits the utilization of U.S. net operating loss carryforwards (“NOLs”) following a change of control. As the 2020 change in ownership in the PSCs constitutes a change of control, U.S. NOLs from the PSCs will be subject to an annual limitation</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80"/>
          </w:cols>
          <w:pgMar w:left="320" w:top="454" w:right="49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600"/>
        <w:spacing w:after="0" w:line="277" w:lineRule="auto"/>
        <w:rPr>
          <w:sz w:val="20"/>
          <w:szCs w:val="20"/>
          <w:color w:val="auto"/>
        </w:rPr>
      </w:pPr>
      <w:r>
        <w:rPr>
          <w:rFonts w:ascii="Times New Roman" w:cs="Times New Roman" w:eastAsia="Times New Roman" w:hAnsi="Times New Roman"/>
          <w:sz w:val="18"/>
          <w:szCs w:val="18"/>
          <w:color w:val="auto"/>
        </w:rPr>
        <w:t>under IRC Section 382. Any limitation would not be material to the financial statements as a full valuation allowance has been established against the NOLs from the PSCs due to uncertainty regarding their future realization.</w:t>
      </w:r>
    </w:p>
    <w:p>
      <w:pPr>
        <w:spacing w:after="0" w:line="306" w:lineRule="exact"/>
        <w:rPr>
          <w:sz w:val="20"/>
          <w:szCs w:val="20"/>
          <w:color w:val="auto"/>
        </w:rPr>
      </w:pPr>
    </w:p>
    <w:p>
      <w:pPr>
        <w:ind w:left="600" w:hanging="426"/>
        <w:spacing w:after="0"/>
        <w:tabs>
          <w:tab w:leader="none" w:pos="60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17"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debt balances at December 31, 2019 and June 30, 2020 were as follows:</w:t>
      </w:r>
    </w:p>
    <w:p>
      <w:pPr>
        <w:spacing w:after="0" w:line="227"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At June 30,</w:t>
            </w:r>
          </w:p>
        </w:tc>
        <w:tc>
          <w:tcPr>
            <w:tcW w:w="0" w:type="dxa"/>
            <w:vAlign w:val="bottom"/>
          </w:tcPr>
          <w:p>
            <w:pPr>
              <w:spacing w:after="0"/>
              <w:rPr>
                <w:sz w:val="1"/>
                <w:szCs w:val="1"/>
                <w:color w:val="auto"/>
              </w:rPr>
            </w:pPr>
          </w:p>
        </w:tc>
      </w:tr>
      <w:tr>
        <w:trPr>
          <w:trHeight w:val="172"/>
        </w:trPr>
        <w:tc>
          <w:tcPr>
            <w:tcW w:w="42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4"/>
                <w:szCs w:val="14"/>
                <w:color w:val="auto"/>
              </w:rPr>
            </w:pPr>
          </w:p>
        </w:tc>
        <w:tc>
          <w:tcPr>
            <w:tcW w:w="106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balance under First Lien Credit Agreement</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688,155</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$ 684,640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 and discounts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(17,233)</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(15,719)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670,922</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$ 668,921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Principal balance under Revolving Credit Facility</w:t>
            </w: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670,922</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$ 696,921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March 2020, the Company borrowed an aggregate of $28.0 million under its line of credit.</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May 2020, the Company entered into an amendment of the First Lien to increase the amount of the line of credit by $60 million to</w:t>
      </w:r>
    </w:p>
    <w:p>
      <w:pPr>
        <w:spacing w:after="0" w:line="26" w:lineRule="exact"/>
        <w:rPr>
          <w:sz w:val="20"/>
          <w:szCs w:val="20"/>
          <w:color w:val="auto"/>
        </w:rPr>
      </w:pPr>
    </w:p>
    <w:p>
      <w:pPr>
        <w:ind w:left="600" w:right="300"/>
        <w:spacing w:after="0" w:line="262" w:lineRule="auto"/>
        <w:rPr>
          <w:sz w:val="20"/>
          <w:szCs w:val="20"/>
          <w:color w:val="auto"/>
        </w:rPr>
      </w:pPr>
      <w:r>
        <w:rPr>
          <w:rFonts w:ascii="Times New Roman" w:cs="Times New Roman" w:eastAsia="Times New Roman" w:hAnsi="Times New Roman"/>
          <w:sz w:val="17"/>
          <w:szCs w:val="17"/>
          <w:color w:val="auto"/>
        </w:rPr>
        <w:t>$100 million. The line of credit matures on October 11, 2024 and bears interest at a rate equal to the LIBO Screen Rate plus a variable margin based on the Company’s most recently determined Net Leverage Ratio (as defined in the First Lien Credit Agreement), ranging from 2.50 to</w:t>
      </w:r>
    </w:p>
    <w:p>
      <w:pPr>
        <w:spacing w:after="0" w:line="1" w:lineRule="exact"/>
        <w:rPr>
          <w:sz w:val="20"/>
          <w:szCs w:val="20"/>
          <w:color w:val="auto"/>
        </w:rPr>
      </w:pPr>
    </w:p>
    <w:p>
      <w:pPr>
        <w:ind w:left="600" w:right="120"/>
        <w:spacing w:after="0" w:line="255" w:lineRule="auto"/>
        <w:rPr>
          <w:sz w:val="20"/>
          <w:szCs w:val="20"/>
          <w:color w:val="auto"/>
        </w:rPr>
      </w:pPr>
      <w:r>
        <w:rPr>
          <w:rFonts w:ascii="Times New Roman" w:cs="Times New Roman" w:eastAsia="Times New Roman" w:hAnsi="Times New Roman"/>
          <w:sz w:val="18"/>
          <w:szCs w:val="18"/>
          <w:color w:val="auto"/>
        </w:rPr>
        <w:t>3.00% on used amounts and 0.25 to 0.50% on unused amounts. The Company incurred lender and third-party costs of $1.3 million related to the amendment which are recorded in other assets.</w:t>
      </w:r>
    </w:p>
    <w:p>
      <w:pPr>
        <w:spacing w:after="0" w:line="325" w:lineRule="exact"/>
        <w:rPr>
          <w:sz w:val="20"/>
          <w:szCs w:val="20"/>
          <w:color w:val="auto"/>
        </w:rPr>
      </w:pPr>
    </w:p>
    <w:p>
      <w:pPr>
        <w:ind w:left="600" w:right="7900" w:hanging="426"/>
        <w:spacing w:after="0" w:line="374" w:lineRule="auto"/>
        <w:tabs>
          <w:tab w:leader="none" w:pos="592"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Operating Leases</w:t>
      </w: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contractual obligations for the Company’s non-cancellable operating leases at June 30, 2020:</w:t>
      </w:r>
    </w:p>
    <w:p>
      <w:pPr>
        <w:spacing w:after="0" w:line="24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6985</wp:posOffset>
            </wp:positionV>
            <wp:extent cx="4699000" cy="135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699000" cy="135890"/>
                    </a:xfrm>
                    <a:prstGeom prst="rect">
                      <a:avLst/>
                    </a:prstGeom>
                    <a:noFill/>
                  </pic:spPr>
                </pic:pic>
              </a:graphicData>
            </a:graphic>
          </wp:anchor>
        </w:drawing>
      </w:r>
    </w:p>
    <w:p>
      <w:pPr>
        <w:ind w:left="19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p>
      <w:pPr>
        <w:spacing w:after="0" w:line="6" w:lineRule="exact"/>
        <w:rPr>
          <w:sz w:val="20"/>
          <w:szCs w:val="20"/>
          <w:color w:val="auto"/>
        </w:rPr>
      </w:pPr>
    </w:p>
    <w:tbl>
      <w:tblPr>
        <w:tblLayout w:type="fixed"/>
        <w:tblInd w:w="1920" w:type="dxa"/>
        <w:tblCellMar>
          <w:top w:w="0" w:type="dxa"/>
          <w:left w:w="0" w:type="dxa"/>
          <w:bottom w:w="0" w:type="dxa"/>
          <w:right w:w="0" w:type="dxa"/>
        </w:tblCellMar>
      </w:tblPr>
      <w:tr>
        <w:trPr>
          <w:trHeight w:val="21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2020 (remaining six months)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33,436</w:t>
            </w:r>
          </w:p>
        </w:tc>
        <w:tc>
          <w:tcPr>
            <w:tcW w:w="120" w:type="dxa"/>
            <w:vAlign w:val="bottom"/>
            <w:shd w:val="clear" w:color="auto" w:fill="CCEEFF"/>
          </w:tcPr>
          <w:p>
            <w:pPr>
              <w:spacing w:after="0"/>
              <w:rPr>
                <w:sz w:val="18"/>
                <w:szCs w:val="18"/>
                <w:color w:val="auto"/>
              </w:rPr>
            </w:pPr>
          </w:p>
        </w:tc>
      </w:tr>
      <w:tr>
        <w:trPr>
          <w:trHeight w:val="22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54,475</w:t>
            </w:r>
          </w:p>
        </w:tc>
        <w:tc>
          <w:tcPr>
            <w:tcW w:w="12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effects of discounting</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(15,107)</w:t>
            </w:r>
          </w:p>
        </w:tc>
      </w:tr>
      <w:tr>
        <w:trPr>
          <w:trHeight w:val="22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20" w:type="dxa"/>
            <w:vAlign w:val="bottom"/>
            <w:shd w:val="clear" w:color="auto" w:fill="CCEEFF"/>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36,088</w:t>
            </w:r>
          </w:p>
        </w:tc>
        <w:tc>
          <w:tcPr>
            <w:tcW w:w="120" w:type="dxa"/>
            <w:vAlign w:val="bottom"/>
          </w:tcPr>
          <w:p>
            <w:pPr>
              <w:spacing w:after="0"/>
              <w:rPr>
                <w:sz w:val="20"/>
                <w:szCs w:val="20"/>
                <w:color w:val="auto"/>
              </w:rPr>
            </w:pPr>
          </w:p>
        </w:tc>
      </w:tr>
    </w:tbl>
    <w:p>
      <w:pPr>
        <w:spacing w:after="0" w:line="2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18" w:lineRule="exact"/>
        <w:rPr>
          <w:sz w:val="20"/>
          <w:szCs w:val="20"/>
          <w:color w:val="auto"/>
        </w:rPr>
      </w:pPr>
    </w:p>
    <w:p>
      <w:pPr>
        <w:ind w:left="600" w:right="180"/>
        <w:spacing w:after="0" w:line="277" w:lineRule="auto"/>
        <w:rPr>
          <w:sz w:val="20"/>
          <w:szCs w:val="20"/>
          <w:color w:val="auto"/>
        </w:rPr>
      </w:pPr>
      <w:r>
        <w:rPr>
          <w:rFonts w:ascii="Times New Roman" w:cs="Times New Roman" w:eastAsia="Times New Roman" w:hAnsi="Times New Roman"/>
          <w:sz w:val="18"/>
          <w:szCs w:val="18"/>
          <w:color w:val="auto"/>
        </w:rPr>
        <w:t>During the normal course of business, the Company may become subject to legal proceedings, claims and litigation. Such matters are subject to many uncertainties and outcomes are not predictable with assurance.</w:t>
      </w:r>
    </w:p>
    <w:p>
      <w:pPr>
        <w:spacing w:after="0" w:line="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20"/>
          </w:cols>
          <w:pgMar w:left="320" w:top="454" w:right="55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Accruals for loss contingencies are recorded when a loss is probable, and the amount of such loss can be reasonably estimated.</w:t>
      </w:r>
    </w:p>
    <w:p>
      <w:pPr>
        <w:spacing w:after="0" w:line="114" w:lineRule="exact"/>
        <w:rPr>
          <w:sz w:val="20"/>
          <w:szCs w:val="20"/>
          <w:color w:val="auto"/>
        </w:rPr>
      </w:pPr>
    </w:p>
    <w:p>
      <w:pPr>
        <w:ind w:left="600" w:right="200"/>
        <w:spacing w:after="0" w:line="277" w:lineRule="auto"/>
        <w:rPr>
          <w:sz w:val="20"/>
          <w:szCs w:val="20"/>
          <w:color w:val="auto"/>
        </w:rPr>
      </w:pPr>
      <w:r>
        <w:rPr>
          <w:rFonts w:ascii="Times New Roman" w:cs="Times New Roman" w:eastAsia="Times New Roman" w:hAnsi="Times New Roman"/>
          <w:sz w:val="18"/>
          <w:szCs w:val="18"/>
          <w:color w:val="auto"/>
        </w:rPr>
        <w:t>As of June 30, 2020, the Company is not subject to any currently pending legal matters or claims that could have a material adverse effect on its financial position, results of operations, or cash flows should such litigation be resolved unfavorably.</w:t>
      </w:r>
    </w:p>
    <w:p>
      <w:pPr>
        <w:spacing w:after="0" w:line="306" w:lineRule="exact"/>
        <w:rPr>
          <w:sz w:val="20"/>
          <w:szCs w:val="20"/>
          <w:color w:val="auto"/>
        </w:rPr>
      </w:pPr>
    </w:p>
    <w:p>
      <w:pPr>
        <w:ind w:left="600" w:hanging="426"/>
        <w:spacing w:after="0"/>
        <w:tabs>
          <w:tab w:leader="none" w:pos="60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13"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options</w:t>
      </w:r>
    </w:p>
    <w:p>
      <w:pPr>
        <w:spacing w:after="0" w:line="29" w:lineRule="exact"/>
        <w:rPr>
          <w:rFonts w:ascii="Times New Roman" w:cs="Times New Roman" w:eastAsia="Times New Roman" w:hAnsi="Times New Roman"/>
          <w:sz w:val="18"/>
          <w:szCs w:val="18"/>
          <w:b w:val="1"/>
          <w:bCs w:val="1"/>
          <w:color w:val="auto"/>
        </w:rPr>
      </w:pPr>
    </w:p>
    <w:p>
      <w:pPr>
        <w:ind w:left="600" w:right="3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the stock option activity for the six months ended June 30, 2020 is as follows, in thousands, except per share amounts and term information:</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vMerge w:val="restart"/>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3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gridSpan w:val="3"/>
          </w:tcPr>
          <w:p>
            <w:pPr>
              <w:jc w:val="center"/>
              <w:ind w:left="20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gridSpan w:val="2"/>
            <w:vMerge w:val="restart"/>
          </w:tcPr>
          <w:p>
            <w:pPr>
              <w:jc w:val="center"/>
              <w:ind w:left="23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340" w:type="dxa"/>
            <w:vAlign w:val="bottom"/>
          </w:tcPr>
          <w:p>
            <w:pPr>
              <w:spacing w:after="0"/>
              <w:rPr>
                <w:sz w:val="12"/>
                <w:szCs w:val="12"/>
                <w:color w:val="auto"/>
              </w:rPr>
            </w:pPr>
          </w:p>
        </w:tc>
        <w:tc>
          <w:tcPr>
            <w:tcW w:w="64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4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5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00" w:type="dxa"/>
            <w:vAlign w:val="bottom"/>
            <w:gridSpan w:val="2"/>
          </w:tcPr>
          <w:p>
            <w:pPr>
              <w:jc w:val="center"/>
              <w:ind w:left="249"/>
              <w:spacing w:after="0" w:line="147"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40" w:type="dxa"/>
            <w:vAlign w:val="bottom"/>
          </w:tcPr>
          <w:p>
            <w:pPr>
              <w:spacing w:after="0"/>
              <w:rPr>
                <w:sz w:val="12"/>
                <w:szCs w:val="12"/>
                <w:color w:val="auto"/>
              </w:rPr>
            </w:pPr>
          </w:p>
        </w:tc>
        <w:tc>
          <w:tcPr>
            <w:tcW w:w="6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980" w:type="dxa"/>
            <w:vAlign w:val="bottom"/>
            <w:gridSpan w:val="3"/>
          </w:tcPr>
          <w:p>
            <w:pPr>
              <w:jc w:val="center"/>
              <w:ind w:left="203"/>
              <w:spacing w:after="0" w:line="147"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4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2019</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3.82</w:t>
            </w:r>
          </w:p>
        </w:tc>
        <w:tc>
          <w:tcPr>
            <w:tcW w:w="3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8"/>
              </w:rPr>
              <w:t>8.2 years</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$ 35,043</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center"/>
              <w:ind w:left="263"/>
              <w:spacing w:after="0"/>
              <w:rPr>
                <w:sz w:val="20"/>
                <w:szCs w:val="20"/>
                <w:color w:val="auto"/>
              </w:rPr>
            </w:pPr>
            <w:r>
              <w:rPr>
                <w:rFonts w:ascii="Times New Roman" w:cs="Times New Roman" w:eastAsia="Times New Roman" w:hAnsi="Times New Roman"/>
                <w:sz w:val="18"/>
                <w:szCs w:val="18"/>
                <w:color w:val="auto"/>
              </w:rPr>
              <w:t>$  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Expired/Cancelled/Forfeited</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June 30, 2020</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8"/>
              </w:rPr>
              <w:t>8.4 years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Exercisable at June 30, 2020</w:t>
            </w: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340" w:type="dxa"/>
            <w:vAlign w:val="bottom"/>
          </w:tcPr>
          <w:p>
            <w:pPr>
              <w:spacing w:after="0" w:line="20" w:lineRule="exact"/>
              <w:rPr>
                <w:sz w:val="1"/>
                <w:szCs w:val="1"/>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8"/>
              </w:rPr>
              <w:t>7.3 years</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34,924</w:t>
            </w: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860" w:type="dxa"/>
            <w:vAlign w:val="bottom"/>
            <w:gridSpan w:val="2"/>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2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00" w:right="260"/>
        <w:spacing w:after="0" w:line="277" w:lineRule="auto"/>
        <w:rPr>
          <w:sz w:val="20"/>
          <w:szCs w:val="20"/>
          <w:color w:val="auto"/>
        </w:rPr>
      </w:pPr>
      <w:r>
        <w:rPr>
          <w:rFonts w:ascii="Times New Roman" w:cs="Times New Roman" w:eastAsia="Times New Roman" w:hAnsi="Times New Roman"/>
          <w:sz w:val="18"/>
          <w:szCs w:val="18"/>
          <w:color w:val="auto"/>
        </w:rPr>
        <w:t>The fair value of option awards issued with service and performance vesting conditions are estimated on the grant date using the Black-Scholes option pricing model. The following table summarizes the assumptions used:</w:t>
      </w:r>
    </w:p>
    <w:p>
      <w:pPr>
        <w:spacing w:after="0" w:line="184"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4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0"/>
        </w:trPr>
        <w:tc>
          <w:tcPr>
            <w:tcW w:w="4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40" w:type="dxa"/>
            <w:vAlign w:val="bottom"/>
            <w:tcBorders>
              <w:top w:val="single" w:sz="8" w:color="auto"/>
            </w:tcBorders>
          </w:tcPr>
          <w:p>
            <w:pPr>
              <w:jc w:val="right"/>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1780" w:type="dxa"/>
            <w:vAlign w:val="bottom"/>
            <w:tcBorders>
              <w:top w:val="single" w:sz="8" w:color="auto"/>
            </w:tcBorders>
            <w:gridSpan w:val="2"/>
          </w:tcPr>
          <w:p>
            <w:pPr>
              <w:jc w:val="right"/>
              <w:ind w:right="351"/>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r>
      <w:tr>
        <w:trPr>
          <w:trHeight w:val="207"/>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- 2.4%</w:t>
            </w:r>
          </w:p>
        </w:tc>
        <w:tc>
          <w:tcPr>
            <w:tcW w:w="6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- 1.4%</w:t>
            </w:r>
          </w:p>
        </w:tc>
        <w:tc>
          <w:tcPr>
            <w:tcW w:w="80" w:type="dxa"/>
            <w:vAlign w:val="bottom"/>
            <w:tcBorders>
              <w:top w:val="single" w:sz="8" w:color="CCEEFF"/>
            </w:tcBorders>
            <w:shd w:val="clear" w:color="auto" w:fill="CCEEFF"/>
          </w:tcPr>
          <w:p>
            <w:pPr>
              <w:spacing w:after="0"/>
              <w:rPr>
                <w:sz w:val="18"/>
                <w:szCs w:val="18"/>
                <w:color w:val="auto"/>
              </w:rPr>
            </w:pPr>
          </w:p>
        </w:tc>
      </w:tr>
      <w:tr>
        <w:trPr>
          <w:trHeight w:val="21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5.9 - 6.3 years</w:t>
            </w:r>
          </w:p>
        </w:tc>
        <w:tc>
          <w:tcPr>
            <w:tcW w:w="6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5.3 - 6.3 years</w:t>
            </w:r>
          </w:p>
        </w:tc>
      </w:tr>
      <w:tr>
        <w:trPr>
          <w:trHeight w:val="21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- 62%</w:t>
            </w:r>
          </w:p>
        </w:tc>
        <w:tc>
          <w:tcPr>
            <w:tcW w:w="80" w:type="dxa"/>
            <w:vAlign w:val="bottom"/>
            <w:shd w:val="clear" w:color="auto" w:fill="CCEEFF"/>
          </w:tcPr>
          <w:p>
            <w:pPr>
              <w:spacing w:after="0"/>
              <w:rPr>
                <w:sz w:val="18"/>
                <w:szCs w:val="18"/>
                <w:color w:val="auto"/>
              </w:rPr>
            </w:pPr>
          </w:p>
        </w:tc>
      </w:tr>
      <w:tr>
        <w:trPr>
          <w:trHeight w:val="21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r>
      <w:tr>
        <w:trPr>
          <w:trHeight w:val="21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per share</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2.75 - $3.88</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5.94 - $ 6.84</w:t>
            </w:r>
          </w:p>
        </w:tc>
        <w:tc>
          <w:tcPr>
            <w:tcW w:w="80" w:type="dxa"/>
            <w:vAlign w:val="bottom"/>
            <w:shd w:val="clear" w:color="auto" w:fill="CCEEFF"/>
          </w:tcPr>
          <w:p>
            <w:pPr>
              <w:spacing w:after="0"/>
              <w:rPr>
                <w:sz w:val="18"/>
                <w:szCs w:val="18"/>
                <w:color w:val="auto"/>
              </w:rPr>
            </w:pPr>
          </w:p>
        </w:tc>
      </w:tr>
    </w:tbl>
    <w:p>
      <w:pPr>
        <w:spacing w:after="0" w:line="19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the six months ended June 30, 2019 and 2020, the stock-based compensation expense related to stock options was $1.4 million and</w:t>
      </w:r>
    </w:p>
    <w:p>
      <w:pPr>
        <w:spacing w:after="0" w:line="26" w:lineRule="exact"/>
        <w:rPr>
          <w:sz w:val="20"/>
          <w:szCs w:val="20"/>
          <w:color w:val="auto"/>
        </w:rPr>
      </w:pPr>
    </w:p>
    <w:p>
      <w:pPr>
        <w:ind w:left="600" w:right="180"/>
        <w:spacing w:after="0" w:line="251" w:lineRule="auto"/>
        <w:rPr>
          <w:sz w:val="20"/>
          <w:szCs w:val="20"/>
          <w:color w:val="auto"/>
        </w:rPr>
      </w:pPr>
      <w:r>
        <w:rPr>
          <w:rFonts w:ascii="Times New Roman" w:cs="Times New Roman" w:eastAsia="Times New Roman" w:hAnsi="Times New Roman"/>
          <w:sz w:val="18"/>
          <w:szCs w:val="18"/>
          <w:color w:val="auto"/>
        </w:rPr>
        <w:t>$3.4 million, respectively. At June 30, 2020, there was $29.1 million of total unrecognized compensation cost related to stock options, excluding stock options which contain performance and market conditions described below, which is expected to be recognized over a weighted-average remaining service period of 3.3 years.</w:t>
      </w:r>
    </w:p>
    <w:p>
      <w:pPr>
        <w:spacing w:after="0" w:line="80" w:lineRule="exact"/>
        <w:rPr>
          <w:sz w:val="20"/>
          <w:szCs w:val="20"/>
          <w:color w:val="auto"/>
        </w:rPr>
      </w:pPr>
    </w:p>
    <w:p>
      <w:pPr>
        <w:ind w:left="600" w:right="100"/>
        <w:spacing w:after="0" w:line="250" w:lineRule="auto"/>
        <w:rPr>
          <w:sz w:val="20"/>
          <w:szCs w:val="20"/>
          <w:color w:val="auto"/>
        </w:rPr>
      </w:pPr>
      <w:r>
        <w:rPr>
          <w:rFonts w:ascii="Times New Roman" w:cs="Times New Roman" w:eastAsia="Times New Roman" w:hAnsi="Times New Roman"/>
          <w:sz w:val="18"/>
          <w:szCs w:val="18"/>
          <w:color w:val="auto"/>
        </w:rPr>
        <w:t>In June 2020, the Company granted stock options to purchase 0.6 million shares of common stock at an exercise price of $6.84 per share that vest upon continued service and the achievement of both performance and market conditions. For stock options to purchase 0.4 million shares of common stock, the service condition is satisfied monthly over a 4-year period and for stock options to purchase 0.2 million shares of common stock the service condition is satisfied on January 1, 2022. The performance condition is satisfied upon the closing of an IPO pursuant to an effective registration statement under the Securities Act of 1933, as amended, or a change in the control of the Company, as defined. The market condition is satisfied upon the Company’s common stock achieving a per share price threshold in the IPO, an average trading price of the Company’s stock for a period subsequent to the IPO, or a per share price in a change in control transaction. For stock options to purchase</w:t>
      </w:r>
    </w:p>
    <w:p>
      <w:pPr>
        <w:spacing w:after="0" w:line="6" w:lineRule="exact"/>
        <w:rPr>
          <w:sz w:val="20"/>
          <w:szCs w:val="20"/>
          <w:color w:val="auto"/>
        </w:rPr>
      </w:pPr>
    </w:p>
    <w:p>
      <w:pPr>
        <w:ind w:left="600" w:right="80"/>
        <w:spacing w:after="0" w:line="255" w:lineRule="auto"/>
        <w:rPr>
          <w:sz w:val="20"/>
          <w:szCs w:val="20"/>
          <w:color w:val="auto"/>
        </w:rPr>
      </w:pPr>
      <w:r>
        <w:rPr>
          <w:rFonts w:ascii="Times New Roman" w:cs="Times New Roman" w:eastAsia="Times New Roman" w:hAnsi="Times New Roman"/>
          <w:sz w:val="18"/>
          <w:szCs w:val="18"/>
          <w:color w:val="auto"/>
        </w:rPr>
        <w:t>0.2 million, 0.2 million and 0.2 million shares of common stock, the per share price thresholds for these market conditions are $17.82, $23.76 and $29.70, respectively, subject to adjustment for stock splits and other similar transactions. The Company estimated the grant date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080"/>
          </w:cols>
          <w:pgMar w:left="320" w:top="454" w:right="49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600" w:right="260"/>
        <w:spacing w:after="0" w:line="257" w:lineRule="auto"/>
        <w:rPr>
          <w:sz w:val="20"/>
          <w:szCs w:val="20"/>
          <w:color w:val="auto"/>
        </w:rPr>
      </w:pPr>
      <w:r>
        <w:rPr>
          <w:rFonts w:ascii="Times New Roman" w:cs="Times New Roman" w:eastAsia="Times New Roman" w:hAnsi="Times New Roman"/>
          <w:sz w:val="18"/>
          <w:szCs w:val="18"/>
          <w:color w:val="auto"/>
        </w:rPr>
        <w:t>fair value of these awards to be $1.4 million using a Monte Carlo simulation model. No expense has been recognized for the six months ended June 30, 2020 as the performance condition is not probable of occurring for accounting purposes as of June 30, 2020. Upon the performance condition becoming probable for accounting purposes, the Company will recognize cumulative stock-based compensation expense on a graded vesting basis for the portion of the service period completed prior to the satisfaction of the performance condition.</w:t>
      </w:r>
    </w:p>
    <w:p>
      <w:pPr>
        <w:spacing w:after="0" w:line="75" w:lineRule="exact"/>
        <w:rPr>
          <w:sz w:val="20"/>
          <w:szCs w:val="20"/>
          <w:color w:val="auto"/>
        </w:rPr>
      </w:pPr>
    </w:p>
    <w:p>
      <w:pPr>
        <w:ind w:left="600"/>
        <w:spacing w:after="0" w:line="253" w:lineRule="auto"/>
        <w:rPr>
          <w:sz w:val="20"/>
          <w:szCs w:val="20"/>
          <w:color w:val="auto"/>
        </w:rPr>
      </w:pPr>
      <w:r>
        <w:rPr>
          <w:rFonts w:ascii="Times New Roman" w:cs="Times New Roman" w:eastAsia="Times New Roman" w:hAnsi="Times New Roman"/>
          <w:sz w:val="18"/>
          <w:szCs w:val="18"/>
          <w:color w:val="auto"/>
        </w:rPr>
        <w:t>In June 2020, the Company modified the terms of an option to purchase 0.4 million shares of common stock. The original award that would otherwise have been cancelled upon the employee’s departure from the Company was modified to permit the former employee to only exercise the award within 30 days after the completion of a performance condition, which are the Company completing its IPO or a change in control of the Company or a declaration of dividend payment, as defined. The fair value of this option of $2.4 million on the modification date will be recognized as compensation expense on the date the Company completes an IPO or there is a change in control, or when the declaration of a dividend is probable.</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shows the activity of non-vested restricted shares for the six months ended June 30, 2020:</w:t>
      </w:r>
    </w:p>
    <w:p>
      <w:pPr>
        <w:spacing w:after="0" w:line="227"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7"/>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9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00" w:type="dxa"/>
            <w:vAlign w:val="bottom"/>
          </w:tcPr>
          <w:p>
            <w:pPr>
              <w:spacing w:after="0"/>
              <w:rPr>
                <w:sz w:val="12"/>
                <w:szCs w:val="12"/>
                <w:color w:val="auto"/>
              </w:rPr>
            </w:pPr>
          </w:p>
        </w:tc>
        <w:tc>
          <w:tcPr>
            <w:tcW w:w="1180" w:type="dxa"/>
            <w:vAlign w:val="bottom"/>
            <w:gridSpan w:val="3"/>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2"/>
        </w:trPr>
        <w:tc>
          <w:tcPr>
            <w:tcW w:w="582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7"/>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Nonvested restricted shares at December 31, 2019</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(470)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restricted shares at June 30, 2020</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right="40"/>
        <w:spacing w:after="0" w:line="262" w:lineRule="auto"/>
        <w:rPr>
          <w:sz w:val="20"/>
          <w:szCs w:val="20"/>
          <w:color w:val="auto"/>
        </w:rPr>
      </w:pPr>
      <w:r>
        <w:rPr>
          <w:rFonts w:ascii="Times New Roman" w:cs="Times New Roman" w:eastAsia="Times New Roman" w:hAnsi="Times New Roman"/>
          <w:sz w:val="18"/>
          <w:szCs w:val="18"/>
          <w:color w:val="auto"/>
        </w:rPr>
        <w:t>For the six months ended June 30, 2019 and 2020, total stock-based compensation expense related to restricted stock awards was $0.4 million and $0.9 million, respectively. At June 30, 2020, there was $5.1 million of total unrecognized compensation cost related to these restricted shares which is expected to be recognized over the remaining service period of 2.8 years.</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Stock-based compensation is included in the following components of expenses on the accompanying statement of operations.</w:t>
      </w:r>
    </w:p>
    <w:p>
      <w:pPr>
        <w:spacing w:after="0" w:line="227"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33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320" w:type="dxa"/>
            <w:vAlign w:val="bottom"/>
            <w:tcBorders>
              <w:bottom w:val="single" w:sz="8" w:color="CCEEFF"/>
            </w:tcBorders>
            <w:vMerge w:val="continue"/>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and technology</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320" w:type="dxa"/>
            <w:vAlign w:val="bottom"/>
          </w:tcPr>
          <w:p>
            <w:pPr>
              <w:spacing w:after="0"/>
              <w:rPr>
                <w:sz w:val="24"/>
                <w:szCs w:val="24"/>
                <w:color w:val="auto"/>
              </w:rPr>
            </w:pPr>
          </w:p>
        </w:tc>
        <w:tc>
          <w:tcPr>
            <w:tcW w:w="3260" w:type="dxa"/>
            <w:vAlign w:val="bottom"/>
            <w:gridSpan w:val="2"/>
          </w:tcPr>
          <w:p>
            <w:pPr>
              <w:jc w:val="right"/>
              <w:ind w:right="2177"/>
              <w:spacing w:after="0"/>
              <w:rPr>
                <w:sz w:val="20"/>
                <w:szCs w:val="20"/>
                <w:color w:val="auto"/>
              </w:rPr>
            </w:pPr>
            <w:r>
              <w:rPr>
                <w:rFonts w:ascii="Times New Roman" w:cs="Times New Roman" w:eastAsia="Times New Roman" w:hAnsi="Times New Roman"/>
                <w:sz w:val="18"/>
                <w:szCs w:val="18"/>
                <w:color w:val="auto"/>
              </w:rPr>
              <w:t>F-46</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600" w:hanging="426"/>
        <w:spacing w:after="0"/>
        <w:tabs>
          <w:tab w:leader="none" w:pos="60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earnings per share</w:t>
      </w:r>
    </w:p>
    <w:p>
      <w:pPr>
        <w:spacing w:after="0" w:line="117"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computation of earnings per share for the six months ended June 30, 2019 and 2020 is as follows:</w:t>
      </w:r>
    </w:p>
    <w:p>
      <w:pPr>
        <w:spacing w:after="0" w:line="241"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5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0"/>
        </w:trPr>
        <w:tc>
          <w:tcPr>
            <w:tcW w:w="56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4"/>
        </w:trPr>
        <w:tc>
          <w:tcPr>
            <w:tcW w:w="56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54,683</w:t>
            </w:r>
          </w:p>
        </w:tc>
        <w:tc>
          <w:tcPr>
            <w:tcW w:w="120" w:type="dxa"/>
            <w:vAlign w:val="bottom"/>
          </w:tcPr>
          <w:p>
            <w:pPr>
              <w:spacing w:after="0"/>
              <w:rPr>
                <w:sz w:val="18"/>
                <w:szCs w:val="18"/>
                <w:color w:val="auto"/>
              </w:rPr>
            </w:pPr>
          </w:p>
        </w:tc>
      </w:tr>
      <w:tr>
        <w:trPr>
          <w:trHeight w:val="214"/>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Undistributed earnings allocated to convertible preferred stock</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(11,177)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(19,358)</w:t>
            </w:r>
          </w:p>
        </w:tc>
      </w:tr>
      <w:tr>
        <w:trPr>
          <w:trHeight w:val="22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 - basic</w:t>
            </w:r>
          </w:p>
        </w:tc>
        <w:tc>
          <w:tcPr>
            <w:tcW w:w="4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35,325</w:t>
            </w:r>
          </w:p>
        </w:tc>
        <w:tc>
          <w:tcPr>
            <w:tcW w:w="120" w:type="dxa"/>
            <w:vAlign w:val="bottom"/>
          </w:tcPr>
          <w:p>
            <w:pPr>
              <w:spacing w:after="0"/>
              <w:rPr>
                <w:sz w:val="19"/>
                <w:szCs w:val="19"/>
                <w:color w:val="auto"/>
              </w:rPr>
            </w:pPr>
          </w:p>
        </w:tc>
      </w:tr>
      <w:tr>
        <w:trPr>
          <w:trHeight w:val="214"/>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 Undistributed earnings reallocated to holders of common stock</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18"/>
                <w:szCs w:val="18"/>
                <w:color w:val="auto"/>
              </w:rPr>
            </w:pPr>
          </w:p>
        </w:tc>
      </w:tr>
      <w:tr>
        <w:trPr>
          <w:trHeight w:val="22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 - diluted</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35,674</w:t>
            </w:r>
          </w:p>
        </w:tc>
        <w:tc>
          <w:tcPr>
            <w:tcW w:w="12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225,841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230,020</w:t>
            </w:r>
          </w:p>
        </w:tc>
        <w:tc>
          <w:tcPr>
            <w:tcW w:w="120" w:type="dxa"/>
            <w:vAlign w:val="bottom"/>
          </w:tcPr>
          <w:p>
            <w:pPr>
              <w:spacing w:after="0"/>
              <w:rPr>
                <w:sz w:val="18"/>
                <w:szCs w:val="18"/>
                <w:color w:val="auto"/>
              </w:rPr>
            </w:pPr>
          </w:p>
        </w:tc>
      </w:tr>
      <w:tr>
        <w:trPr>
          <w:trHeight w:val="214"/>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impact of stock options and restricted stock awards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120" w:type="dxa"/>
            <w:vAlign w:val="bottom"/>
            <w:shd w:val="clear" w:color="auto" w:fill="CCEEFF"/>
          </w:tcPr>
          <w:p>
            <w:pPr>
              <w:spacing w:after="0"/>
              <w:rPr>
                <w:sz w:val="18"/>
                <w:szCs w:val="18"/>
                <w:color w:val="auto"/>
              </w:rPr>
            </w:pPr>
          </w:p>
        </w:tc>
      </w:tr>
      <w:tr>
        <w:trPr>
          <w:trHeight w:val="22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229,974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236,557</w:t>
            </w:r>
          </w:p>
        </w:tc>
        <w:tc>
          <w:tcPr>
            <w:tcW w:w="12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8"/>
                <w:szCs w:val="18"/>
                <w:color w:val="auto"/>
              </w:rPr>
            </w:pPr>
          </w:p>
        </w:tc>
      </w:tr>
      <w:tr>
        <w:trPr>
          <w:trHeight w:val="21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CEEFF"/>
          </w:tcPr>
          <w:p>
            <w:pPr>
              <w:spacing w:after="0"/>
              <w:rPr>
                <w:sz w:val="18"/>
                <w:szCs w:val="18"/>
                <w:color w:val="auto"/>
              </w:rPr>
            </w:pPr>
          </w:p>
        </w:tc>
      </w:tr>
    </w:tbl>
    <w:p>
      <w:pPr>
        <w:spacing w:after="0" w:line="195" w:lineRule="exact"/>
        <w:rPr>
          <w:sz w:val="20"/>
          <w:szCs w:val="20"/>
          <w:color w:val="auto"/>
        </w:rPr>
      </w:pPr>
    </w:p>
    <w:p>
      <w:pPr>
        <w:ind w:left="600"/>
        <w:spacing w:after="0" w:line="277" w:lineRule="auto"/>
        <w:rPr>
          <w:sz w:val="20"/>
          <w:szCs w:val="20"/>
          <w:color w:val="auto"/>
        </w:rPr>
      </w:pPr>
      <w:r>
        <w:rPr>
          <w:rFonts w:ascii="Times New Roman" w:cs="Times New Roman" w:eastAsia="Times New Roman" w:hAnsi="Times New Roman"/>
          <w:sz w:val="18"/>
          <w:szCs w:val="18"/>
          <w:color w:val="auto"/>
        </w:rPr>
        <w:t>The following weighted-average potentially dilutive shares were excluded from the computation of diluted net income per share for the periods presented because including them would have been antidilutive:</w:t>
      </w:r>
    </w:p>
    <w:p>
      <w:pPr>
        <w:spacing w:after="0" w:line="184"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62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0"/>
        </w:trPr>
        <w:tc>
          <w:tcPr>
            <w:tcW w:w="6220" w:type="dxa"/>
            <w:vAlign w:val="bottom"/>
            <w:tcBorders>
              <w:bottom w:val="single" w:sz="8" w:color="CCEEFF"/>
            </w:tcBorders>
            <w:vMerge w:val="continue"/>
          </w:tcPr>
          <w:p>
            <w:pPr>
              <w:spacing w:after="0"/>
              <w:rPr>
                <w:sz w:val="12"/>
                <w:szCs w:val="12"/>
                <w:color w:val="auto"/>
              </w:rPr>
            </w:pPr>
          </w:p>
        </w:tc>
        <w:tc>
          <w:tcPr>
            <w:tcW w:w="740" w:type="dxa"/>
            <w:vAlign w:val="bottom"/>
            <w:tcBorders>
              <w:top w:val="single" w:sz="8" w:color="auto"/>
              <w:bottom w:val="single" w:sz="8" w:color="auto"/>
            </w:tcBorders>
          </w:tcPr>
          <w:p>
            <w:pPr>
              <w:jc w:val="right"/>
              <w:ind w:right="140"/>
              <w:spacing w:after="0" w:line="141" w:lineRule="exact"/>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7"/>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126,046</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and restricted stock awards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Pro forma earnings per share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computation of unaudited pro forma earnings per share for the six months ended June 30, 2020 is as follows:</w:t>
      </w:r>
    </w:p>
    <w:p>
      <w:pPr>
        <w:spacing w:after="0" w:line="241" w:lineRule="exact"/>
        <w:rPr>
          <w:sz w:val="20"/>
          <w:szCs w:val="20"/>
          <w:color w:val="auto"/>
        </w:rPr>
      </w:pPr>
    </w:p>
    <w:tbl>
      <w:tblPr>
        <w:tblLayout w:type="fixed"/>
        <w:tblInd w:w="1920" w:type="dxa"/>
        <w:tblCellMar>
          <w:top w:w="0" w:type="dxa"/>
          <w:left w:w="0" w:type="dxa"/>
          <w:bottom w:w="0" w:type="dxa"/>
          <w:right w:w="0" w:type="dxa"/>
        </w:tblCellMar>
      </w:tblPr>
      <w:tr>
        <w:trPr>
          <w:trHeight w:val="187"/>
        </w:trPr>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7"/>
                <w:szCs w:val="7"/>
                <w:color w:val="auto"/>
              </w:rPr>
            </w:pPr>
          </w:p>
        </w:tc>
        <w:tc>
          <w:tcPr>
            <w:tcW w:w="6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230,020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8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Adjustment for assumed conversion of convertible preferred stock to common</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w:t>
            </w:r>
          </w:p>
        </w:tc>
        <w:tc>
          <w:tcPr>
            <w:tcW w:w="3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126,046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weighted-average shares - basic</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356,066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impact of stock options and restricted stock awards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weighted-average shares - diluted</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362,603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earnings per share: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28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F-47</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53" w:right="75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600" w:hanging="426"/>
        <w:spacing w:after="0"/>
        <w:tabs>
          <w:tab w:leader="none" w:pos="60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7" w:lineRule="exact"/>
        <w:rPr>
          <w:rFonts w:ascii="Times New Roman" w:cs="Times New Roman" w:eastAsia="Times New Roman" w:hAnsi="Times New Roman"/>
          <w:sz w:val="18"/>
          <w:szCs w:val="18"/>
          <w:b w:val="1"/>
          <w:bCs w:val="1"/>
          <w:color w:val="auto"/>
        </w:rPr>
      </w:pPr>
    </w:p>
    <w:p>
      <w:pPr>
        <w:ind w:left="600" w:right="3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evaluated subsequent events through August 10, 2020, the date these condensed consolidated financial statements were available to be issued and has determined that there are no subsequent events that require disclosure in these condensed consolidated financial statements.</w:t>
      </w:r>
    </w:p>
    <w:p>
      <w:pPr>
        <w:spacing w:after="0" w:line="173"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Subsequent to Date the Condensed Consolidated Financial Statements Were Available to Be Issued</w:t>
      </w:r>
    </w:p>
    <w:p>
      <w:pPr>
        <w:spacing w:after="0" w:line="224" w:lineRule="exact"/>
        <w:rPr>
          <w:rFonts w:ascii="Times New Roman" w:cs="Times New Roman" w:eastAsia="Times New Roman" w:hAnsi="Times New Roman"/>
          <w:sz w:val="18"/>
          <w:szCs w:val="18"/>
          <w:b w:val="1"/>
          <w:bCs w:val="1"/>
          <w:color w:val="auto"/>
        </w:rPr>
      </w:pPr>
    </w:p>
    <w:p>
      <w:pPr>
        <w:ind w:left="600" w:right="6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31, 2020, the Company acquired all of the equity interests of Scriptcycle, LLC, (“Scriptcycle”). Scriptcycle specializes in managing prescription programs and primarily partners with regional retail pharmacy chains to provide discount offerings. The purpose of the acquisition is to help expand the Company’s business capabilities, particularly in respect of its prescription offering. The Company paid $60.1 million related to the acquisition on August 31, 2020, including amounts placed in escrow, from available cash on hand. The aggregate purchase consideration is estimated to be approximately $57.2 million, subject to working capital and other closing adjustments, plus up to $2.9 million in contingent consideration based on the achievement of certain revenue thresholds. Additionally, up to $3.0 million of incremental compensation payments may be payable based on achievement of certain post acquisition revenue targets. In addition, the Company has agreed to issue restricted stock units with a value of $1.0 million and executed a new management incentive bonus plan with payments of up to $3.0 million over the next two years, both subject to the continued employment of certain employees of Scriptcycle following the acquisition. Due to the timing of the acquisition, the initial accounting for the acquisition including the valuation of the contingent consideration is incomplete. As such, the Company is not able to disclose certain information relating to the acquisition including the aggregate fair value of the purchase consideration and the preliminary fair value of assets acquired and liabilities assumed.</w:t>
      </w:r>
    </w:p>
    <w:p>
      <w:pPr>
        <w:spacing w:after="0" w:line="191" w:lineRule="exact"/>
        <w:rPr>
          <w:rFonts w:ascii="Times New Roman" w:cs="Times New Roman" w:eastAsia="Times New Roman" w:hAnsi="Times New Roman"/>
          <w:sz w:val="18"/>
          <w:szCs w:val="18"/>
          <w:b w:val="1"/>
          <w:bCs w:val="1"/>
          <w:color w:val="auto"/>
        </w:rPr>
      </w:pPr>
    </w:p>
    <w:p>
      <w:pPr>
        <w:ind w:left="600" w:right="6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11, 2020, the Board of Directors granted restricted stock units (“RSUs”) for an aggregate of 24,633,066 shares of common stock to the Company’s Co-Chief Executive Officers, subject to the completion of an initial public offering. Each of the Co-Chief Executive Officers received (i) 8,211,022 RSUs that vest based on the achievement of stock price goals ranging from $6.07 per share to $51.28 per share, subject to continued employment through the vest date (the “Performance-Vesting Founder Awards”) and (ii) 4,105,511 RSUs that vest in equal quarterly installments over four years, subject to continued employment through the vest date (the “Time-Vesting Founder Awards”). Any Performance-Vesting Founder Awards that vest will be settled in shares of common stock on the third anniversary after the applicable vesting date or, if earlier, upon a qualifying change in control event. If and when the initial public offering occurs, the estimated grant date fair value of these awards of $533.3 million is expected to be recognized over a weighted average period of 1.2 years, though could be earlier if the stock price goals are achieved earlier than estimated.</w:t>
      </w:r>
    </w:p>
    <w:p>
      <w:pPr>
        <w:spacing w:after="0" w:line="189" w:lineRule="exact"/>
        <w:rPr>
          <w:rFonts w:ascii="Times New Roman" w:cs="Times New Roman" w:eastAsia="Times New Roman" w:hAnsi="Times New Roman"/>
          <w:sz w:val="18"/>
          <w:szCs w:val="18"/>
          <w:b w:val="1"/>
          <w:bCs w:val="1"/>
          <w:color w:val="auto"/>
        </w:rPr>
      </w:pPr>
    </w:p>
    <w:p>
      <w:pPr>
        <w:ind w:left="6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13, 2020, the Company entered into a stock purchase agreement with an existing investor to issue $100.0 million worth of shares of Class A common stock, with the price per share to be equal to the per share price to the public in the Company’s initial public offering of Class A common stock. Closing of the investment is subject to certain customary conditions, including the closing of the initial public offering of Class A common stock. The stock purchase agreement will terminate at any time upon the written consent of the Company and the investor, or on November 11, 2020, if the IPO has not been consummated.</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060"/>
          </w:cols>
          <w:pgMar w:left="320" w:top="454" w:right="519" w:bottom="1440" w:gutter="0" w:footer="0" w:header="0"/>
        </w:sectPr>
      </w:pPr>
    </w:p>
    <w:bookmarkStart w:id="262" w:name="page263"/>
    <w:bookmarkEnd w:id="26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210820</wp:posOffset>
            </wp:positionV>
            <wp:extent cx="7085965" cy="9161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085965" cy="916114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47" w:lineRule="exact"/>
        <w:rPr>
          <w:sz w:val="20"/>
          <w:szCs w:val="20"/>
          <w:color w:val="auto"/>
        </w:rPr>
      </w:pPr>
    </w:p>
    <w:p>
      <w:pPr>
        <w:ind w:left="18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18" w:lineRule="exact"/>
        <w:rPr>
          <w:sz w:val="20"/>
          <w:szCs w:val="20"/>
          <w:color w:val="auto"/>
        </w:rPr>
      </w:pPr>
    </w:p>
    <w:p>
      <w:pPr>
        <w:jc w:val="both"/>
        <w:ind w:left="180" w:right="260" w:firstLine="436"/>
        <w:spacing w:after="0" w:line="285" w:lineRule="auto"/>
        <w:rPr>
          <w:sz w:val="20"/>
          <w:szCs w:val="20"/>
          <w:color w:val="auto"/>
        </w:rPr>
      </w:pPr>
      <w:r>
        <w:rPr>
          <w:rFonts w:ascii="Times New Roman" w:cs="Times New Roman" w:eastAsia="Times New Roman" w:hAnsi="Times New Roman"/>
          <w:sz w:val="17"/>
          <w:szCs w:val="17"/>
          <w:color w:val="auto"/>
        </w:rPr>
        <w:t>The following table indicates the expenses to be incurred in connection with the offering described in this registration statement, other than the underwriting discounts and commissions, all of which will be paid by us. All amounts are estimated except the Securities and Exchange Commission registration fee, the Financial Industry Regulatory Authority, Inc., or FINRA, filing fee and the Nasdaq Global Select Market listing fee.</w:t>
      </w:r>
    </w:p>
    <w:p>
      <w:pPr>
        <w:spacing w:after="0" w:line="179"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7"/>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144,678</w:t>
            </w:r>
          </w:p>
        </w:tc>
        <w:tc>
          <w:tcPr>
            <w:tcW w:w="8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167,693</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Nasdaq Global Select Market listing fee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295,000</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1,900,000</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Blue Sky fees and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Agent’s fees and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1,151,129</w:t>
            </w:r>
          </w:p>
        </w:tc>
        <w:tc>
          <w:tcPr>
            <w:tcW w:w="80" w:type="dxa"/>
            <w:vAlign w:val="bottom"/>
            <w:shd w:val="clear" w:color="auto" w:fill="CCEEFF"/>
          </w:tcPr>
          <w:p>
            <w:pPr>
              <w:spacing w:after="0"/>
              <w:rPr>
                <w:sz w:val="18"/>
                <w:szCs w:val="18"/>
                <w:color w:val="auto"/>
              </w:rPr>
            </w:pPr>
          </w:p>
        </w:tc>
      </w:tr>
      <w:tr>
        <w:trPr>
          <w:trHeight w:val="22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1" w:lineRule="exact"/>
        <w:rPr>
          <w:sz w:val="20"/>
          <w:szCs w:val="20"/>
          <w:color w:val="auto"/>
        </w:rPr>
      </w:pPr>
    </w:p>
    <w:p>
      <w:pPr>
        <w:ind w:left="18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18" w:lineRule="exact"/>
        <w:rPr>
          <w:sz w:val="20"/>
          <w:szCs w:val="20"/>
          <w:color w:val="auto"/>
        </w:rPr>
      </w:pPr>
    </w:p>
    <w:p>
      <w:pPr>
        <w:ind w:left="180" w:firstLine="436"/>
        <w:spacing w:after="0" w:line="265" w:lineRule="auto"/>
        <w:rPr>
          <w:sz w:val="20"/>
          <w:szCs w:val="20"/>
          <w:color w:val="auto"/>
        </w:rPr>
      </w:pPr>
      <w:r>
        <w:rPr>
          <w:rFonts w:ascii="Times New Roman" w:cs="Times New Roman" w:eastAsia="Times New Roman" w:hAnsi="Times New Roman"/>
          <w:sz w:val="17"/>
          <w:szCs w:val="17"/>
          <w:color w:val="auto"/>
        </w:rPr>
        <w:t>The registrant is governed by the Delaware General Corporation Law, or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84" w:lineRule="exact"/>
        <w:rPr>
          <w:sz w:val="20"/>
          <w:szCs w:val="20"/>
          <w:color w:val="auto"/>
        </w:rPr>
      </w:pPr>
    </w:p>
    <w:p>
      <w:pPr>
        <w:jc w:val="both"/>
        <w:ind w:left="180" w:right="220" w:firstLine="436"/>
        <w:spacing w:after="0" w:line="277" w:lineRule="auto"/>
        <w:rPr>
          <w:sz w:val="20"/>
          <w:szCs w:val="20"/>
          <w:color w:val="auto"/>
        </w:rPr>
      </w:pPr>
      <w:r>
        <w:rPr>
          <w:rFonts w:ascii="Times New Roman" w:cs="Times New Roman" w:eastAsia="Times New Roman" w:hAnsi="Times New Roman"/>
          <w:sz w:val="18"/>
          <w:szCs w:val="18"/>
          <w:color w:val="auto"/>
        </w:rPr>
        <w:t>The registrant’s amended and restated certificate of incorporation will authorize the indemnification of its officers and directors, consistent with Section 145 of the DGCL.</w:t>
      </w:r>
    </w:p>
    <w:p>
      <w:pPr>
        <w:spacing w:after="0" w:line="163" w:lineRule="exact"/>
        <w:rPr>
          <w:sz w:val="20"/>
          <w:szCs w:val="20"/>
          <w:color w:val="auto"/>
        </w:rPr>
      </w:pPr>
    </w:p>
    <w:p>
      <w:pPr>
        <w:jc w:val="both"/>
        <w:ind w:left="180" w:right="220" w:firstLine="436"/>
        <w:spacing w:after="0" w:line="285" w:lineRule="auto"/>
        <w:rPr>
          <w:sz w:val="20"/>
          <w:szCs w:val="20"/>
          <w:color w:val="auto"/>
        </w:rPr>
      </w:pPr>
      <w:r>
        <w:rPr>
          <w:rFonts w:ascii="Times New Roman" w:cs="Times New Roman" w:eastAsia="Times New Roman" w:hAnsi="Times New Roman"/>
          <w:sz w:val="17"/>
          <w:szCs w:val="17"/>
          <w:color w:val="auto"/>
        </w:rPr>
        <w:t>Reference is made to Section 102(b)(7) of the DGCL, which enables a corporation in its original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w:t>
      </w:r>
    </w:p>
    <w:p>
      <w:pPr>
        <w:spacing w:after="0" w:line="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60"/>
          </w:cols>
          <w:pgMar w:left="320" w:top="454" w:right="51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360"/>
        <w:spacing w:after="0" w:line="277" w:lineRule="auto"/>
        <w:rPr>
          <w:sz w:val="20"/>
          <w:szCs w:val="20"/>
          <w:color w:val="auto"/>
        </w:rPr>
      </w:pPr>
      <w:r>
        <w:rPr>
          <w:rFonts w:ascii="Times New Roman" w:cs="Times New Roman" w:eastAsia="Times New Roman" w:hAnsi="Times New Roman"/>
          <w:sz w:val="18"/>
          <w:szCs w:val="18"/>
          <w:color w:val="auto"/>
        </w:rPr>
        <w:t>violation of law, (iii) pursuant to Section 174 of the DGCL, which provides for liability of directors for unlawful payments of dividends of unlawful stock purchase or redemptions or (iv) for any transaction from which a director derived an improper personal benefit.</w:t>
      </w:r>
    </w:p>
    <w:p>
      <w:pPr>
        <w:spacing w:after="0" w:line="163" w:lineRule="exact"/>
        <w:rPr>
          <w:sz w:val="20"/>
          <w:szCs w:val="20"/>
          <w:color w:val="auto"/>
        </w:rPr>
      </w:pPr>
    </w:p>
    <w:p>
      <w:pPr>
        <w:ind w:left="180" w:right="80" w:firstLine="436"/>
        <w:spacing w:after="0" w:line="257"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2" w:lineRule="exact"/>
        <w:rPr>
          <w:sz w:val="20"/>
          <w:szCs w:val="20"/>
          <w:color w:val="auto"/>
        </w:rPr>
      </w:pPr>
    </w:p>
    <w:p>
      <w:pPr>
        <w:ind w:left="180" w:right="400" w:firstLine="436"/>
        <w:spacing w:after="0" w:line="277" w:lineRule="auto"/>
        <w:rPr>
          <w:sz w:val="20"/>
          <w:szCs w:val="20"/>
          <w:color w:val="auto"/>
        </w:rPr>
      </w:pPr>
      <w:r>
        <w:rPr>
          <w:rFonts w:ascii="Times New Roman" w:cs="Times New Roman" w:eastAsia="Times New Roman" w:hAnsi="Times New Roman"/>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63" w:lineRule="exact"/>
        <w:rPr>
          <w:sz w:val="20"/>
          <w:szCs w:val="20"/>
          <w:color w:val="auto"/>
        </w:rPr>
      </w:pPr>
    </w:p>
    <w:p>
      <w:pPr>
        <w:jc w:val="both"/>
        <w:ind w:left="180" w:right="160" w:firstLine="436"/>
        <w:spacing w:after="0" w:line="262" w:lineRule="auto"/>
        <w:rPr>
          <w:sz w:val="20"/>
          <w:szCs w:val="20"/>
          <w:color w:val="auto"/>
        </w:rPr>
      </w:pPr>
      <w:r>
        <w:rPr>
          <w:rFonts w:ascii="Times New Roman" w:cs="Times New Roman" w:eastAsia="Times New Roman" w:hAnsi="Times New Roman"/>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and the selling stockholders, within the meaning of the Securities Act against certain liabilities.</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8" w:lineRule="exact"/>
        <w:rPr>
          <w:sz w:val="20"/>
          <w:szCs w:val="20"/>
          <w:color w:val="auto"/>
        </w:rPr>
      </w:pPr>
    </w:p>
    <w:p>
      <w:pPr>
        <w:ind w:left="180" w:right="200" w:firstLine="436"/>
        <w:spacing w:after="0" w:line="262" w:lineRule="auto"/>
        <w:rPr>
          <w:sz w:val="20"/>
          <w:szCs w:val="20"/>
          <w:color w:val="auto"/>
        </w:rPr>
      </w:pPr>
      <w:r>
        <w:rPr>
          <w:rFonts w:ascii="Times New Roman" w:cs="Times New Roman" w:eastAsia="Times New Roman" w:hAnsi="Times New Roman"/>
          <w:sz w:val="18"/>
          <w:szCs w:val="18"/>
          <w:color w:val="auto"/>
        </w:rPr>
        <w:t>Set forth below is information regarding all unregistered securities sold by us since January 1, 2017. Also included is the consideration received by us for such shares and information relating to the section of the Securities Act, or rule of the Securities and Exchange Commission, under which exemption from registration was claimed.</w:t>
      </w:r>
    </w:p>
    <w:p>
      <w:pPr>
        <w:spacing w:after="0" w:line="84" w:lineRule="exact"/>
        <w:rPr>
          <w:sz w:val="20"/>
          <w:szCs w:val="20"/>
          <w:color w:val="auto"/>
        </w:rPr>
      </w:pPr>
    </w:p>
    <w:p>
      <w:pPr>
        <w:ind w:left="1140" w:right="500" w:hanging="539"/>
        <w:spacing w:after="0" w:line="277" w:lineRule="auto"/>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2018, we completed the sale of an aggregate of 126,045,531 shares of our redeemable convertible preferred stock to SLP Geology Aggregator, L.P. for an aggregate purchase price of $748,778,829, or $5.94054 per share.</w:t>
      </w:r>
    </w:p>
    <w:p>
      <w:pPr>
        <w:spacing w:after="0" w:line="69" w:lineRule="exact"/>
        <w:rPr>
          <w:rFonts w:ascii="Times New Roman" w:cs="Times New Roman" w:eastAsia="Times New Roman" w:hAnsi="Times New Roman"/>
          <w:sz w:val="18"/>
          <w:szCs w:val="18"/>
          <w:color w:val="auto"/>
        </w:rPr>
      </w:pPr>
    </w:p>
    <w:p>
      <w:pPr>
        <w:ind w:left="1140" w:right="480" w:hanging="539"/>
        <w:spacing w:after="0" w:line="277" w:lineRule="auto"/>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2018, we issued 141,339,650 shares of our common stock upon conversion of 5,653,586 shares of preferred stock, which conversion was exempt under Section 3(a)(9) of the Securities Act.</w:t>
      </w:r>
    </w:p>
    <w:p>
      <w:pPr>
        <w:spacing w:after="0" w:line="69" w:lineRule="exact"/>
        <w:rPr>
          <w:rFonts w:ascii="Times New Roman" w:cs="Times New Roman" w:eastAsia="Times New Roman" w:hAnsi="Times New Roman"/>
          <w:sz w:val="18"/>
          <w:szCs w:val="18"/>
          <w:color w:val="auto"/>
        </w:rPr>
      </w:pPr>
    </w:p>
    <w:p>
      <w:pPr>
        <w:ind w:left="1140" w:right="140" w:hanging="539"/>
        <w:spacing w:after="0" w:line="262" w:lineRule="auto"/>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2017, we have granted stock options and stock awards to employees, directors and consultants, covering an aggregate of 28,497,739 shares of our common stock, having exercise prices ranging from $2.1808 to $6.84 per share, in connection with services provided to us by such parties.</w:t>
      </w:r>
    </w:p>
    <w:p>
      <w:pPr>
        <w:spacing w:after="0" w:line="83" w:lineRule="exact"/>
        <w:rPr>
          <w:rFonts w:ascii="Times New Roman" w:cs="Times New Roman" w:eastAsia="Times New Roman" w:hAnsi="Times New Roman"/>
          <w:sz w:val="18"/>
          <w:szCs w:val="18"/>
          <w:color w:val="auto"/>
        </w:rPr>
      </w:pPr>
    </w:p>
    <w:p>
      <w:pPr>
        <w:ind w:left="1140" w:right="40" w:hanging="539"/>
        <w:spacing w:after="0" w:line="277" w:lineRule="auto"/>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2017, we have sold an aggregate of 13,813,773 shares of our common stock to employees, directors and consultants upon their exercise of stock options and stock awards, for aggregate cash consideration of approximately $11,318,432.</w:t>
      </w:r>
    </w:p>
    <w:p>
      <w:pPr>
        <w:spacing w:after="0" w:line="69" w:lineRule="exact"/>
        <w:rPr>
          <w:rFonts w:ascii="Times New Roman" w:cs="Times New Roman" w:eastAsia="Times New Roman" w:hAnsi="Times New Roman"/>
          <w:sz w:val="18"/>
          <w:szCs w:val="18"/>
          <w:color w:val="auto"/>
        </w:rPr>
      </w:pPr>
    </w:p>
    <w:p>
      <w:pPr>
        <w:ind w:left="1140" w:right="380" w:hanging="539"/>
        <w:spacing w:after="0" w:line="257" w:lineRule="auto"/>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2019, we (i) granted stock options covering an aggregate of 757,504 shares of our common stock, having an exercise price of $5.94054 per share in connection with our acquisition of a company and as consideration to individuals who were employees and managers of such company, and (ii) issued 1,878,588 shares of restricted common stock in connection with the acquisition of such company.</w:t>
      </w:r>
    </w:p>
    <w:p>
      <w:pPr>
        <w:spacing w:after="0" w:line="88" w:lineRule="exact"/>
        <w:rPr>
          <w:rFonts w:ascii="Times New Roman" w:cs="Times New Roman" w:eastAsia="Times New Roman" w:hAnsi="Times New Roman"/>
          <w:sz w:val="18"/>
          <w:szCs w:val="18"/>
          <w:color w:val="auto"/>
        </w:rPr>
      </w:pPr>
    </w:p>
    <w:p>
      <w:pPr>
        <w:ind w:left="1140" w:right="240" w:hanging="539"/>
        <w:spacing w:after="0" w:line="257" w:lineRule="auto"/>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2019, we (i) granted stock options covering an aggregate of 841,675 shares of our common stock, having an exercise price of $5.94054 per share, and (ii) issued and sold 273,319 shares of our common stock for an aggregate purchase price of $1,623,664, or $5.94054 per share, in each case in connection with our acquisition of the assets of a company and as consideration to individuals who were employees and managers of such company.</w:t>
      </w:r>
    </w:p>
    <w:p>
      <w:pPr>
        <w:spacing w:after="0" w:line="88" w:lineRule="exact"/>
        <w:rPr>
          <w:rFonts w:ascii="Times New Roman" w:cs="Times New Roman" w:eastAsia="Times New Roman" w:hAnsi="Times New Roman"/>
          <w:sz w:val="18"/>
          <w:szCs w:val="18"/>
          <w:color w:val="auto"/>
        </w:rPr>
      </w:pPr>
    </w:p>
    <w:p>
      <w:pPr>
        <w:ind w:left="1140" w:right="240" w:hanging="539"/>
        <w:spacing w:after="0" w:line="262" w:lineRule="auto"/>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2020, we granted 38,461 shares of restricted stock units of our common stock, based on an assumed initial public offering price of $26.00 per share, which is the midpoint of the estimated offering price range set forth on the cover page of this prospectus, in connection with the closing of a recent acquisition.</w:t>
      </w:r>
    </w:p>
    <w:p>
      <w:pPr>
        <w:spacing w:after="0" w:line="83" w:lineRule="exact"/>
        <w:rPr>
          <w:rFonts w:ascii="Times New Roman" w:cs="Times New Roman" w:eastAsia="Times New Roman" w:hAnsi="Times New Roman"/>
          <w:sz w:val="18"/>
          <w:szCs w:val="18"/>
          <w:color w:val="auto"/>
        </w:rPr>
      </w:pPr>
    </w:p>
    <w:p>
      <w:pPr>
        <w:ind w:left="1140" w:hanging="539"/>
        <w:spacing w:after="0" w:line="277" w:lineRule="auto"/>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11, 2020, we granted 24,633,066 shares of restricted stock units of our common stock to each of the Co-Founders, subject to the completion of an initial public offering.</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60"/>
          </w:cols>
          <w:pgMar w:left="320" w:top="454" w:right="51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80" w:right="60" w:firstLine="436"/>
        <w:spacing w:after="0" w:line="270" w:lineRule="auto"/>
        <w:rPr>
          <w:sz w:val="20"/>
          <w:szCs w:val="20"/>
          <w:color w:val="auto"/>
        </w:rPr>
      </w:pPr>
      <w:r>
        <w:rPr>
          <w:rFonts w:ascii="Times New Roman" w:cs="Times New Roman" w:eastAsia="Times New Roman" w:hAnsi="Times New Roman"/>
          <w:sz w:val="17"/>
          <w:szCs w:val="17"/>
          <w:color w:val="auto"/>
        </w:rPr>
        <w:t>Unless otherwise stated, the issuances of the above securities were deemed to be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w:t>
      </w:r>
    </w:p>
    <w:p>
      <w:pPr>
        <w:ind w:left="180" w:right="120" w:hanging="6"/>
        <w:spacing w:after="0" w:line="284" w:lineRule="auto"/>
        <w:tabs>
          <w:tab w:leader="none" w:pos="536"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Individuals who purchased securities as described above represented their intention to acquire the securities for investment only and not with a view to or for sale in connection with any distribution thereof, and appropriate legends were affixed to the share certificates issued in such transactions.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w:t>
      </w:r>
    </w:p>
    <w:p>
      <w:pPr>
        <w:spacing w:after="0" w:line="3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31" w:lineRule="exact"/>
        <w:rPr>
          <w:sz w:val="20"/>
          <w:szCs w:val="20"/>
          <w:color w:val="auto"/>
        </w:rPr>
      </w:pPr>
    </w:p>
    <w:p>
      <w:pPr>
        <w:ind w:left="600" w:hanging="426"/>
        <w:spacing w:after="0"/>
        <w:tabs>
          <w:tab w:leader="none" w:pos="6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w:t>
      </w:r>
    </w:p>
    <w:p>
      <w:pPr>
        <w:spacing w:after="0" w:line="22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2"/>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80" w:type="dxa"/>
            <w:vAlign w:val="bottom"/>
          </w:tcPr>
          <w:p>
            <w:pPr>
              <w:spacing w:after="0"/>
              <w:rPr>
                <w:sz w:val="14"/>
                <w:szCs w:val="14"/>
                <w:color w:val="auto"/>
              </w:rPr>
            </w:pPr>
          </w:p>
        </w:tc>
        <w:tc>
          <w:tcPr>
            <w:tcW w:w="98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760" w:type="dxa"/>
            <w:vAlign w:val="bottom"/>
            <w:shd w:val="clear" w:color="auto" w:fill="000000"/>
          </w:tcPr>
          <w:p>
            <w:pPr>
              <w:spacing w:after="0"/>
              <w:rPr>
                <w:sz w:val="2"/>
                <w:szCs w:val="2"/>
                <w:color w:val="auto"/>
              </w:rPr>
            </w:pPr>
          </w:p>
        </w:tc>
        <w:tc>
          <w:tcPr>
            <w:tcW w:w="64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Pr>
          <w:p>
            <w:pPr>
              <w:spacing w:after="0"/>
              <w:rPr>
                <w:sz w:val="24"/>
                <w:szCs w:val="24"/>
                <w:color w:val="auto"/>
              </w:rPr>
            </w:pPr>
          </w:p>
        </w:tc>
        <w:tc>
          <w:tcPr>
            <w:tcW w:w="9820" w:type="dxa"/>
            <w:vAlign w:val="bottom"/>
            <w:gridSpan w:val="5"/>
          </w:tcPr>
          <w:p>
            <w:pPr>
              <w:spacing w:after="0"/>
              <w:rPr>
                <w:rFonts w:ascii="Times New Roman" w:cs="Times New Roman" w:eastAsia="Times New Roman" w:hAnsi="Times New Roman"/>
                <w:sz w:val="18"/>
                <w:szCs w:val="18"/>
                <w:u w:val="single" w:color="auto"/>
                <w:color w:val="0000EE"/>
              </w:rPr>
            </w:pPr>
            <w:hyperlink w:anchor="page271">
              <w:r>
                <w:rPr>
                  <w:rFonts w:ascii="Times New Roman" w:cs="Times New Roman" w:eastAsia="Times New Roman" w:hAnsi="Times New Roman"/>
                  <w:sz w:val="18"/>
                  <w:szCs w:val="18"/>
                  <w:u w:val="single" w:color="auto"/>
                  <w:color w:val="0000EE"/>
                </w:rPr>
                <w:t>Form of Underwriting Agreement</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24"/>
                <w:szCs w:val="24"/>
                <w:color w:val="auto"/>
              </w:rPr>
            </w:pPr>
          </w:p>
        </w:tc>
        <w:tc>
          <w:tcPr>
            <w:tcW w:w="9820" w:type="dxa"/>
            <w:vAlign w:val="bottom"/>
            <w:gridSpan w:val="5"/>
          </w:tcPr>
          <w:p>
            <w:pPr>
              <w:spacing w:after="0"/>
              <w:rPr>
                <w:rFonts w:ascii="Times New Roman" w:cs="Times New Roman" w:eastAsia="Times New Roman" w:hAnsi="Times New Roman"/>
                <w:sz w:val="18"/>
                <w:szCs w:val="18"/>
                <w:u w:val="single" w:color="auto"/>
                <w:color w:val="0000EE"/>
              </w:rPr>
            </w:pPr>
            <w:hyperlink r:id="rId356">
              <w:r>
                <w:rPr>
                  <w:rFonts w:ascii="Times New Roman" w:cs="Times New Roman" w:eastAsia="Times New Roman" w:hAnsi="Times New Roman"/>
                  <w:sz w:val="18"/>
                  <w:szCs w:val="18"/>
                  <w:u w:val="single" w:color="auto"/>
                  <w:color w:val="0000EE"/>
                </w:rPr>
                <w:t>Fifth Amended and Restated Certificate of Incorporation of GoodRx Holdings, Inc., as currently in effect</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80" w:type="dxa"/>
            <w:vAlign w:val="bottom"/>
          </w:tcPr>
          <w:p>
            <w:pPr>
              <w:spacing w:after="0"/>
              <w:rPr>
                <w:sz w:val="24"/>
                <w:szCs w:val="24"/>
                <w:color w:val="auto"/>
              </w:rPr>
            </w:pPr>
          </w:p>
        </w:tc>
        <w:tc>
          <w:tcPr>
            <w:tcW w:w="9820" w:type="dxa"/>
            <w:vAlign w:val="bottom"/>
            <w:gridSpan w:val="5"/>
          </w:tcPr>
          <w:p>
            <w:pPr>
              <w:spacing w:after="0"/>
              <w:rPr>
                <w:rFonts w:ascii="Times New Roman" w:cs="Times New Roman" w:eastAsia="Times New Roman" w:hAnsi="Times New Roman"/>
                <w:sz w:val="18"/>
                <w:szCs w:val="18"/>
                <w:u w:val="single" w:color="auto"/>
                <w:color w:val="0000EE"/>
                <w:w w:val="99"/>
              </w:rPr>
            </w:pPr>
            <w:hyperlink r:id="rId357">
              <w:r>
                <w:rPr>
                  <w:rFonts w:ascii="Times New Roman" w:cs="Times New Roman" w:eastAsia="Times New Roman" w:hAnsi="Times New Roman"/>
                  <w:sz w:val="18"/>
                  <w:szCs w:val="18"/>
                  <w:u w:val="single" w:color="auto"/>
                  <w:color w:val="0000EE"/>
                  <w:w w:val="99"/>
                </w:rPr>
                <w:t>Certificate of Amendment of Fifth Amended and Restated Certificate of Incorporation of GoodRx Holdings, Inc., dated January 31, 2020</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24"/>
                <w:szCs w:val="24"/>
                <w:color w:val="auto"/>
              </w:rPr>
            </w:pPr>
          </w:p>
        </w:tc>
        <w:tc>
          <w:tcPr>
            <w:tcW w:w="9820" w:type="dxa"/>
            <w:vAlign w:val="bottom"/>
            <w:gridSpan w:val="5"/>
          </w:tcPr>
          <w:p>
            <w:pPr>
              <w:spacing w:after="0"/>
              <w:rPr>
                <w:rFonts w:ascii="Times New Roman" w:cs="Times New Roman" w:eastAsia="Times New Roman" w:hAnsi="Times New Roman"/>
                <w:sz w:val="18"/>
                <w:szCs w:val="18"/>
                <w:u w:val="single" w:color="auto"/>
                <w:color w:val="0000EE"/>
              </w:rPr>
            </w:pPr>
            <w:hyperlink w:anchor="page329">
              <w:r>
                <w:rPr>
                  <w:rFonts w:ascii="Times New Roman" w:cs="Times New Roman" w:eastAsia="Times New Roman" w:hAnsi="Times New Roman"/>
                  <w:sz w:val="18"/>
                  <w:szCs w:val="18"/>
                  <w:u w:val="single" w:color="auto"/>
                  <w:color w:val="0000EE"/>
                </w:rPr>
                <w:t>Form of Amended and Restated Certificate of Incorporation of GoodRx Holdings, Inc., to be effective upon the closing of this offering</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tcPr>
          <w:p>
            <w:pPr>
              <w:spacing w:after="0"/>
              <w:rPr>
                <w:sz w:val="24"/>
                <w:szCs w:val="24"/>
                <w:color w:val="auto"/>
              </w:rPr>
            </w:pPr>
          </w:p>
        </w:tc>
        <w:tc>
          <w:tcPr>
            <w:tcW w:w="9820" w:type="dxa"/>
            <w:vAlign w:val="bottom"/>
            <w:gridSpan w:val="5"/>
          </w:tcPr>
          <w:p>
            <w:pPr>
              <w:spacing w:after="0"/>
              <w:rPr>
                <w:rFonts w:ascii="Times New Roman" w:cs="Times New Roman" w:eastAsia="Times New Roman" w:hAnsi="Times New Roman"/>
                <w:sz w:val="18"/>
                <w:szCs w:val="18"/>
                <w:u w:val="single" w:color="auto"/>
                <w:color w:val="0000EE"/>
              </w:rPr>
            </w:pPr>
            <w:hyperlink r:id="rId358">
              <w:r>
                <w:rPr>
                  <w:rFonts w:ascii="Times New Roman" w:cs="Times New Roman" w:eastAsia="Times New Roman" w:hAnsi="Times New Roman"/>
                  <w:sz w:val="18"/>
                  <w:szCs w:val="18"/>
                  <w:u w:val="single" w:color="auto"/>
                  <w:color w:val="0000EE"/>
                </w:rPr>
                <w:t>Amended and Restated Bylaws of GoodRx Holdings, Inc., as currently in effect</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580" w:type="dxa"/>
            <w:vAlign w:val="bottom"/>
          </w:tcPr>
          <w:p>
            <w:pPr>
              <w:spacing w:after="0"/>
              <w:rPr>
                <w:sz w:val="24"/>
                <w:szCs w:val="24"/>
                <w:color w:val="auto"/>
              </w:rPr>
            </w:pPr>
          </w:p>
        </w:tc>
        <w:tc>
          <w:tcPr>
            <w:tcW w:w="9820" w:type="dxa"/>
            <w:vAlign w:val="bottom"/>
            <w:gridSpan w:val="5"/>
          </w:tcPr>
          <w:p>
            <w:pPr>
              <w:spacing w:after="0"/>
              <w:rPr>
                <w:rFonts w:ascii="Times New Roman" w:cs="Times New Roman" w:eastAsia="Times New Roman" w:hAnsi="Times New Roman"/>
                <w:sz w:val="18"/>
                <w:szCs w:val="18"/>
                <w:u w:val="single" w:color="auto"/>
                <w:color w:val="0000EE"/>
              </w:rPr>
            </w:pPr>
            <w:hyperlink w:anchor="page349">
              <w:r>
                <w:rPr>
                  <w:rFonts w:ascii="Times New Roman" w:cs="Times New Roman" w:eastAsia="Times New Roman" w:hAnsi="Times New Roman"/>
                  <w:sz w:val="18"/>
                  <w:szCs w:val="18"/>
                  <w:u w:val="single" w:color="auto"/>
                  <w:color w:val="0000EE"/>
                </w:rPr>
                <w:t>Form of Amended and Restated Bylaws of GoodRx Holdings, Inc., to be effective upon the closing of this offering</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24"/>
                <w:szCs w:val="24"/>
                <w:color w:val="auto"/>
              </w:rPr>
            </w:pPr>
          </w:p>
        </w:tc>
        <w:tc>
          <w:tcPr>
            <w:tcW w:w="9820" w:type="dxa"/>
            <w:vAlign w:val="bottom"/>
            <w:gridSpan w:val="5"/>
          </w:tcPr>
          <w:p>
            <w:pPr>
              <w:spacing w:after="0"/>
              <w:rPr>
                <w:rFonts w:ascii="Times New Roman" w:cs="Times New Roman" w:eastAsia="Times New Roman" w:hAnsi="Times New Roman"/>
                <w:sz w:val="18"/>
                <w:szCs w:val="18"/>
                <w:u w:val="single" w:color="auto"/>
                <w:color w:val="0000EE"/>
              </w:rPr>
            </w:pPr>
            <w:hyperlink r:id="rId359">
              <w:r>
                <w:rPr>
                  <w:rFonts w:ascii="Times New Roman" w:cs="Times New Roman" w:eastAsia="Times New Roman" w:hAnsi="Times New Roman"/>
                  <w:sz w:val="18"/>
                  <w:szCs w:val="18"/>
                  <w:u w:val="single" w:color="auto"/>
                  <w:color w:val="0000EE"/>
                </w:rPr>
                <w:t>Form of Certificate of Class A Common Stock</w:t>
              </w:r>
            </w:hyperlink>
          </w:p>
        </w:tc>
        <w:tc>
          <w:tcPr>
            <w:tcW w:w="0" w:type="dxa"/>
            <w:vAlign w:val="bottom"/>
          </w:tcPr>
          <w:p>
            <w:pPr>
              <w:spacing w:after="0"/>
              <w:rPr>
                <w:sz w:val="1"/>
                <w:szCs w:val="1"/>
                <w:color w:val="auto"/>
              </w:rPr>
            </w:pPr>
          </w:p>
        </w:tc>
      </w:tr>
      <w:tr>
        <w:trPr>
          <w:trHeight w:val="28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80" w:type="dxa"/>
            <w:vAlign w:val="bottom"/>
          </w:tcPr>
          <w:p>
            <w:pPr>
              <w:spacing w:after="0"/>
              <w:rPr>
                <w:sz w:val="24"/>
                <w:szCs w:val="24"/>
                <w:color w:val="auto"/>
              </w:rPr>
            </w:pPr>
          </w:p>
        </w:tc>
        <w:tc>
          <w:tcPr>
            <w:tcW w:w="9820" w:type="dxa"/>
            <w:vAlign w:val="bottom"/>
            <w:gridSpan w:val="5"/>
          </w:tcPr>
          <w:p>
            <w:pPr>
              <w:spacing w:after="0"/>
              <w:rPr>
                <w:rFonts w:ascii="Times New Roman" w:cs="Times New Roman" w:eastAsia="Times New Roman" w:hAnsi="Times New Roman"/>
                <w:sz w:val="18"/>
                <w:szCs w:val="18"/>
                <w:color w:val="0000EE"/>
              </w:rPr>
            </w:pPr>
            <w:hyperlink r:id="rId360">
              <w:r>
                <w:rPr>
                  <w:rFonts w:ascii="Times New Roman" w:cs="Times New Roman" w:eastAsia="Times New Roman" w:hAnsi="Times New Roman"/>
                  <w:sz w:val="18"/>
                  <w:szCs w:val="18"/>
                  <w:color w:val="0000EE"/>
                </w:rPr>
                <w:t>Amended and Restated Stockholders Agreement by and between GoodRx Holdings, Inc. and certain security holders of GoodRx</w:t>
              </w:r>
            </w:hyperlink>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180" w:type="dxa"/>
            <w:vAlign w:val="bottom"/>
            <w:tcBorders>
              <w:top w:val="single" w:sz="8" w:color="0000EE"/>
            </w:tcBorders>
            <w:gridSpan w:val="3"/>
          </w:tcPr>
          <w:p>
            <w:pPr>
              <w:spacing w:after="0" w:line="194" w:lineRule="exact"/>
              <w:rPr>
                <w:rFonts w:ascii="Times New Roman" w:cs="Times New Roman" w:eastAsia="Times New Roman" w:hAnsi="Times New Roman"/>
                <w:sz w:val="18"/>
                <w:szCs w:val="18"/>
                <w:color w:val="0000EE"/>
              </w:rPr>
            </w:pPr>
            <w:hyperlink r:id="rId360">
              <w:r>
                <w:rPr>
                  <w:rFonts w:ascii="Times New Roman" w:cs="Times New Roman" w:eastAsia="Times New Roman" w:hAnsi="Times New Roman"/>
                  <w:sz w:val="18"/>
                  <w:szCs w:val="18"/>
                  <w:color w:val="0000EE"/>
                </w:rPr>
                <w:t>Holdings, Inc., dated October 12, 2018</w:t>
              </w:r>
            </w:hyperlink>
          </w:p>
        </w:tc>
        <w:tc>
          <w:tcPr>
            <w:tcW w:w="6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80" w:type="dxa"/>
            <w:vAlign w:val="bottom"/>
          </w:tcPr>
          <w:p>
            <w:pPr>
              <w:spacing w:after="0"/>
              <w:rPr>
                <w:sz w:val="24"/>
                <w:szCs w:val="24"/>
                <w:color w:val="auto"/>
              </w:rPr>
            </w:pPr>
          </w:p>
        </w:tc>
        <w:tc>
          <w:tcPr>
            <w:tcW w:w="2780" w:type="dxa"/>
            <w:vAlign w:val="bottom"/>
            <w:tcBorders>
              <w:top w:val="single" w:sz="8" w:color="0000EE"/>
            </w:tcBorders>
            <w:gridSpan w:val="2"/>
          </w:tcPr>
          <w:p>
            <w:pPr>
              <w:spacing w:after="0"/>
              <w:rPr>
                <w:rFonts w:ascii="Times New Roman" w:cs="Times New Roman" w:eastAsia="Times New Roman" w:hAnsi="Times New Roman"/>
                <w:sz w:val="18"/>
                <w:szCs w:val="18"/>
                <w:u w:val="single" w:color="auto"/>
                <w:color w:val="0000EE"/>
              </w:rPr>
            </w:pPr>
            <w:hyperlink w:anchor="page377">
              <w:r>
                <w:rPr>
                  <w:rFonts w:ascii="Times New Roman" w:cs="Times New Roman" w:eastAsia="Times New Roman" w:hAnsi="Times New Roman"/>
                  <w:sz w:val="18"/>
                  <w:szCs w:val="18"/>
                  <w:u w:val="single" w:color="auto"/>
                  <w:color w:val="0000EE"/>
                </w:rPr>
                <w:t>Form of Stockholders Agreement</w:t>
              </w:r>
            </w:hyperlink>
          </w:p>
        </w:tc>
        <w:tc>
          <w:tcPr>
            <w:tcW w:w="70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80" w:type="dxa"/>
            <w:vAlign w:val="bottom"/>
          </w:tcPr>
          <w:p>
            <w:pPr>
              <w:spacing w:after="0"/>
              <w:rPr>
                <w:sz w:val="24"/>
                <w:szCs w:val="24"/>
                <w:color w:val="auto"/>
              </w:rPr>
            </w:pPr>
          </w:p>
        </w:tc>
        <w:tc>
          <w:tcPr>
            <w:tcW w:w="9820" w:type="dxa"/>
            <w:vAlign w:val="bottom"/>
            <w:gridSpan w:val="5"/>
          </w:tcPr>
          <w:p>
            <w:pPr>
              <w:spacing w:after="0"/>
              <w:rPr>
                <w:rFonts w:ascii="Times New Roman" w:cs="Times New Roman" w:eastAsia="Times New Roman" w:hAnsi="Times New Roman"/>
                <w:sz w:val="18"/>
                <w:szCs w:val="18"/>
                <w:color w:val="0000EE"/>
              </w:rPr>
            </w:pPr>
            <w:hyperlink r:id="rId361">
              <w:r>
                <w:rPr>
                  <w:rFonts w:ascii="Times New Roman" w:cs="Times New Roman" w:eastAsia="Times New Roman" w:hAnsi="Times New Roman"/>
                  <w:sz w:val="18"/>
                  <w:szCs w:val="18"/>
                  <w:color w:val="0000EE"/>
                </w:rPr>
                <w:t>Amended and Restated Investor Rights Agreement by and between GoodRx Holdings, Inc. and certain security holders of GoodRx</w:t>
              </w:r>
            </w:hyperlink>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340" w:type="dxa"/>
            <w:vAlign w:val="bottom"/>
            <w:tcBorders>
              <w:top w:val="single" w:sz="8" w:color="0000EE"/>
            </w:tcBorders>
            <w:gridSpan w:val="4"/>
          </w:tcPr>
          <w:p>
            <w:pPr>
              <w:spacing w:after="0" w:line="194" w:lineRule="exact"/>
              <w:rPr>
                <w:rFonts w:ascii="Times New Roman" w:cs="Times New Roman" w:eastAsia="Times New Roman" w:hAnsi="Times New Roman"/>
                <w:sz w:val="18"/>
                <w:szCs w:val="18"/>
                <w:color w:val="0000EE"/>
              </w:rPr>
            </w:pPr>
            <w:hyperlink r:id="rId361">
              <w:r>
                <w:rPr>
                  <w:rFonts w:ascii="Times New Roman" w:cs="Times New Roman" w:eastAsia="Times New Roman" w:hAnsi="Times New Roman"/>
                  <w:sz w:val="18"/>
                  <w:szCs w:val="18"/>
                  <w:color w:val="0000EE"/>
                </w:rPr>
                <w:t>Holdings, Inc., dated October 12, 2018</w:t>
              </w:r>
            </w:hyperlink>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80" w:type="dxa"/>
            <w:vAlign w:val="bottom"/>
          </w:tcPr>
          <w:p>
            <w:pPr>
              <w:spacing w:after="0"/>
              <w:rPr>
                <w:sz w:val="24"/>
                <w:szCs w:val="24"/>
                <w:color w:val="auto"/>
              </w:rPr>
            </w:pPr>
          </w:p>
        </w:tc>
        <w:tc>
          <w:tcPr>
            <w:tcW w:w="2780" w:type="dxa"/>
            <w:vAlign w:val="bottom"/>
            <w:tcBorders>
              <w:top w:val="single" w:sz="8" w:color="0000EE"/>
            </w:tcBorders>
            <w:gridSpan w:val="2"/>
          </w:tcPr>
          <w:p>
            <w:pPr>
              <w:spacing w:after="0"/>
              <w:rPr>
                <w:rFonts w:ascii="Times New Roman" w:cs="Times New Roman" w:eastAsia="Times New Roman" w:hAnsi="Times New Roman"/>
                <w:sz w:val="18"/>
                <w:szCs w:val="18"/>
                <w:u w:val="single" w:color="auto"/>
                <w:color w:val="0000EE"/>
              </w:rPr>
            </w:pPr>
            <w:hyperlink w:anchor="page408">
              <w:r>
                <w:rPr>
                  <w:rFonts w:ascii="Times New Roman" w:cs="Times New Roman" w:eastAsia="Times New Roman" w:hAnsi="Times New Roman"/>
                  <w:sz w:val="18"/>
                  <w:szCs w:val="18"/>
                  <w:u w:val="single" w:color="auto"/>
                  <w:color w:val="0000EE"/>
                </w:rPr>
                <w:t>Opinion of Latham &amp; Watkins LLP</w:t>
              </w:r>
            </w:hyperlink>
          </w:p>
        </w:tc>
        <w:tc>
          <w:tcPr>
            <w:tcW w:w="70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spacing w:after="0"/>
              <w:rPr>
                <w:sz w:val="24"/>
                <w:szCs w:val="24"/>
                <w:color w:val="auto"/>
              </w:rPr>
            </w:pPr>
          </w:p>
        </w:tc>
        <w:tc>
          <w:tcPr>
            <w:tcW w:w="9820" w:type="dxa"/>
            <w:vAlign w:val="bottom"/>
            <w:gridSpan w:val="5"/>
          </w:tcPr>
          <w:p>
            <w:pPr>
              <w:spacing w:after="0"/>
              <w:rPr>
                <w:rFonts w:ascii="Times New Roman" w:cs="Times New Roman" w:eastAsia="Times New Roman" w:hAnsi="Times New Roman"/>
                <w:sz w:val="18"/>
                <w:szCs w:val="18"/>
                <w:u w:val="single" w:color="auto"/>
                <w:color w:val="0000EE"/>
              </w:rPr>
            </w:pPr>
            <w:hyperlink w:anchor="page410">
              <w:r>
                <w:rPr>
                  <w:rFonts w:ascii="Times New Roman" w:cs="Times New Roman" w:eastAsia="Times New Roman" w:hAnsi="Times New Roman"/>
                  <w:sz w:val="18"/>
                  <w:szCs w:val="18"/>
                  <w:u w:val="single" w:color="auto"/>
                  <w:color w:val="0000EE"/>
                </w:rPr>
                <w:t>Form of Indemnification Agreement between GoodRx Holdings, Inc. and its directors and officers</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80" w:type="dxa"/>
            <w:vAlign w:val="bottom"/>
          </w:tcPr>
          <w:p>
            <w:pPr>
              <w:spacing w:after="0"/>
              <w:rPr>
                <w:sz w:val="24"/>
                <w:szCs w:val="24"/>
                <w:color w:val="auto"/>
              </w:rPr>
            </w:pPr>
          </w:p>
        </w:tc>
        <w:tc>
          <w:tcPr>
            <w:tcW w:w="9820" w:type="dxa"/>
            <w:vAlign w:val="bottom"/>
            <w:gridSpan w:val="5"/>
          </w:tcPr>
          <w:p>
            <w:pPr>
              <w:spacing w:after="0"/>
              <w:rPr>
                <w:rFonts w:ascii="Times New Roman" w:cs="Times New Roman" w:eastAsia="Times New Roman" w:hAnsi="Times New Roman"/>
                <w:sz w:val="18"/>
                <w:szCs w:val="18"/>
                <w:u w:val="single" w:color="auto"/>
                <w:color w:val="0000EE"/>
              </w:rPr>
            </w:pPr>
            <w:hyperlink w:anchor="page428">
              <w:r>
                <w:rPr>
                  <w:rFonts w:ascii="Times New Roman" w:cs="Times New Roman" w:eastAsia="Times New Roman" w:hAnsi="Times New Roman"/>
                  <w:sz w:val="18"/>
                  <w:szCs w:val="18"/>
                  <w:u w:val="single" w:color="auto"/>
                  <w:color w:val="0000EE"/>
                </w:rPr>
                <w:t>Fifth Amended and Restated 2015 Equity Incentive Plan and related form agreements</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80" w:type="dxa"/>
            <w:vAlign w:val="bottom"/>
          </w:tcPr>
          <w:p>
            <w:pPr>
              <w:spacing w:after="0"/>
              <w:rPr>
                <w:sz w:val="24"/>
                <w:szCs w:val="24"/>
                <w:color w:val="auto"/>
              </w:rPr>
            </w:pPr>
          </w:p>
        </w:tc>
        <w:tc>
          <w:tcPr>
            <w:tcW w:w="9820" w:type="dxa"/>
            <w:vAlign w:val="bottom"/>
            <w:gridSpan w:val="5"/>
          </w:tcPr>
          <w:p>
            <w:pPr>
              <w:spacing w:after="0"/>
              <w:rPr>
                <w:rFonts w:ascii="Times New Roman" w:cs="Times New Roman" w:eastAsia="Times New Roman" w:hAnsi="Times New Roman"/>
                <w:sz w:val="18"/>
                <w:szCs w:val="18"/>
                <w:u w:val="single" w:color="auto"/>
                <w:color w:val="0000EE"/>
              </w:rPr>
            </w:pPr>
            <w:hyperlink w:anchor="page499">
              <w:r>
                <w:rPr>
                  <w:rFonts w:ascii="Times New Roman" w:cs="Times New Roman" w:eastAsia="Times New Roman" w:hAnsi="Times New Roman"/>
                  <w:sz w:val="18"/>
                  <w:szCs w:val="18"/>
                  <w:u w:val="single" w:color="auto"/>
                  <w:color w:val="0000EE"/>
                </w:rPr>
                <w:t>GoodRx Holdings, Inc. 2020 Incentive Award Plan</w:t>
              </w:r>
            </w:hyperlink>
          </w:p>
        </w:tc>
        <w:tc>
          <w:tcPr>
            <w:tcW w:w="0" w:type="dxa"/>
            <w:vAlign w:val="bottom"/>
          </w:tcPr>
          <w:p>
            <w:pPr>
              <w:spacing w:after="0"/>
              <w:rPr>
                <w:sz w:val="1"/>
                <w:szCs w:val="1"/>
                <w:color w:val="auto"/>
              </w:rPr>
            </w:pPr>
          </w:p>
        </w:tc>
      </w:tr>
      <w:tr>
        <w:trPr>
          <w:trHeight w:val="321"/>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w:t>
            </w:r>
          </w:p>
        </w:tc>
        <w:tc>
          <w:tcPr>
            <w:tcW w:w="9820" w:type="dxa"/>
            <w:vAlign w:val="bottom"/>
            <w:gridSpan w:val="5"/>
          </w:tcPr>
          <w:p>
            <w:pPr>
              <w:spacing w:after="0"/>
              <w:rPr>
                <w:rFonts w:ascii="Times New Roman" w:cs="Times New Roman" w:eastAsia="Times New Roman" w:hAnsi="Times New Roman"/>
                <w:sz w:val="18"/>
                <w:szCs w:val="18"/>
                <w:u w:val="single" w:color="auto"/>
                <w:color w:val="0000EE"/>
              </w:rPr>
            </w:pPr>
            <w:hyperlink w:anchor="page517">
              <w:r>
                <w:rPr>
                  <w:rFonts w:ascii="Times New Roman" w:cs="Times New Roman" w:eastAsia="Times New Roman" w:hAnsi="Times New Roman"/>
                  <w:sz w:val="18"/>
                  <w:szCs w:val="18"/>
                  <w:u w:val="single" w:color="auto"/>
                  <w:color w:val="0000EE"/>
                </w:rPr>
                <w:t>Form of Option Agreement pursuant to 2020 Incentive Award Plan</w:t>
              </w:r>
            </w:hyperlink>
          </w:p>
        </w:tc>
        <w:tc>
          <w:tcPr>
            <w:tcW w:w="0" w:type="dxa"/>
            <w:vAlign w:val="bottom"/>
          </w:tcPr>
          <w:p>
            <w:pPr>
              <w:spacing w:after="0"/>
              <w:rPr>
                <w:sz w:val="1"/>
                <w:szCs w:val="1"/>
                <w:color w:val="auto"/>
              </w:rPr>
            </w:pPr>
          </w:p>
        </w:tc>
      </w:tr>
      <w:tr>
        <w:trPr>
          <w:trHeight w:val="321"/>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10.3.2#</w:t>
            </w:r>
          </w:p>
        </w:tc>
        <w:tc>
          <w:tcPr>
            <w:tcW w:w="9820" w:type="dxa"/>
            <w:vAlign w:val="bottom"/>
            <w:gridSpan w:val="5"/>
          </w:tcPr>
          <w:p>
            <w:pPr>
              <w:spacing w:after="0"/>
              <w:rPr>
                <w:rFonts w:ascii="Times New Roman" w:cs="Times New Roman" w:eastAsia="Times New Roman" w:hAnsi="Times New Roman"/>
                <w:sz w:val="18"/>
                <w:szCs w:val="18"/>
                <w:u w:val="single" w:color="auto"/>
                <w:color w:val="0000EE"/>
              </w:rPr>
            </w:pPr>
            <w:hyperlink w:anchor="page522">
              <w:r>
                <w:rPr>
                  <w:rFonts w:ascii="Times New Roman" w:cs="Times New Roman" w:eastAsia="Times New Roman" w:hAnsi="Times New Roman"/>
                  <w:sz w:val="18"/>
                  <w:szCs w:val="18"/>
                  <w:u w:val="single" w:color="auto"/>
                  <w:color w:val="0000EE"/>
                </w:rPr>
                <w:t>Form of Restricted Stock Unit Agreement pursuant to 2020 Incentive Award Plan</w:t>
              </w:r>
            </w:hyperlink>
          </w:p>
        </w:tc>
        <w:tc>
          <w:tcPr>
            <w:tcW w:w="0" w:type="dxa"/>
            <w:vAlign w:val="bottom"/>
          </w:tcPr>
          <w:p>
            <w:pPr>
              <w:spacing w:after="0"/>
              <w:rPr>
                <w:sz w:val="1"/>
                <w:szCs w:val="1"/>
                <w:color w:val="auto"/>
              </w:rPr>
            </w:pPr>
          </w:p>
        </w:tc>
      </w:tr>
      <w:tr>
        <w:trPr>
          <w:trHeight w:val="321"/>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10.3.3#</w:t>
            </w:r>
          </w:p>
        </w:tc>
        <w:tc>
          <w:tcPr>
            <w:tcW w:w="9820" w:type="dxa"/>
            <w:vAlign w:val="bottom"/>
            <w:gridSpan w:val="5"/>
          </w:tcPr>
          <w:p>
            <w:pPr>
              <w:spacing w:after="0"/>
              <w:rPr>
                <w:rFonts w:ascii="Times New Roman" w:cs="Times New Roman" w:eastAsia="Times New Roman" w:hAnsi="Times New Roman"/>
                <w:sz w:val="18"/>
                <w:szCs w:val="18"/>
                <w:u w:val="single" w:color="auto"/>
                <w:color w:val="0000EE"/>
              </w:rPr>
            </w:pPr>
            <w:hyperlink w:anchor="page527">
              <w:r>
                <w:rPr>
                  <w:rFonts w:ascii="Times New Roman" w:cs="Times New Roman" w:eastAsia="Times New Roman" w:hAnsi="Times New Roman"/>
                  <w:sz w:val="18"/>
                  <w:szCs w:val="18"/>
                  <w:u w:val="single" w:color="auto"/>
                  <w:color w:val="0000EE"/>
                </w:rPr>
                <w:t>Form of Time-Vesting Restricted Stock Unit Award Agreement (Founders) pursuant to 2020 Incentive Award Plan</w:t>
              </w:r>
            </w:hyperlink>
          </w:p>
        </w:tc>
        <w:tc>
          <w:tcPr>
            <w:tcW w:w="0" w:type="dxa"/>
            <w:vAlign w:val="bottom"/>
          </w:tcPr>
          <w:p>
            <w:pPr>
              <w:spacing w:after="0"/>
              <w:rPr>
                <w:sz w:val="1"/>
                <w:szCs w:val="1"/>
                <w:color w:val="auto"/>
              </w:rPr>
            </w:pPr>
          </w:p>
        </w:tc>
      </w:tr>
      <w:tr>
        <w:trPr>
          <w:trHeight w:val="321"/>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10.3.4#</w:t>
            </w:r>
          </w:p>
        </w:tc>
        <w:tc>
          <w:tcPr>
            <w:tcW w:w="9820" w:type="dxa"/>
            <w:vAlign w:val="bottom"/>
            <w:gridSpan w:val="5"/>
          </w:tcPr>
          <w:p>
            <w:pPr>
              <w:spacing w:after="0"/>
              <w:rPr>
                <w:rFonts w:ascii="Times New Roman" w:cs="Times New Roman" w:eastAsia="Times New Roman" w:hAnsi="Times New Roman"/>
                <w:sz w:val="18"/>
                <w:szCs w:val="18"/>
                <w:u w:val="single" w:color="auto"/>
                <w:color w:val="0000EE"/>
              </w:rPr>
            </w:pPr>
            <w:hyperlink w:anchor="page532">
              <w:r>
                <w:rPr>
                  <w:rFonts w:ascii="Times New Roman" w:cs="Times New Roman" w:eastAsia="Times New Roman" w:hAnsi="Times New Roman"/>
                  <w:sz w:val="18"/>
                  <w:szCs w:val="18"/>
                  <w:u w:val="single" w:color="auto"/>
                  <w:color w:val="0000EE"/>
                </w:rPr>
                <w:t>Form of Performance-Vesting Restricted Stock Unit Award Agreement (Founders) pursuant to 2020 Incentive Award Plan</w:t>
              </w:r>
            </w:hyperlink>
          </w:p>
        </w:tc>
        <w:tc>
          <w:tcPr>
            <w:tcW w:w="0" w:type="dxa"/>
            <w:vAlign w:val="bottom"/>
          </w:tcPr>
          <w:p>
            <w:pPr>
              <w:spacing w:after="0"/>
              <w:rPr>
                <w:sz w:val="1"/>
                <w:szCs w:val="1"/>
                <w:color w:val="auto"/>
              </w:rPr>
            </w:pPr>
          </w:p>
        </w:tc>
      </w:tr>
      <w:tr>
        <w:trPr>
          <w:trHeight w:val="361"/>
        </w:trPr>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04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266" w:name="page267"/>
    <w:bookmarkEnd w:id="2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2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2"/>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80" w:type="dxa"/>
            <w:vAlign w:val="bottom"/>
          </w:tcPr>
          <w:p>
            <w:pPr>
              <w:spacing w:after="0"/>
              <w:rPr>
                <w:sz w:val="14"/>
                <w:szCs w:val="14"/>
                <w:color w:val="auto"/>
              </w:rPr>
            </w:pPr>
          </w:p>
        </w:tc>
        <w:tc>
          <w:tcPr>
            <w:tcW w:w="982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9820" w:type="dxa"/>
            <w:vAlign w:val="bottom"/>
            <w:gridSpan w:val="12"/>
          </w:tcPr>
          <w:p>
            <w:pPr>
              <w:spacing w:after="0"/>
              <w:rPr>
                <w:rFonts w:ascii="Times New Roman" w:cs="Times New Roman" w:eastAsia="Times New Roman" w:hAnsi="Times New Roman"/>
                <w:sz w:val="18"/>
                <w:szCs w:val="18"/>
                <w:u w:val="single" w:color="auto"/>
                <w:color w:val="0000EE"/>
              </w:rPr>
            </w:pPr>
            <w:hyperlink w:anchor="page541">
              <w:r>
                <w:rPr>
                  <w:rFonts w:ascii="Times New Roman" w:cs="Times New Roman" w:eastAsia="Times New Roman" w:hAnsi="Times New Roman"/>
                  <w:sz w:val="18"/>
                  <w:szCs w:val="18"/>
                  <w:u w:val="single" w:color="auto"/>
                  <w:color w:val="0000EE"/>
                </w:rPr>
                <w:t>GoodRx Holdings, Inc. 2020 Employee Stock Purchase Plan</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80" w:type="dxa"/>
            <w:vAlign w:val="bottom"/>
          </w:tcPr>
          <w:p>
            <w:pPr>
              <w:spacing w:after="0"/>
              <w:rPr>
                <w:sz w:val="24"/>
                <w:szCs w:val="24"/>
                <w:color w:val="auto"/>
              </w:rPr>
            </w:pPr>
          </w:p>
        </w:tc>
        <w:tc>
          <w:tcPr>
            <w:tcW w:w="9820" w:type="dxa"/>
            <w:vAlign w:val="bottom"/>
            <w:gridSpan w:val="12"/>
          </w:tcPr>
          <w:p>
            <w:pPr>
              <w:spacing w:after="0"/>
              <w:rPr>
                <w:rFonts w:ascii="Times New Roman" w:cs="Times New Roman" w:eastAsia="Times New Roman" w:hAnsi="Times New Roman"/>
                <w:sz w:val="18"/>
                <w:szCs w:val="18"/>
                <w:u w:val="single" w:color="auto"/>
                <w:color w:val="0000EE"/>
              </w:rPr>
            </w:pPr>
            <w:hyperlink w:anchor="page555">
              <w:r>
                <w:rPr>
                  <w:rFonts w:ascii="Times New Roman" w:cs="Times New Roman" w:eastAsia="Times New Roman" w:hAnsi="Times New Roman"/>
                  <w:sz w:val="18"/>
                  <w:szCs w:val="18"/>
                  <w:u w:val="single" w:color="auto"/>
                  <w:color w:val="0000EE"/>
                </w:rPr>
                <w:t>GoodRx Holdings, Inc. Director Compensation Program</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10.6#*</w:t>
            </w:r>
          </w:p>
        </w:tc>
        <w:tc>
          <w:tcPr>
            <w:tcW w:w="580" w:type="dxa"/>
            <w:vAlign w:val="bottom"/>
          </w:tcPr>
          <w:p>
            <w:pPr>
              <w:spacing w:after="0"/>
              <w:rPr>
                <w:sz w:val="24"/>
                <w:szCs w:val="24"/>
                <w:color w:val="auto"/>
              </w:rPr>
            </w:pPr>
          </w:p>
        </w:tc>
        <w:tc>
          <w:tcPr>
            <w:tcW w:w="9820" w:type="dxa"/>
            <w:vAlign w:val="bottom"/>
            <w:gridSpan w:val="12"/>
          </w:tcPr>
          <w:p>
            <w:pPr>
              <w:spacing w:after="0"/>
              <w:rPr>
                <w:rFonts w:ascii="Times New Roman" w:cs="Times New Roman" w:eastAsia="Times New Roman" w:hAnsi="Times New Roman"/>
                <w:sz w:val="18"/>
                <w:szCs w:val="18"/>
                <w:u w:val="single" w:color="auto"/>
                <w:color w:val="0000EE"/>
              </w:rPr>
            </w:pPr>
            <w:hyperlink r:id="rId363">
              <w:r>
                <w:rPr>
                  <w:rFonts w:ascii="Times New Roman" w:cs="Times New Roman" w:eastAsia="Times New Roman" w:hAnsi="Times New Roman"/>
                  <w:sz w:val="18"/>
                  <w:szCs w:val="18"/>
                  <w:u w:val="single" w:color="auto"/>
                  <w:color w:val="0000EE"/>
                </w:rPr>
                <w:t>Employment Agreement by and between GoodRx, Inc. and Douglas Hirsch, dated October 7, 2015</w:t>
              </w:r>
            </w:hyperlink>
          </w:p>
        </w:tc>
        <w:tc>
          <w:tcPr>
            <w:tcW w:w="0" w:type="dxa"/>
            <w:vAlign w:val="bottom"/>
          </w:tcPr>
          <w:p>
            <w:pPr>
              <w:spacing w:after="0"/>
              <w:rPr>
                <w:sz w:val="1"/>
                <w:szCs w:val="1"/>
                <w:color w:val="auto"/>
              </w:rPr>
            </w:pPr>
          </w:p>
        </w:tc>
      </w:tr>
      <w:tr>
        <w:trPr>
          <w:trHeight w:val="321"/>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10.6.1#</w:t>
            </w:r>
          </w:p>
        </w:tc>
        <w:tc>
          <w:tcPr>
            <w:tcW w:w="9820" w:type="dxa"/>
            <w:vAlign w:val="bottom"/>
            <w:gridSpan w:val="12"/>
          </w:tcPr>
          <w:p>
            <w:pPr>
              <w:spacing w:after="0"/>
              <w:rPr>
                <w:rFonts w:ascii="Times New Roman" w:cs="Times New Roman" w:eastAsia="Times New Roman" w:hAnsi="Times New Roman"/>
                <w:sz w:val="18"/>
                <w:szCs w:val="18"/>
                <w:u w:val="single" w:color="auto"/>
                <w:color w:val="0000EE"/>
              </w:rPr>
            </w:pPr>
            <w:hyperlink w:anchor="page558">
              <w:r>
                <w:rPr>
                  <w:rFonts w:ascii="Times New Roman" w:cs="Times New Roman" w:eastAsia="Times New Roman" w:hAnsi="Times New Roman"/>
                  <w:sz w:val="18"/>
                  <w:szCs w:val="18"/>
                  <w:u w:val="single" w:color="auto"/>
                  <w:color w:val="0000EE"/>
                </w:rPr>
                <w:t>Form of Amended and Restated Employment Agreement by and between GoodRx, Inc. and Douglas Hirsch</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10.7#*</w:t>
            </w:r>
          </w:p>
        </w:tc>
        <w:tc>
          <w:tcPr>
            <w:tcW w:w="580" w:type="dxa"/>
            <w:vAlign w:val="bottom"/>
          </w:tcPr>
          <w:p>
            <w:pPr>
              <w:spacing w:after="0"/>
              <w:rPr>
                <w:sz w:val="24"/>
                <w:szCs w:val="24"/>
                <w:color w:val="auto"/>
              </w:rPr>
            </w:pPr>
          </w:p>
        </w:tc>
        <w:tc>
          <w:tcPr>
            <w:tcW w:w="9820" w:type="dxa"/>
            <w:vAlign w:val="bottom"/>
            <w:gridSpan w:val="12"/>
          </w:tcPr>
          <w:p>
            <w:pPr>
              <w:spacing w:after="0"/>
              <w:rPr>
                <w:rFonts w:ascii="Times New Roman" w:cs="Times New Roman" w:eastAsia="Times New Roman" w:hAnsi="Times New Roman"/>
                <w:sz w:val="18"/>
                <w:szCs w:val="18"/>
                <w:u w:val="single" w:color="auto"/>
                <w:color w:val="0000EE"/>
              </w:rPr>
            </w:pPr>
            <w:hyperlink r:id="rId364">
              <w:r>
                <w:rPr>
                  <w:rFonts w:ascii="Times New Roman" w:cs="Times New Roman" w:eastAsia="Times New Roman" w:hAnsi="Times New Roman"/>
                  <w:sz w:val="18"/>
                  <w:szCs w:val="18"/>
                  <w:u w:val="single" w:color="auto"/>
                  <w:color w:val="0000EE"/>
                </w:rPr>
                <w:t>Employment Agreement by and between GoodRx, Inc. and Trevor Bezdek, dated October 7, 2015</w:t>
              </w:r>
            </w:hyperlink>
          </w:p>
        </w:tc>
        <w:tc>
          <w:tcPr>
            <w:tcW w:w="0" w:type="dxa"/>
            <w:vAlign w:val="bottom"/>
          </w:tcPr>
          <w:p>
            <w:pPr>
              <w:spacing w:after="0"/>
              <w:rPr>
                <w:sz w:val="1"/>
                <w:szCs w:val="1"/>
                <w:color w:val="auto"/>
              </w:rPr>
            </w:pPr>
          </w:p>
        </w:tc>
      </w:tr>
      <w:tr>
        <w:trPr>
          <w:trHeight w:val="321"/>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10.7.1#</w:t>
            </w:r>
          </w:p>
        </w:tc>
        <w:tc>
          <w:tcPr>
            <w:tcW w:w="9820" w:type="dxa"/>
            <w:vAlign w:val="bottom"/>
            <w:gridSpan w:val="12"/>
          </w:tcPr>
          <w:p>
            <w:pPr>
              <w:spacing w:after="0"/>
              <w:rPr>
                <w:rFonts w:ascii="Times New Roman" w:cs="Times New Roman" w:eastAsia="Times New Roman" w:hAnsi="Times New Roman"/>
                <w:sz w:val="18"/>
                <w:szCs w:val="18"/>
                <w:u w:val="single" w:color="auto"/>
                <w:color w:val="0000EE"/>
              </w:rPr>
            </w:pPr>
            <w:hyperlink w:anchor="page576">
              <w:r>
                <w:rPr>
                  <w:rFonts w:ascii="Times New Roman" w:cs="Times New Roman" w:eastAsia="Times New Roman" w:hAnsi="Times New Roman"/>
                  <w:sz w:val="18"/>
                  <w:szCs w:val="18"/>
                  <w:u w:val="single" w:color="auto"/>
                  <w:color w:val="0000EE"/>
                </w:rPr>
                <w:t>Form of Amended and Restated Employment Agreement by and between GoodRx, Inc. and Trevor Bezdek</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10.8#*</w:t>
            </w:r>
          </w:p>
        </w:tc>
        <w:tc>
          <w:tcPr>
            <w:tcW w:w="580" w:type="dxa"/>
            <w:vAlign w:val="bottom"/>
          </w:tcPr>
          <w:p>
            <w:pPr>
              <w:spacing w:after="0"/>
              <w:rPr>
                <w:sz w:val="24"/>
                <w:szCs w:val="24"/>
                <w:color w:val="auto"/>
              </w:rPr>
            </w:pPr>
          </w:p>
        </w:tc>
        <w:tc>
          <w:tcPr>
            <w:tcW w:w="9820" w:type="dxa"/>
            <w:vAlign w:val="bottom"/>
            <w:gridSpan w:val="12"/>
          </w:tcPr>
          <w:p>
            <w:pPr>
              <w:spacing w:after="0"/>
              <w:rPr>
                <w:rFonts w:ascii="Times New Roman" w:cs="Times New Roman" w:eastAsia="Times New Roman" w:hAnsi="Times New Roman"/>
                <w:sz w:val="18"/>
                <w:szCs w:val="18"/>
                <w:u w:val="single" w:color="auto"/>
                <w:color w:val="0000EE"/>
              </w:rPr>
            </w:pPr>
            <w:hyperlink r:id="rId365">
              <w:r>
                <w:rPr>
                  <w:rFonts w:ascii="Times New Roman" w:cs="Times New Roman" w:eastAsia="Times New Roman" w:hAnsi="Times New Roman"/>
                  <w:sz w:val="18"/>
                  <w:szCs w:val="18"/>
                  <w:u w:val="single" w:color="auto"/>
                  <w:color w:val="0000EE"/>
                </w:rPr>
                <w:t>Employment Agreement by and between GoodRx, Inc. and Andrew Slutsky, dated October 7, 2015</w:t>
              </w:r>
            </w:hyperlink>
          </w:p>
        </w:tc>
        <w:tc>
          <w:tcPr>
            <w:tcW w:w="0" w:type="dxa"/>
            <w:vAlign w:val="bottom"/>
          </w:tcPr>
          <w:p>
            <w:pPr>
              <w:spacing w:after="0"/>
              <w:rPr>
                <w:sz w:val="1"/>
                <w:szCs w:val="1"/>
                <w:color w:val="auto"/>
              </w:rPr>
            </w:pPr>
          </w:p>
        </w:tc>
      </w:tr>
      <w:tr>
        <w:trPr>
          <w:trHeight w:val="321"/>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10.8.1#</w:t>
            </w:r>
          </w:p>
        </w:tc>
        <w:tc>
          <w:tcPr>
            <w:tcW w:w="9820" w:type="dxa"/>
            <w:vAlign w:val="bottom"/>
            <w:gridSpan w:val="12"/>
          </w:tcPr>
          <w:p>
            <w:pPr>
              <w:spacing w:after="0"/>
              <w:rPr>
                <w:rFonts w:ascii="Times New Roman" w:cs="Times New Roman" w:eastAsia="Times New Roman" w:hAnsi="Times New Roman"/>
                <w:sz w:val="18"/>
                <w:szCs w:val="18"/>
                <w:u w:val="single" w:color="auto"/>
                <w:color w:val="0000EE"/>
              </w:rPr>
            </w:pPr>
            <w:hyperlink w:anchor="page594">
              <w:r>
                <w:rPr>
                  <w:rFonts w:ascii="Times New Roman" w:cs="Times New Roman" w:eastAsia="Times New Roman" w:hAnsi="Times New Roman"/>
                  <w:sz w:val="18"/>
                  <w:szCs w:val="18"/>
                  <w:u w:val="single" w:color="auto"/>
                  <w:color w:val="0000EE"/>
                </w:rPr>
                <w:t>Form of Amended and Restated Employment Agreement by and between GoodRx, Inc. and Andrew Slutsky</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10.9#*</w:t>
            </w:r>
          </w:p>
        </w:tc>
        <w:tc>
          <w:tcPr>
            <w:tcW w:w="580" w:type="dxa"/>
            <w:vAlign w:val="bottom"/>
          </w:tcPr>
          <w:p>
            <w:pPr>
              <w:spacing w:after="0"/>
              <w:rPr>
                <w:sz w:val="24"/>
                <w:szCs w:val="24"/>
                <w:color w:val="auto"/>
              </w:rPr>
            </w:pPr>
          </w:p>
        </w:tc>
        <w:tc>
          <w:tcPr>
            <w:tcW w:w="9820" w:type="dxa"/>
            <w:vAlign w:val="bottom"/>
            <w:gridSpan w:val="12"/>
          </w:tcPr>
          <w:p>
            <w:pPr>
              <w:spacing w:after="0"/>
              <w:rPr>
                <w:rFonts w:ascii="Times New Roman" w:cs="Times New Roman" w:eastAsia="Times New Roman" w:hAnsi="Times New Roman"/>
                <w:sz w:val="18"/>
                <w:szCs w:val="18"/>
                <w:u w:val="single" w:color="auto"/>
                <w:color w:val="0000EE"/>
              </w:rPr>
            </w:pPr>
            <w:hyperlink r:id="rId366">
              <w:r>
                <w:rPr>
                  <w:rFonts w:ascii="Times New Roman" w:cs="Times New Roman" w:eastAsia="Times New Roman" w:hAnsi="Times New Roman"/>
                  <w:sz w:val="18"/>
                  <w:szCs w:val="18"/>
                  <w:u w:val="single" w:color="auto"/>
                  <w:color w:val="0000EE"/>
                </w:rPr>
                <w:t>Offer of Employment Letter by and between GoodRx, Inc. and Babak Azad, dated October 3, 2019</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10.10*</w:t>
            </w:r>
          </w:p>
        </w:tc>
        <w:tc>
          <w:tcPr>
            <w:tcW w:w="580" w:type="dxa"/>
            <w:vAlign w:val="bottom"/>
          </w:tcPr>
          <w:p>
            <w:pPr>
              <w:spacing w:after="0"/>
              <w:rPr>
                <w:sz w:val="24"/>
                <w:szCs w:val="24"/>
                <w:color w:val="auto"/>
              </w:rPr>
            </w:pPr>
          </w:p>
        </w:tc>
        <w:tc>
          <w:tcPr>
            <w:tcW w:w="9820" w:type="dxa"/>
            <w:vAlign w:val="bottom"/>
            <w:gridSpan w:val="12"/>
          </w:tcPr>
          <w:p>
            <w:pPr>
              <w:spacing w:after="0"/>
              <w:rPr>
                <w:rFonts w:ascii="Times New Roman" w:cs="Times New Roman" w:eastAsia="Times New Roman" w:hAnsi="Times New Roman"/>
                <w:sz w:val="18"/>
                <w:szCs w:val="18"/>
                <w:u w:val="single" w:color="auto"/>
                <w:color w:val="0000EE"/>
              </w:rPr>
            </w:pPr>
            <w:hyperlink r:id="rId367">
              <w:r>
                <w:rPr>
                  <w:rFonts w:ascii="Times New Roman" w:cs="Times New Roman" w:eastAsia="Times New Roman" w:hAnsi="Times New Roman"/>
                  <w:sz w:val="18"/>
                  <w:szCs w:val="18"/>
                  <w:u w:val="single" w:color="auto"/>
                  <w:color w:val="0000EE"/>
                </w:rPr>
                <w:t>Board Service Continuation Letter Agreement for Agnes Rey-Giraud, dated June 10, 2020</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10.11*</w:t>
            </w:r>
          </w:p>
        </w:tc>
        <w:tc>
          <w:tcPr>
            <w:tcW w:w="580" w:type="dxa"/>
            <w:vAlign w:val="bottom"/>
          </w:tcPr>
          <w:p>
            <w:pPr>
              <w:spacing w:after="0"/>
              <w:rPr>
                <w:sz w:val="24"/>
                <w:szCs w:val="24"/>
                <w:color w:val="auto"/>
              </w:rPr>
            </w:pPr>
          </w:p>
        </w:tc>
        <w:tc>
          <w:tcPr>
            <w:tcW w:w="9820" w:type="dxa"/>
            <w:vAlign w:val="bottom"/>
            <w:gridSpan w:val="12"/>
          </w:tcPr>
          <w:p>
            <w:pPr>
              <w:spacing w:after="0"/>
              <w:rPr>
                <w:rFonts w:ascii="Times New Roman" w:cs="Times New Roman" w:eastAsia="Times New Roman" w:hAnsi="Times New Roman"/>
                <w:sz w:val="18"/>
                <w:szCs w:val="18"/>
                <w:u w:val="single" w:color="auto"/>
                <w:color w:val="0000EE"/>
              </w:rPr>
            </w:pPr>
            <w:hyperlink r:id="rId368">
              <w:r>
                <w:rPr>
                  <w:rFonts w:ascii="Times New Roman" w:cs="Times New Roman" w:eastAsia="Times New Roman" w:hAnsi="Times New Roman"/>
                  <w:sz w:val="18"/>
                  <w:szCs w:val="18"/>
                  <w:u w:val="single" w:color="auto"/>
                  <w:color w:val="0000EE"/>
                </w:rPr>
                <w:t>Board Service (New Term) Letter Agreement for Jacqueline Kosecoff, dated June 9, 2020</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10.12*</w:t>
            </w:r>
          </w:p>
        </w:tc>
        <w:tc>
          <w:tcPr>
            <w:tcW w:w="580" w:type="dxa"/>
            <w:vAlign w:val="bottom"/>
          </w:tcPr>
          <w:p>
            <w:pPr>
              <w:spacing w:after="0"/>
              <w:rPr>
                <w:sz w:val="24"/>
                <w:szCs w:val="24"/>
                <w:color w:val="auto"/>
              </w:rPr>
            </w:pPr>
          </w:p>
        </w:tc>
        <w:tc>
          <w:tcPr>
            <w:tcW w:w="9820" w:type="dxa"/>
            <w:vAlign w:val="bottom"/>
            <w:gridSpan w:val="12"/>
          </w:tcPr>
          <w:p>
            <w:pPr>
              <w:spacing w:after="0"/>
              <w:rPr>
                <w:rFonts w:ascii="Times New Roman" w:cs="Times New Roman" w:eastAsia="Times New Roman" w:hAnsi="Times New Roman"/>
                <w:sz w:val="18"/>
                <w:szCs w:val="18"/>
                <w:u w:val="single" w:color="auto"/>
                <w:color w:val="0000EE"/>
              </w:rPr>
            </w:pPr>
            <w:hyperlink r:id="rId369">
              <w:r>
                <w:rPr>
                  <w:rFonts w:ascii="Times New Roman" w:cs="Times New Roman" w:eastAsia="Times New Roman" w:hAnsi="Times New Roman"/>
                  <w:sz w:val="18"/>
                  <w:szCs w:val="18"/>
                  <w:u w:val="single" w:color="auto"/>
                  <w:color w:val="0000EE"/>
                </w:rPr>
                <w:t>Board Service Letter Agreement for Julie Bradley, dated August 20, 2020</w:t>
              </w:r>
            </w:hyperlink>
          </w:p>
        </w:tc>
        <w:tc>
          <w:tcPr>
            <w:tcW w:w="0" w:type="dxa"/>
            <w:vAlign w:val="bottom"/>
          </w:tcPr>
          <w:p>
            <w:pPr>
              <w:spacing w:after="0"/>
              <w:rPr>
                <w:sz w:val="1"/>
                <w:szCs w:val="1"/>
                <w:color w:val="auto"/>
              </w:rPr>
            </w:pPr>
          </w:p>
        </w:tc>
      </w:tr>
      <w:tr>
        <w:trPr>
          <w:trHeight w:val="28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10.13*</w:t>
            </w:r>
          </w:p>
        </w:tc>
        <w:tc>
          <w:tcPr>
            <w:tcW w:w="580" w:type="dxa"/>
            <w:vAlign w:val="bottom"/>
          </w:tcPr>
          <w:p>
            <w:pPr>
              <w:spacing w:after="0"/>
              <w:rPr>
                <w:sz w:val="24"/>
                <w:szCs w:val="24"/>
                <w:color w:val="auto"/>
              </w:rPr>
            </w:pPr>
          </w:p>
        </w:tc>
        <w:tc>
          <w:tcPr>
            <w:tcW w:w="98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370">
              <w:r>
                <w:rPr>
                  <w:rFonts w:ascii="Times New Roman" w:cs="Times New Roman" w:eastAsia="Times New Roman" w:hAnsi="Times New Roman"/>
                  <w:sz w:val="18"/>
                  <w:szCs w:val="18"/>
                  <w:color w:val="0000EE"/>
                  <w:w w:val="98"/>
                </w:rPr>
                <w:t>First Lien Credit Agreement by and among GoodRx, Inc., GoodRx Intermediate Holdings, LLC, the lenders party thereto, Barclays Bank</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20" w:type="dxa"/>
            <w:vAlign w:val="bottom"/>
            <w:gridSpan w:val="12"/>
          </w:tcPr>
          <w:p>
            <w:pPr>
              <w:spacing w:after="0" w:line="194" w:lineRule="exact"/>
              <w:rPr>
                <w:rFonts w:ascii="Times New Roman" w:cs="Times New Roman" w:eastAsia="Times New Roman" w:hAnsi="Times New Roman"/>
                <w:sz w:val="18"/>
                <w:szCs w:val="18"/>
                <w:color w:val="0000EE"/>
              </w:rPr>
            </w:pPr>
            <w:hyperlink r:id="rId370">
              <w:r>
                <w:rPr>
                  <w:rFonts w:ascii="Times New Roman" w:cs="Times New Roman" w:eastAsia="Times New Roman" w:hAnsi="Times New Roman"/>
                  <w:sz w:val="18"/>
                  <w:szCs w:val="18"/>
                  <w:color w:val="0000EE"/>
                </w:rPr>
                <w:t>PLC and the joint lead arrangers and join lead bookrunners party thereto, dated October 12, 2018</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10.14*</w:t>
            </w:r>
          </w:p>
        </w:tc>
        <w:tc>
          <w:tcPr>
            <w:tcW w:w="580" w:type="dxa"/>
            <w:vAlign w:val="bottom"/>
          </w:tcPr>
          <w:p>
            <w:pPr>
              <w:spacing w:after="0"/>
              <w:rPr>
                <w:sz w:val="24"/>
                <w:szCs w:val="24"/>
                <w:color w:val="auto"/>
              </w:rPr>
            </w:pPr>
          </w:p>
        </w:tc>
        <w:tc>
          <w:tcPr>
            <w:tcW w:w="94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371">
              <w:r>
                <w:rPr>
                  <w:rFonts w:ascii="Times New Roman" w:cs="Times New Roman" w:eastAsia="Times New Roman" w:hAnsi="Times New Roman"/>
                  <w:sz w:val="18"/>
                  <w:szCs w:val="18"/>
                  <w:color w:val="0000EE"/>
                  <w:w w:val="99"/>
                </w:rPr>
                <w:t>First Incremental Amendment to First Lien Credit Agreement by and between GoodRx, Inc., GoodRx Intermediate Holdings, LLC,</w:t>
              </w:r>
            </w:hyperlink>
          </w:p>
        </w:tc>
        <w:tc>
          <w:tcPr>
            <w:tcW w:w="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20" w:type="dxa"/>
            <w:vAlign w:val="bottom"/>
            <w:gridSpan w:val="12"/>
          </w:tcPr>
          <w:p>
            <w:pPr>
              <w:spacing w:after="0" w:line="194" w:lineRule="exact"/>
              <w:rPr>
                <w:rFonts w:ascii="Times New Roman" w:cs="Times New Roman" w:eastAsia="Times New Roman" w:hAnsi="Times New Roman"/>
                <w:sz w:val="18"/>
                <w:szCs w:val="18"/>
                <w:color w:val="0000EE"/>
              </w:rPr>
            </w:pPr>
            <w:hyperlink r:id="rId371">
              <w:r>
                <w:rPr>
                  <w:rFonts w:ascii="Times New Roman" w:cs="Times New Roman" w:eastAsia="Times New Roman" w:hAnsi="Times New Roman"/>
                  <w:sz w:val="18"/>
                  <w:szCs w:val="18"/>
                  <w:color w:val="0000EE"/>
                </w:rPr>
                <w:t>Iodine, Inc., HeyDoctor, LLC, the lenders party thereto and Barclays Bank PLC, dated November 1, 2019</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6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10.15*</w:t>
            </w:r>
          </w:p>
        </w:tc>
        <w:tc>
          <w:tcPr>
            <w:tcW w:w="580" w:type="dxa"/>
            <w:vAlign w:val="bottom"/>
          </w:tcPr>
          <w:p>
            <w:pPr>
              <w:spacing w:after="0"/>
              <w:rPr>
                <w:sz w:val="24"/>
                <w:szCs w:val="24"/>
                <w:color w:val="auto"/>
              </w:rPr>
            </w:pPr>
          </w:p>
        </w:tc>
        <w:tc>
          <w:tcPr>
            <w:tcW w:w="95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372">
              <w:r>
                <w:rPr>
                  <w:rFonts w:ascii="Times New Roman" w:cs="Times New Roman" w:eastAsia="Times New Roman" w:hAnsi="Times New Roman"/>
                  <w:sz w:val="18"/>
                  <w:szCs w:val="18"/>
                  <w:color w:val="0000EE"/>
                  <w:w w:val="98"/>
                </w:rPr>
                <w:t>Second Incremental Amendment to First Lien Credit Agreement by and between GoodRx, Inc., GoodRx Intermediate Holdings, LLC,</w:t>
              </w:r>
            </w:hyperlink>
          </w:p>
        </w:tc>
        <w:tc>
          <w:tcPr>
            <w:tcW w:w="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20" w:type="dxa"/>
            <w:vAlign w:val="bottom"/>
            <w:gridSpan w:val="12"/>
          </w:tcPr>
          <w:p>
            <w:pPr>
              <w:spacing w:after="0"/>
              <w:rPr>
                <w:rFonts w:ascii="Times New Roman" w:cs="Times New Roman" w:eastAsia="Times New Roman" w:hAnsi="Times New Roman"/>
                <w:sz w:val="18"/>
                <w:szCs w:val="18"/>
                <w:u w:val="single" w:color="auto"/>
                <w:color w:val="0000EE"/>
              </w:rPr>
            </w:pPr>
            <w:hyperlink r:id="rId372">
              <w:r>
                <w:rPr>
                  <w:rFonts w:ascii="Times New Roman" w:cs="Times New Roman" w:eastAsia="Times New Roman" w:hAnsi="Times New Roman"/>
                  <w:sz w:val="18"/>
                  <w:szCs w:val="18"/>
                  <w:u w:val="single" w:color="auto"/>
                  <w:color w:val="0000EE"/>
                </w:rPr>
                <w:t>Iodine, Inc., HeyDoctor, LLC, Lighthouse Acquisition Corp., the lenders party thereto and Barclays Bank PLC, dated May 12, 2020</w:t>
              </w:r>
            </w:hyperlink>
          </w:p>
        </w:tc>
        <w:tc>
          <w:tcPr>
            <w:tcW w:w="0" w:type="dxa"/>
            <w:vAlign w:val="bottom"/>
          </w:tcPr>
          <w:p>
            <w:pPr>
              <w:spacing w:after="0"/>
              <w:rPr>
                <w:sz w:val="1"/>
                <w:szCs w:val="1"/>
                <w:color w:val="auto"/>
              </w:rPr>
            </w:pPr>
          </w:p>
        </w:tc>
      </w:tr>
      <w:tr>
        <w:trPr>
          <w:trHeight w:val="28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10.16*</w:t>
            </w:r>
          </w:p>
        </w:tc>
        <w:tc>
          <w:tcPr>
            <w:tcW w:w="580" w:type="dxa"/>
            <w:vAlign w:val="bottom"/>
          </w:tcPr>
          <w:p>
            <w:pPr>
              <w:spacing w:after="0"/>
              <w:rPr>
                <w:sz w:val="24"/>
                <w:szCs w:val="24"/>
                <w:color w:val="auto"/>
              </w:rPr>
            </w:pPr>
          </w:p>
        </w:tc>
        <w:tc>
          <w:tcPr>
            <w:tcW w:w="97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373">
              <w:r>
                <w:rPr>
                  <w:rFonts w:ascii="Times New Roman" w:cs="Times New Roman" w:eastAsia="Times New Roman" w:hAnsi="Times New Roman"/>
                  <w:sz w:val="18"/>
                  <w:szCs w:val="18"/>
                  <w:color w:val="0000EE"/>
                  <w:w w:val="98"/>
                </w:rPr>
                <w:t>First Lien Security Agreement by and among GoodRx, Inc., GoodRx Intermediate Holdings, LLC, Iodine, Inc. and Barclays Bank PLC,</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20" w:type="dxa"/>
            <w:vAlign w:val="bottom"/>
            <w:gridSpan w:val="12"/>
          </w:tcPr>
          <w:p>
            <w:pPr>
              <w:spacing w:after="0" w:line="194" w:lineRule="exact"/>
              <w:rPr>
                <w:rFonts w:ascii="Times New Roman" w:cs="Times New Roman" w:eastAsia="Times New Roman" w:hAnsi="Times New Roman"/>
                <w:sz w:val="18"/>
                <w:szCs w:val="18"/>
                <w:color w:val="0000EE"/>
              </w:rPr>
            </w:pPr>
            <w:hyperlink r:id="rId373">
              <w:r>
                <w:rPr>
                  <w:rFonts w:ascii="Times New Roman" w:cs="Times New Roman" w:eastAsia="Times New Roman" w:hAnsi="Times New Roman"/>
                  <w:sz w:val="18"/>
                  <w:szCs w:val="18"/>
                  <w:color w:val="0000EE"/>
                </w:rPr>
                <w:t>dated October 12, 2018</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7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10.17*</w:t>
            </w:r>
          </w:p>
        </w:tc>
        <w:tc>
          <w:tcPr>
            <w:tcW w:w="580" w:type="dxa"/>
            <w:vAlign w:val="bottom"/>
          </w:tcPr>
          <w:p>
            <w:pPr>
              <w:spacing w:after="0"/>
              <w:rPr>
                <w:sz w:val="24"/>
                <w:szCs w:val="24"/>
                <w:color w:val="auto"/>
              </w:rPr>
            </w:pPr>
          </w:p>
        </w:tc>
        <w:tc>
          <w:tcPr>
            <w:tcW w:w="93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r:id="rId374">
              <w:r>
                <w:rPr>
                  <w:rFonts w:ascii="Times New Roman" w:cs="Times New Roman" w:eastAsia="Times New Roman" w:hAnsi="Times New Roman"/>
                  <w:sz w:val="18"/>
                  <w:szCs w:val="18"/>
                  <w:color w:val="0000EE"/>
                  <w:w w:val="98"/>
                </w:rPr>
                <w:t>First Lien Guaranty by and among GoodRx, Inc., GoodRx Intermediate Holdings, LLC, Iodine, Inc. and Barclays Bank PLC, dated</w:t>
              </w:r>
            </w:hyperlink>
          </w:p>
        </w:tc>
        <w:tc>
          <w:tcPr>
            <w:tcW w:w="4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8"/>
              </w:rPr>
            </w:pPr>
            <w:hyperlink r:id="rId374">
              <w:r>
                <w:rPr>
                  <w:rFonts w:ascii="Times New Roman" w:cs="Times New Roman" w:eastAsia="Times New Roman" w:hAnsi="Times New Roman"/>
                  <w:sz w:val="18"/>
                  <w:szCs w:val="18"/>
                  <w:color w:val="0000EE"/>
                  <w:w w:val="98"/>
                </w:rPr>
                <w:t>October 12, 2018</w:t>
              </w:r>
            </w:hyperlink>
          </w:p>
        </w:tc>
        <w:tc>
          <w:tcPr>
            <w:tcW w:w="856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9820" w:type="dxa"/>
            <w:vAlign w:val="bottom"/>
            <w:gridSpan w:val="12"/>
          </w:tcPr>
          <w:p>
            <w:pPr>
              <w:spacing w:after="0"/>
              <w:rPr>
                <w:rFonts w:ascii="Times New Roman" w:cs="Times New Roman" w:eastAsia="Times New Roman" w:hAnsi="Times New Roman"/>
                <w:sz w:val="18"/>
                <w:szCs w:val="18"/>
                <w:color w:val="0000EE"/>
                <w:w w:val="99"/>
              </w:rPr>
            </w:pPr>
            <w:hyperlink r:id="rId375">
              <w:r>
                <w:rPr>
                  <w:rFonts w:ascii="Times New Roman" w:cs="Times New Roman" w:eastAsia="Times New Roman" w:hAnsi="Times New Roman"/>
                  <w:sz w:val="18"/>
                  <w:szCs w:val="18"/>
                  <w:color w:val="0000EE"/>
                  <w:w w:val="99"/>
                </w:rPr>
                <w:t>Office Lease Agreement by and between GoodRx, Inc. and DE Pacific 233, LLC, dated January 29, 2016, as amended as of January 27,</w:t>
              </w:r>
            </w:hyperlink>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740" w:type="dxa"/>
            <w:vAlign w:val="bottom"/>
            <w:tcBorders>
              <w:top w:val="single" w:sz="8" w:color="0000EE"/>
            </w:tcBorders>
            <w:gridSpan w:val="10"/>
          </w:tcPr>
          <w:p>
            <w:pPr>
              <w:spacing w:after="0"/>
              <w:rPr>
                <w:rFonts w:ascii="Times New Roman" w:cs="Times New Roman" w:eastAsia="Times New Roman" w:hAnsi="Times New Roman"/>
                <w:sz w:val="18"/>
                <w:szCs w:val="18"/>
                <w:u w:val="single" w:color="auto"/>
                <w:color w:val="0000EE"/>
              </w:rPr>
            </w:pPr>
            <w:hyperlink r:id="rId375">
              <w:r>
                <w:rPr>
                  <w:rFonts w:ascii="Times New Roman" w:cs="Times New Roman" w:eastAsia="Times New Roman" w:hAnsi="Times New Roman"/>
                  <w:sz w:val="18"/>
                  <w:szCs w:val="18"/>
                  <w:u w:val="single" w:color="auto"/>
                  <w:color w:val="0000EE"/>
                </w:rPr>
                <w:t>2017, June 12, 2017, February 14, 2018, October 2, 2018, December 14, 2018, September 17, 2019 and March 2, 2020</w:t>
              </w:r>
            </w:hyperlink>
          </w:p>
        </w:tc>
        <w:tc>
          <w:tcPr>
            <w:tcW w:w="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9820" w:type="dxa"/>
            <w:vAlign w:val="bottom"/>
            <w:gridSpan w:val="12"/>
          </w:tcPr>
          <w:p>
            <w:pPr>
              <w:spacing w:after="0"/>
              <w:rPr>
                <w:rFonts w:ascii="Times New Roman" w:cs="Times New Roman" w:eastAsia="Times New Roman" w:hAnsi="Times New Roman"/>
                <w:sz w:val="18"/>
                <w:szCs w:val="18"/>
                <w:u w:val="single" w:color="auto"/>
                <w:color w:val="0000EE"/>
              </w:rPr>
            </w:pPr>
            <w:hyperlink r:id="rId376">
              <w:r>
                <w:rPr>
                  <w:rFonts w:ascii="Times New Roman" w:cs="Times New Roman" w:eastAsia="Times New Roman" w:hAnsi="Times New Roman"/>
                  <w:sz w:val="18"/>
                  <w:szCs w:val="18"/>
                  <w:u w:val="single" w:color="auto"/>
                  <w:color w:val="0000EE"/>
                </w:rPr>
                <w:t>Office Lease by and between GoodRx, Inc. and CSHV Pen Factory, LLC, dated September 6, 2019</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80" w:type="dxa"/>
            <w:vAlign w:val="bottom"/>
          </w:tcPr>
          <w:p>
            <w:pPr>
              <w:spacing w:after="0"/>
              <w:rPr>
                <w:sz w:val="24"/>
                <w:szCs w:val="24"/>
                <w:color w:val="auto"/>
              </w:rPr>
            </w:pPr>
          </w:p>
        </w:tc>
        <w:tc>
          <w:tcPr>
            <w:tcW w:w="9820" w:type="dxa"/>
            <w:vAlign w:val="bottom"/>
            <w:gridSpan w:val="12"/>
          </w:tcPr>
          <w:p>
            <w:pPr>
              <w:spacing w:after="0"/>
              <w:rPr>
                <w:rFonts w:ascii="Times New Roman" w:cs="Times New Roman" w:eastAsia="Times New Roman" w:hAnsi="Times New Roman"/>
                <w:sz w:val="18"/>
                <w:szCs w:val="18"/>
                <w:u w:val="single" w:color="auto"/>
                <w:color w:val="0000EE"/>
              </w:rPr>
            </w:pPr>
            <w:hyperlink w:anchor="page612">
              <w:r>
                <w:rPr>
                  <w:rFonts w:ascii="Times New Roman" w:cs="Times New Roman" w:eastAsia="Times New Roman" w:hAnsi="Times New Roman"/>
                  <w:sz w:val="18"/>
                  <w:szCs w:val="18"/>
                  <w:u w:val="single" w:color="auto"/>
                  <w:color w:val="0000EE"/>
                </w:rPr>
                <w:t>Stock Purchase Agreement, by and between GoodRx Holdings, Inc. and SLP Geology Aggregator, L.P., dated September 13, 2020</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580" w:type="dxa"/>
            <w:vAlign w:val="bottom"/>
          </w:tcPr>
          <w:p>
            <w:pPr>
              <w:spacing w:after="0"/>
              <w:rPr>
                <w:sz w:val="24"/>
                <w:szCs w:val="24"/>
                <w:color w:val="auto"/>
              </w:rPr>
            </w:pPr>
          </w:p>
        </w:tc>
        <w:tc>
          <w:tcPr>
            <w:tcW w:w="9820" w:type="dxa"/>
            <w:vAlign w:val="bottom"/>
            <w:gridSpan w:val="12"/>
          </w:tcPr>
          <w:p>
            <w:pPr>
              <w:spacing w:after="0"/>
              <w:rPr>
                <w:rFonts w:ascii="Times New Roman" w:cs="Times New Roman" w:eastAsia="Times New Roman" w:hAnsi="Times New Roman"/>
                <w:sz w:val="18"/>
                <w:szCs w:val="18"/>
                <w:u w:val="single" w:color="auto"/>
                <w:color w:val="0000EE"/>
              </w:rPr>
            </w:pPr>
            <w:hyperlink r:id="rId377">
              <w:r>
                <w:rPr>
                  <w:rFonts w:ascii="Times New Roman" w:cs="Times New Roman" w:eastAsia="Times New Roman" w:hAnsi="Times New Roman"/>
                  <w:sz w:val="18"/>
                  <w:szCs w:val="18"/>
                  <w:u w:val="single" w:color="auto"/>
                  <w:color w:val="0000EE"/>
                </w:rPr>
                <w:t>Letter regarding change in independent accountants</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80" w:type="dxa"/>
            <w:vAlign w:val="bottom"/>
          </w:tcPr>
          <w:p>
            <w:pPr>
              <w:spacing w:after="0"/>
              <w:rPr>
                <w:sz w:val="24"/>
                <w:szCs w:val="24"/>
                <w:color w:val="auto"/>
              </w:rPr>
            </w:pPr>
          </w:p>
        </w:tc>
        <w:tc>
          <w:tcPr>
            <w:tcW w:w="9820" w:type="dxa"/>
            <w:vAlign w:val="bottom"/>
            <w:gridSpan w:val="12"/>
          </w:tcPr>
          <w:p>
            <w:pPr>
              <w:spacing w:after="0"/>
              <w:rPr>
                <w:rFonts w:ascii="Times New Roman" w:cs="Times New Roman" w:eastAsia="Times New Roman" w:hAnsi="Times New Roman"/>
                <w:sz w:val="18"/>
                <w:szCs w:val="18"/>
                <w:u w:val="single" w:color="auto"/>
                <w:color w:val="0000EE"/>
              </w:rPr>
            </w:pPr>
            <w:hyperlink r:id="rId378">
              <w:r>
                <w:rPr>
                  <w:rFonts w:ascii="Times New Roman" w:cs="Times New Roman" w:eastAsia="Times New Roman" w:hAnsi="Times New Roman"/>
                  <w:sz w:val="18"/>
                  <w:szCs w:val="18"/>
                  <w:u w:val="single" w:color="auto"/>
                  <w:color w:val="0000EE"/>
                </w:rPr>
                <w:t>List of subsidiaries of GoodRx Holdings, Inc.</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80" w:type="dxa"/>
            <w:vAlign w:val="bottom"/>
          </w:tcPr>
          <w:p>
            <w:pPr>
              <w:spacing w:after="0"/>
              <w:rPr>
                <w:sz w:val="24"/>
                <w:szCs w:val="24"/>
                <w:color w:val="auto"/>
              </w:rPr>
            </w:pPr>
          </w:p>
        </w:tc>
        <w:tc>
          <w:tcPr>
            <w:tcW w:w="9820" w:type="dxa"/>
            <w:vAlign w:val="bottom"/>
            <w:gridSpan w:val="12"/>
          </w:tcPr>
          <w:p>
            <w:pPr>
              <w:spacing w:after="0"/>
              <w:rPr>
                <w:rFonts w:ascii="Times New Roman" w:cs="Times New Roman" w:eastAsia="Times New Roman" w:hAnsi="Times New Roman"/>
                <w:sz w:val="18"/>
                <w:szCs w:val="18"/>
                <w:u w:val="single" w:color="auto"/>
                <w:color w:val="0000EE"/>
              </w:rPr>
            </w:pPr>
            <w:hyperlink w:anchor="page408">
              <w:r>
                <w:rPr>
                  <w:rFonts w:ascii="Times New Roman" w:cs="Times New Roman" w:eastAsia="Times New Roman" w:hAnsi="Times New Roman"/>
                  <w:sz w:val="18"/>
                  <w:szCs w:val="18"/>
                  <w:u w:val="single" w:color="auto"/>
                  <w:color w:val="0000EE"/>
                </w:rPr>
                <w:t>Consent of Latham &amp; Watkins LLP (included in Exhibit 5.1)</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80" w:type="dxa"/>
            <w:vAlign w:val="bottom"/>
          </w:tcPr>
          <w:p>
            <w:pPr>
              <w:spacing w:after="0"/>
              <w:rPr>
                <w:sz w:val="24"/>
                <w:szCs w:val="24"/>
                <w:color w:val="auto"/>
              </w:rPr>
            </w:pPr>
          </w:p>
        </w:tc>
        <w:tc>
          <w:tcPr>
            <w:tcW w:w="9820" w:type="dxa"/>
            <w:vAlign w:val="bottom"/>
            <w:gridSpan w:val="12"/>
          </w:tcPr>
          <w:p>
            <w:pPr>
              <w:spacing w:after="0"/>
              <w:rPr>
                <w:rFonts w:ascii="Times New Roman" w:cs="Times New Roman" w:eastAsia="Times New Roman" w:hAnsi="Times New Roman"/>
                <w:sz w:val="18"/>
                <w:szCs w:val="18"/>
                <w:u w:val="single" w:color="auto"/>
                <w:color w:val="0000EE"/>
              </w:rPr>
            </w:pPr>
            <w:hyperlink w:anchor="page623">
              <w:r>
                <w:rPr>
                  <w:rFonts w:ascii="Times New Roman" w:cs="Times New Roman" w:eastAsia="Times New Roman" w:hAnsi="Times New Roman"/>
                  <w:sz w:val="18"/>
                  <w:szCs w:val="18"/>
                  <w:u w:val="single" w:color="auto"/>
                  <w:color w:val="0000EE"/>
                </w:rPr>
                <w:t>Consent of PricewaterhouseCoopers LLP</w:t>
              </w:r>
            </w:hyperlink>
          </w:p>
        </w:tc>
        <w:tc>
          <w:tcPr>
            <w:tcW w:w="0" w:type="dxa"/>
            <w:vAlign w:val="bottom"/>
          </w:tcPr>
          <w:p>
            <w:pPr>
              <w:spacing w:after="0"/>
              <w:rPr>
                <w:sz w:val="1"/>
                <w:szCs w:val="1"/>
                <w:color w:val="auto"/>
              </w:rPr>
            </w:pPr>
          </w:p>
        </w:tc>
      </w:tr>
      <w:tr>
        <w:trPr>
          <w:trHeight w:val="3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80" w:type="dxa"/>
            <w:vAlign w:val="bottom"/>
          </w:tcPr>
          <w:p>
            <w:pPr>
              <w:spacing w:after="0"/>
              <w:rPr>
                <w:sz w:val="24"/>
                <w:szCs w:val="24"/>
                <w:color w:val="auto"/>
              </w:rPr>
            </w:pPr>
          </w:p>
        </w:tc>
        <w:tc>
          <w:tcPr>
            <w:tcW w:w="9820" w:type="dxa"/>
            <w:vAlign w:val="bottom"/>
            <w:gridSpan w:val="12"/>
          </w:tcPr>
          <w:p>
            <w:pPr>
              <w:spacing w:after="0"/>
              <w:rPr>
                <w:rFonts w:ascii="Times New Roman" w:cs="Times New Roman" w:eastAsia="Times New Roman" w:hAnsi="Times New Roman"/>
                <w:sz w:val="18"/>
                <w:szCs w:val="18"/>
                <w:u w:val="single" w:color="auto"/>
                <w:color w:val="0000EE"/>
              </w:rPr>
            </w:pPr>
            <w:hyperlink r:id="rId379">
              <w:r>
                <w:rPr>
                  <w:rFonts w:ascii="Times New Roman" w:cs="Times New Roman" w:eastAsia="Times New Roman" w:hAnsi="Times New Roman"/>
                  <w:sz w:val="18"/>
                  <w:szCs w:val="18"/>
                  <w:u w:val="single" w:color="auto"/>
                  <w:color w:val="0000EE"/>
                </w:rPr>
                <w:t>Power of Attorney</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84455</wp:posOffset>
            </wp:positionV>
            <wp:extent cx="75501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0">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48" w:lineRule="exact"/>
        <w:rPr>
          <w:sz w:val="20"/>
          <w:szCs w:val="20"/>
          <w:color w:val="auto"/>
        </w:rPr>
      </w:pPr>
    </w:p>
    <w:p>
      <w:pPr>
        <w:ind w:left="600" w:hanging="426"/>
        <w:spacing w:after="0"/>
        <w:tabs>
          <w:tab w:leader="none" w:pos="6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6" w:lineRule="exact"/>
        <w:rPr>
          <w:sz w:val="20"/>
          <w:szCs w:val="20"/>
          <w:color w:val="auto"/>
        </w:rPr>
      </w:pPr>
    </w:p>
    <w:p>
      <w:pPr>
        <w:ind w:left="600" w:hanging="426"/>
        <w:spacing w:after="0"/>
        <w:tabs>
          <w:tab w:leader="none" w:pos="6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marked by brackets, have been omitted because the omitted information (i) is not material and (ii) would likely cause</w:t>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competitive harm if publicly disclosed.</w:t>
      </w:r>
    </w:p>
    <w:p>
      <w:pPr>
        <w:spacing w:after="0" w:line="7" w:lineRule="exact"/>
        <w:rPr>
          <w:sz w:val="20"/>
          <w:szCs w:val="20"/>
          <w:color w:val="auto"/>
        </w:rPr>
      </w:pPr>
    </w:p>
    <w:p>
      <w:pPr>
        <w:ind w:left="600" w:hanging="426"/>
        <w:spacing w:after="0"/>
        <w:tabs>
          <w:tab w:leader="none" w:pos="6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108" w:lineRule="exact"/>
        <w:rPr>
          <w:sz w:val="20"/>
          <w:szCs w:val="20"/>
          <w:color w:val="auto"/>
        </w:rPr>
      </w:pPr>
    </w:p>
    <w:p>
      <w:pPr>
        <w:ind w:left="600" w:right="560" w:hanging="426"/>
        <w:spacing w:after="0" w:line="277" w:lineRule="auto"/>
        <w:tabs>
          <w:tab w:leader="none" w:pos="6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Schedules not listed above have been omitted because the information required to be set forth therein is not applicable or is shown in the financial statements or notes thereto.</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80"/>
          </w:cols>
          <w:pgMar w:left="320" w:top="454" w:right="499"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18" w:lineRule="exact"/>
        <w:rPr>
          <w:sz w:val="20"/>
          <w:szCs w:val="20"/>
          <w:color w:val="auto"/>
        </w:rPr>
      </w:pPr>
    </w:p>
    <w:p>
      <w:pPr>
        <w:ind w:left="180" w:right="100" w:firstLine="436"/>
        <w:spacing w:after="0" w:line="277"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163" w:lineRule="exact"/>
        <w:rPr>
          <w:sz w:val="20"/>
          <w:szCs w:val="20"/>
          <w:color w:val="auto"/>
        </w:rPr>
      </w:pPr>
    </w:p>
    <w:p>
      <w:pPr>
        <w:ind w:left="180" w:right="180" w:firstLine="436"/>
        <w:spacing w:after="0" w:line="25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undersigned hereby undertakes that:</w:t>
      </w:r>
    </w:p>
    <w:p>
      <w:pPr>
        <w:spacing w:after="0" w:line="127" w:lineRule="exact"/>
        <w:rPr>
          <w:sz w:val="20"/>
          <w:szCs w:val="20"/>
          <w:color w:val="auto"/>
        </w:rPr>
      </w:pPr>
    </w:p>
    <w:p>
      <w:pPr>
        <w:ind w:left="1140" w:hanging="539"/>
        <w:spacing w:after="0" w:line="285" w:lineRule="auto"/>
        <w:tabs>
          <w:tab w:leader="none" w:pos="114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5" w:lineRule="exact"/>
        <w:rPr>
          <w:rFonts w:ascii="Times New Roman" w:cs="Times New Roman" w:eastAsia="Times New Roman" w:hAnsi="Times New Roman"/>
          <w:sz w:val="17"/>
          <w:szCs w:val="17"/>
          <w:color w:val="auto"/>
        </w:rPr>
      </w:pPr>
    </w:p>
    <w:p>
      <w:pPr>
        <w:ind w:left="1140" w:right="100" w:hanging="539"/>
        <w:spacing w:after="0" w:line="262" w:lineRule="auto"/>
        <w:tabs>
          <w:tab w:leader="none" w:pos="11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20"/>
          </w:cols>
          <w:pgMar w:left="320" w:top="454" w:right="559"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the City of Santa Monica, State of California, on this 14th day of September, 2020.</w:t>
      </w:r>
    </w:p>
    <w:p>
      <w:pPr>
        <w:spacing w:after="0" w:line="18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224"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 /s/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15875</wp:posOffset>
            </wp:positionV>
            <wp:extent cx="25704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3">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spacing w:after="0" w:line="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Karsten Voermann</w:t>
      </w:r>
    </w:p>
    <w:p>
      <w:pPr>
        <w:spacing w:after="0" w:line="2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3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0540"/>
          </w:cols>
          <w:pgMar w:left="320" w:top="454" w:right="103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4" w:lineRule="exact"/>
        <w:rPr>
          <w:sz w:val="20"/>
          <w:szCs w:val="20"/>
          <w:color w:val="auto"/>
        </w:rPr>
      </w:pPr>
    </w:p>
    <w:p>
      <w:pPr>
        <w:ind w:left="18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S-1 has been signed by the following persons in the capacities held on the dates indicated.</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520" w:type="dxa"/>
            <w:vAlign w:val="bottom"/>
            <w:gridSpan w:val="2"/>
          </w:tcPr>
          <w:p>
            <w:pPr>
              <w:spacing w:after="0"/>
              <w:rPr>
                <w:sz w:val="14"/>
                <w:szCs w:val="14"/>
                <w:color w:val="auto"/>
              </w:rPr>
            </w:pPr>
          </w:p>
        </w:tc>
        <w:tc>
          <w:tcPr>
            <w:tcW w:w="242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1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1"/>
        </w:trPr>
        <w:tc>
          <w:tcPr>
            <w:tcW w:w="5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center"/>
              <w:ind w:right="560"/>
              <w:spacing w:after="0"/>
              <w:rPr>
                <w:sz w:val="20"/>
                <w:szCs w:val="20"/>
                <w:color w:val="auto"/>
              </w:rPr>
            </w:pPr>
            <w:r>
              <w:rPr>
                <w:rFonts w:ascii="Times New Roman" w:cs="Times New Roman" w:eastAsia="Times New Roman" w:hAnsi="Times New Roman"/>
                <w:sz w:val="18"/>
                <w:szCs w:val="18"/>
                <w:color w:val="auto"/>
                <w:w w:val="99"/>
              </w:rPr>
              <w:t>/s/ Douglas Hirsch</w:t>
            </w:r>
          </w:p>
        </w:tc>
        <w:tc>
          <w:tcPr>
            <w:tcW w:w="4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 and Co-Chief Executive Officer</w:t>
            </w:r>
          </w:p>
        </w:tc>
        <w:tc>
          <w:tcPr>
            <w:tcW w:w="2520" w:type="dxa"/>
            <w:vAlign w:val="bottom"/>
            <w:gridSpan w:val="3"/>
          </w:tcPr>
          <w:p>
            <w:pPr>
              <w:jc w:val="center"/>
              <w:ind w:left="991"/>
              <w:spacing w:after="0"/>
              <w:rPr>
                <w:sz w:val="20"/>
                <w:szCs w:val="20"/>
                <w:color w:val="auto"/>
              </w:rPr>
            </w:pPr>
            <w:r>
              <w:rPr>
                <w:rFonts w:ascii="Times New Roman" w:cs="Times New Roman" w:eastAsia="Times New Roman" w:hAnsi="Times New Roman"/>
                <w:sz w:val="18"/>
                <w:szCs w:val="18"/>
                <w:color w:val="auto"/>
                <w:w w:val="99"/>
              </w:rPr>
              <w:t>September 14, 2020</w:t>
            </w:r>
          </w:p>
        </w:tc>
      </w:tr>
      <w:tr>
        <w:trPr>
          <w:trHeight w:val="215"/>
        </w:trPr>
        <w:tc>
          <w:tcPr>
            <w:tcW w:w="540" w:type="dxa"/>
            <w:vAlign w:val="bottom"/>
          </w:tcPr>
          <w:p>
            <w:pPr>
              <w:spacing w:after="0"/>
              <w:rPr>
                <w:sz w:val="18"/>
                <w:szCs w:val="18"/>
                <w:color w:val="auto"/>
              </w:rPr>
            </w:pPr>
          </w:p>
        </w:tc>
        <w:tc>
          <w:tcPr>
            <w:tcW w:w="310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Douglas Hirsch</w:t>
            </w:r>
          </w:p>
        </w:tc>
        <w:tc>
          <w:tcPr>
            <w:tcW w:w="446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420"/>
        </w:trPr>
        <w:tc>
          <w:tcPr>
            <w:tcW w:w="5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center"/>
              <w:ind w:right="560"/>
              <w:spacing w:after="0"/>
              <w:rPr>
                <w:sz w:val="20"/>
                <w:szCs w:val="20"/>
                <w:color w:val="auto"/>
              </w:rPr>
            </w:pPr>
            <w:r>
              <w:rPr>
                <w:rFonts w:ascii="Times New Roman" w:cs="Times New Roman" w:eastAsia="Times New Roman" w:hAnsi="Times New Roman"/>
                <w:sz w:val="18"/>
                <w:szCs w:val="18"/>
                <w:color w:val="auto"/>
                <w:w w:val="97"/>
              </w:rPr>
              <w:t>/s/ Trevor Bezdek</w:t>
            </w:r>
          </w:p>
        </w:tc>
        <w:tc>
          <w:tcPr>
            <w:tcW w:w="4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 and Co-Chief Executive Officer</w:t>
            </w:r>
          </w:p>
        </w:tc>
        <w:tc>
          <w:tcPr>
            <w:tcW w:w="2520" w:type="dxa"/>
            <w:vAlign w:val="bottom"/>
            <w:gridSpan w:val="3"/>
          </w:tcPr>
          <w:p>
            <w:pPr>
              <w:jc w:val="center"/>
              <w:ind w:left="991"/>
              <w:spacing w:after="0"/>
              <w:rPr>
                <w:sz w:val="20"/>
                <w:szCs w:val="20"/>
                <w:color w:val="auto"/>
              </w:rPr>
            </w:pPr>
            <w:r>
              <w:rPr>
                <w:rFonts w:ascii="Times New Roman" w:cs="Times New Roman" w:eastAsia="Times New Roman" w:hAnsi="Times New Roman"/>
                <w:sz w:val="18"/>
                <w:szCs w:val="18"/>
                <w:color w:val="auto"/>
                <w:w w:val="99"/>
              </w:rPr>
              <w:t>September 14, 2020</w:t>
            </w:r>
          </w:p>
        </w:tc>
      </w:tr>
      <w:tr>
        <w:trPr>
          <w:trHeight w:val="215"/>
        </w:trPr>
        <w:tc>
          <w:tcPr>
            <w:tcW w:w="540" w:type="dxa"/>
            <w:vAlign w:val="bottom"/>
          </w:tcPr>
          <w:p>
            <w:pPr>
              <w:spacing w:after="0"/>
              <w:rPr>
                <w:sz w:val="18"/>
                <w:szCs w:val="18"/>
                <w:color w:val="auto"/>
              </w:rPr>
            </w:pPr>
          </w:p>
        </w:tc>
        <w:tc>
          <w:tcPr>
            <w:tcW w:w="310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Trevor Bezdek</w:t>
            </w:r>
          </w:p>
        </w:tc>
        <w:tc>
          <w:tcPr>
            <w:tcW w:w="446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420"/>
        </w:trPr>
        <w:tc>
          <w:tcPr>
            <w:tcW w:w="5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center"/>
              <w:ind w:right="560"/>
              <w:spacing w:after="0"/>
              <w:rPr>
                <w:sz w:val="20"/>
                <w:szCs w:val="20"/>
                <w:color w:val="auto"/>
              </w:rPr>
            </w:pPr>
            <w:r>
              <w:rPr>
                <w:rFonts w:ascii="Times New Roman" w:cs="Times New Roman" w:eastAsia="Times New Roman" w:hAnsi="Times New Roman"/>
                <w:sz w:val="18"/>
                <w:szCs w:val="18"/>
                <w:color w:val="auto"/>
                <w:w w:val="97"/>
              </w:rPr>
              <w:t>/s/ Karsten Voermann</w:t>
            </w:r>
          </w:p>
        </w:tc>
        <w:tc>
          <w:tcPr>
            <w:tcW w:w="4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20" w:type="dxa"/>
            <w:vAlign w:val="bottom"/>
            <w:gridSpan w:val="3"/>
          </w:tcPr>
          <w:p>
            <w:pPr>
              <w:jc w:val="center"/>
              <w:ind w:left="991"/>
              <w:spacing w:after="0"/>
              <w:rPr>
                <w:sz w:val="20"/>
                <w:szCs w:val="20"/>
                <w:color w:val="auto"/>
              </w:rPr>
            </w:pPr>
            <w:r>
              <w:rPr>
                <w:rFonts w:ascii="Times New Roman" w:cs="Times New Roman" w:eastAsia="Times New Roman" w:hAnsi="Times New Roman"/>
                <w:sz w:val="18"/>
                <w:szCs w:val="18"/>
                <w:color w:val="auto"/>
                <w:w w:val="99"/>
              </w:rPr>
              <w:t>September 14, 2020</w:t>
            </w:r>
          </w:p>
        </w:tc>
      </w:tr>
      <w:tr>
        <w:trPr>
          <w:trHeight w:val="215"/>
        </w:trPr>
        <w:tc>
          <w:tcPr>
            <w:tcW w:w="540" w:type="dxa"/>
            <w:vAlign w:val="bottom"/>
          </w:tcPr>
          <w:p>
            <w:pPr>
              <w:spacing w:after="0"/>
              <w:rPr>
                <w:sz w:val="18"/>
                <w:szCs w:val="18"/>
                <w:color w:val="auto"/>
              </w:rPr>
            </w:pPr>
          </w:p>
        </w:tc>
        <w:tc>
          <w:tcPr>
            <w:tcW w:w="310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Karsten Voermann</w:t>
            </w:r>
          </w:p>
        </w:tc>
        <w:tc>
          <w:tcPr>
            <w:tcW w:w="4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420"/>
        </w:trPr>
        <w:tc>
          <w:tcPr>
            <w:tcW w:w="5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left="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3"/>
          </w:tcPr>
          <w:p>
            <w:pPr>
              <w:jc w:val="center"/>
              <w:ind w:left="991"/>
              <w:spacing w:after="0"/>
              <w:rPr>
                <w:sz w:val="20"/>
                <w:szCs w:val="20"/>
                <w:color w:val="auto"/>
              </w:rPr>
            </w:pPr>
            <w:r>
              <w:rPr>
                <w:rFonts w:ascii="Times New Roman" w:cs="Times New Roman" w:eastAsia="Times New Roman" w:hAnsi="Times New Roman"/>
                <w:sz w:val="18"/>
                <w:szCs w:val="18"/>
                <w:color w:val="auto"/>
                <w:w w:val="99"/>
              </w:rPr>
              <w:t>September 14, 2020</w:t>
            </w:r>
          </w:p>
        </w:tc>
      </w:tr>
      <w:tr>
        <w:trPr>
          <w:trHeight w:val="180"/>
        </w:trPr>
        <w:tc>
          <w:tcPr>
            <w:tcW w:w="540" w:type="dxa"/>
            <w:vAlign w:val="bottom"/>
          </w:tcPr>
          <w:p>
            <w:pPr>
              <w:spacing w:after="0"/>
              <w:rPr>
                <w:sz w:val="15"/>
                <w:szCs w:val="15"/>
                <w:color w:val="auto"/>
              </w:rPr>
            </w:pPr>
          </w:p>
        </w:tc>
        <w:tc>
          <w:tcPr>
            <w:tcW w:w="310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Christopher Adams</w:t>
            </w: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401"/>
        </w:trPr>
        <w:tc>
          <w:tcPr>
            <w:tcW w:w="5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left="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3"/>
          </w:tcPr>
          <w:p>
            <w:pPr>
              <w:jc w:val="center"/>
              <w:ind w:left="991"/>
              <w:spacing w:after="0"/>
              <w:rPr>
                <w:sz w:val="20"/>
                <w:szCs w:val="20"/>
                <w:color w:val="auto"/>
              </w:rPr>
            </w:pPr>
            <w:r>
              <w:rPr>
                <w:rFonts w:ascii="Times New Roman" w:cs="Times New Roman" w:eastAsia="Times New Roman" w:hAnsi="Times New Roman"/>
                <w:sz w:val="18"/>
                <w:szCs w:val="18"/>
                <w:color w:val="auto"/>
                <w:w w:val="99"/>
              </w:rPr>
              <w:t>September 14, 2020</w:t>
            </w:r>
          </w:p>
        </w:tc>
      </w:tr>
      <w:tr>
        <w:trPr>
          <w:trHeight w:val="180"/>
        </w:trPr>
        <w:tc>
          <w:tcPr>
            <w:tcW w:w="540" w:type="dxa"/>
            <w:vAlign w:val="bottom"/>
          </w:tcPr>
          <w:p>
            <w:pPr>
              <w:spacing w:after="0"/>
              <w:rPr>
                <w:sz w:val="15"/>
                <w:szCs w:val="15"/>
                <w:color w:val="auto"/>
              </w:rPr>
            </w:pPr>
          </w:p>
        </w:tc>
        <w:tc>
          <w:tcPr>
            <w:tcW w:w="310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Julie Bradley</w:t>
            </w: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401"/>
        </w:trPr>
        <w:tc>
          <w:tcPr>
            <w:tcW w:w="5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left="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3"/>
          </w:tcPr>
          <w:p>
            <w:pPr>
              <w:jc w:val="center"/>
              <w:ind w:left="991"/>
              <w:spacing w:after="0"/>
              <w:rPr>
                <w:sz w:val="20"/>
                <w:szCs w:val="20"/>
                <w:color w:val="auto"/>
              </w:rPr>
            </w:pPr>
            <w:r>
              <w:rPr>
                <w:rFonts w:ascii="Times New Roman" w:cs="Times New Roman" w:eastAsia="Times New Roman" w:hAnsi="Times New Roman"/>
                <w:sz w:val="18"/>
                <w:szCs w:val="18"/>
                <w:color w:val="auto"/>
                <w:w w:val="99"/>
              </w:rPr>
              <w:t>September 14, 2020</w:t>
            </w:r>
          </w:p>
        </w:tc>
      </w:tr>
      <w:tr>
        <w:trPr>
          <w:trHeight w:val="180"/>
        </w:trPr>
        <w:tc>
          <w:tcPr>
            <w:tcW w:w="540" w:type="dxa"/>
            <w:vAlign w:val="bottom"/>
          </w:tcPr>
          <w:p>
            <w:pPr>
              <w:spacing w:after="0"/>
              <w:rPr>
                <w:sz w:val="15"/>
                <w:szCs w:val="15"/>
                <w:color w:val="auto"/>
              </w:rPr>
            </w:pPr>
          </w:p>
        </w:tc>
        <w:tc>
          <w:tcPr>
            <w:tcW w:w="310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Dipanjan Deb</w:t>
            </w: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401"/>
        </w:trPr>
        <w:tc>
          <w:tcPr>
            <w:tcW w:w="5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left="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3"/>
          </w:tcPr>
          <w:p>
            <w:pPr>
              <w:jc w:val="center"/>
              <w:ind w:left="991"/>
              <w:spacing w:after="0"/>
              <w:rPr>
                <w:sz w:val="20"/>
                <w:szCs w:val="20"/>
                <w:color w:val="auto"/>
              </w:rPr>
            </w:pPr>
            <w:r>
              <w:rPr>
                <w:rFonts w:ascii="Times New Roman" w:cs="Times New Roman" w:eastAsia="Times New Roman" w:hAnsi="Times New Roman"/>
                <w:sz w:val="18"/>
                <w:szCs w:val="18"/>
                <w:color w:val="auto"/>
                <w:w w:val="99"/>
              </w:rPr>
              <w:t>September 14, 2020</w:t>
            </w:r>
          </w:p>
        </w:tc>
      </w:tr>
      <w:tr>
        <w:trPr>
          <w:trHeight w:val="180"/>
        </w:trPr>
        <w:tc>
          <w:tcPr>
            <w:tcW w:w="540" w:type="dxa"/>
            <w:vAlign w:val="bottom"/>
          </w:tcPr>
          <w:p>
            <w:pPr>
              <w:spacing w:after="0"/>
              <w:rPr>
                <w:sz w:val="15"/>
                <w:szCs w:val="15"/>
                <w:color w:val="auto"/>
              </w:rPr>
            </w:pPr>
          </w:p>
        </w:tc>
        <w:tc>
          <w:tcPr>
            <w:tcW w:w="310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Adam Karol</w:t>
            </w: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401"/>
        </w:trPr>
        <w:tc>
          <w:tcPr>
            <w:tcW w:w="5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left="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3"/>
          </w:tcPr>
          <w:p>
            <w:pPr>
              <w:jc w:val="center"/>
              <w:ind w:left="991"/>
              <w:spacing w:after="0"/>
              <w:rPr>
                <w:sz w:val="20"/>
                <w:szCs w:val="20"/>
                <w:color w:val="auto"/>
              </w:rPr>
            </w:pPr>
            <w:r>
              <w:rPr>
                <w:rFonts w:ascii="Times New Roman" w:cs="Times New Roman" w:eastAsia="Times New Roman" w:hAnsi="Times New Roman"/>
                <w:sz w:val="18"/>
                <w:szCs w:val="18"/>
                <w:color w:val="auto"/>
                <w:w w:val="99"/>
              </w:rPr>
              <w:t>September 14, 2020</w:t>
            </w:r>
          </w:p>
        </w:tc>
      </w:tr>
      <w:tr>
        <w:trPr>
          <w:trHeight w:val="180"/>
        </w:trPr>
        <w:tc>
          <w:tcPr>
            <w:tcW w:w="540" w:type="dxa"/>
            <w:vAlign w:val="bottom"/>
          </w:tcPr>
          <w:p>
            <w:pPr>
              <w:spacing w:after="0"/>
              <w:rPr>
                <w:sz w:val="15"/>
                <w:szCs w:val="15"/>
                <w:color w:val="auto"/>
              </w:rPr>
            </w:pPr>
          </w:p>
        </w:tc>
        <w:tc>
          <w:tcPr>
            <w:tcW w:w="310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Jacqueline Kosecoff</w:t>
            </w: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401"/>
        </w:trPr>
        <w:tc>
          <w:tcPr>
            <w:tcW w:w="5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left="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3"/>
          </w:tcPr>
          <w:p>
            <w:pPr>
              <w:jc w:val="center"/>
              <w:ind w:left="991"/>
              <w:spacing w:after="0"/>
              <w:rPr>
                <w:sz w:val="20"/>
                <w:szCs w:val="20"/>
                <w:color w:val="auto"/>
              </w:rPr>
            </w:pPr>
            <w:r>
              <w:rPr>
                <w:rFonts w:ascii="Times New Roman" w:cs="Times New Roman" w:eastAsia="Times New Roman" w:hAnsi="Times New Roman"/>
                <w:sz w:val="18"/>
                <w:szCs w:val="18"/>
                <w:color w:val="auto"/>
                <w:w w:val="99"/>
              </w:rPr>
              <w:t>September 14, 2020</w:t>
            </w:r>
          </w:p>
        </w:tc>
      </w:tr>
      <w:tr>
        <w:trPr>
          <w:trHeight w:val="180"/>
        </w:trPr>
        <w:tc>
          <w:tcPr>
            <w:tcW w:w="540" w:type="dxa"/>
            <w:vAlign w:val="bottom"/>
          </w:tcPr>
          <w:p>
            <w:pPr>
              <w:spacing w:after="0"/>
              <w:rPr>
                <w:sz w:val="15"/>
                <w:szCs w:val="15"/>
                <w:color w:val="auto"/>
              </w:rPr>
            </w:pPr>
          </w:p>
        </w:tc>
        <w:tc>
          <w:tcPr>
            <w:tcW w:w="310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Stephen LeSieur</w:t>
            </w: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401"/>
        </w:trPr>
        <w:tc>
          <w:tcPr>
            <w:tcW w:w="5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left="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3"/>
          </w:tcPr>
          <w:p>
            <w:pPr>
              <w:jc w:val="center"/>
              <w:ind w:left="991"/>
              <w:spacing w:after="0"/>
              <w:rPr>
                <w:sz w:val="20"/>
                <w:szCs w:val="20"/>
                <w:color w:val="auto"/>
              </w:rPr>
            </w:pPr>
            <w:r>
              <w:rPr>
                <w:rFonts w:ascii="Times New Roman" w:cs="Times New Roman" w:eastAsia="Times New Roman" w:hAnsi="Times New Roman"/>
                <w:sz w:val="18"/>
                <w:szCs w:val="18"/>
                <w:color w:val="auto"/>
                <w:w w:val="99"/>
              </w:rPr>
              <w:t>September 14, 2020</w:t>
            </w:r>
          </w:p>
        </w:tc>
      </w:tr>
      <w:tr>
        <w:trPr>
          <w:trHeight w:val="180"/>
        </w:trPr>
        <w:tc>
          <w:tcPr>
            <w:tcW w:w="540" w:type="dxa"/>
            <w:vAlign w:val="bottom"/>
          </w:tcPr>
          <w:p>
            <w:pPr>
              <w:spacing w:after="0"/>
              <w:rPr>
                <w:sz w:val="15"/>
                <w:szCs w:val="15"/>
                <w:color w:val="auto"/>
              </w:rPr>
            </w:pPr>
          </w:p>
        </w:tc>
        <w:tc>
          <w:tcPr>
            <w:tcW w:w="310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Gregory Mondre</w:t>
            </w: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401"/>
        </w:trPr>
        <w:tc>
          <w:tcPr>
            <w:tcW w:w="5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left="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3"/>
          </w:tcPr>
          <w:p>
            <w:pPr>
              <w:jc w:val="center"/>
              <w:ind w:left="991"/>
              <w:spacing w:after="0"/>
              <w:rPr>
                <w:sz w:val="20"/>
                <w:szCs w:val="20"/>
                <w:color w:val="auto"/>
              </w:rPr>
            </w:pPr>
            <w:r>
              <w:rPr>
                <w:rFonts w:ascii="Times New Roman" w:cs="Times New Roman" w:eastAsia="Times New Roman" w:hAnsi="Times New Roman"/>
                <w:sz w:val="18"/>
                <w:szCs w:val="18"/>
                <w:color w:val="auto"/>
                <w:w w:val="99"/>
              </w:rPr>
              <w:t>September 14, 2020</w:t>
            </w:r>
          </w:p>
        </w:tc>
      </w:tr>
      <w:tr>
        <w:trPr>
          <w:trHeight w:val="180"/>
        </w:trPr>
        <w:tc>
          <w:tcPr>
            <w:tcW w:w="540" w:type="dxa"/>
            <w:vAlign w:val="bottom"/>
          </w:tcPr>
          <w:p>
            <w:pPr>
              <w:spacing w:after="0"/>
              <w:rPr>
                <w:sz w:val="15"/>
                <w:szCs w:val="15"/>
                <w:color w:val="auto"/>
              </w:rPr>
            </w:pPr>
          </w:p>
        </w:tc>
        <w:tc>
          <w:tcPr>
            <w:tcW w:w="310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Agnes Rey-Giraud</w:t>
            </w: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5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By:</w:t>
            </w:r>
          </w:p>
        </w:tc>
        <w:tc>
          <w:tcPr>
            <w:tcW w:w="31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/s/ Karsten Voermann</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6"/>
        </w:trPr>
        <w:tc>
          <w:tcPr>
            <w:tcW w:w="540" w:type="dxa"/>
            <w:vAlign w:val="bottom"/>
          </w:tcPr>
          <w:p>
            <w:pPr>
              <w:spacing w:after="0"/>
              <w:rPr>
                <w:sz w:val="10"/>
                <w:szCs w:val="10"/>
                <w:color w:val="auto"/>
              </w:rPr>
            </w:pPr>
          </w:p>
        </w:tc>
        <w:tc>
          <w:tcPr>
            <w:tcW w:w="3060" w:type="dxa"/>
            <w:vAlign w:val="bottom"/>
            <w:tcBorders>
              <w:top w:val="single" w:sz="8" w:color="auto"/>
            </w:tcBorders>
            <w:gridSpan w:val="3"/>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Karsten Voermann</w:t>
            </w:r>
          </w:p>
        </w:tc>
        <w:tc>
          <w:tcPr>
            <w:tcW w:w="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87"/>
        </w:trPr>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2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Attorney-in-Fact</w:t>
            </w:r>
          </w:p>
        </w:tc>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46"/>
        </w:trPr>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6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II-7</w:t>
            </w: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940"/>
          </w:cols>
          <w:pgMar w:left="320" w:top="454" w:right="63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Shares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PAR VALUE PER SHARE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2020</w:t>
      </w:r>
    </w:p>
    <w:p>
      <w:pPr>
        <w:sectPr>
          <w:pgSz w:w="11900" w:h="16838" w:orient="portrait"/>
          <w:cols w:equalWidth="0" w:num="1">
            <w:col w:w="10900"/>
          </w:cols>
          <w:pgMar w:left="500" w:top="117" w:right="49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2020</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1585 Broadway</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200 West Street</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6"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GoodRx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named in Schedule II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Morgan Stanley &amp; Co. LLC, Goldman Sachs &amp; Co. LLC, J.P. Morgan Securities LLC and Barclays Capital Inc. are acting as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and certain shareholders of the Company (the “</w:t>
      </w:r>
      <w:r>
        <w:rPr>
          <w:rFonts w:ascii="Times New Roman" w:cs="Times New Roman" w:eastAsia="Times New Roman" w:hAnsi="Times New Roman"/>
          <w:sz w:val="18"/>
          <w:szCs w:val="18"/>
          <w:b w:val="1"/>
          <w:bCs w:val="1"/>
          <w:color w:val="auto"/>
        </w:rPr>
        <w:t>Selling Shareholders</w:t>
      </w:r>
      <w:r>
        <w:rPr>
          <w:rFonts w:ascii="Times New Roman" w:cs="Times New Roman" w:eastAsia="Times New Roman" w:hAnsi="Times New Roman"/>
          <w:sz w:val="18"/>
          <w:szCs w:val="18"/>
          <w:color w:val="auto"/>
        </w:rPr>
        <w:t>”) named in Schedule I hereto severally propose to sell to the several Underwriters, an aggregate of [●] shares of the Class A common stock of the Company, $[●] par value per share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of which [●] shares are to be issued and sold by the Company and [●] shares are to be sold by the Selling Shareholders, each Selling Shareholder selling the amount set forth opposite such Selling Shareholder’s name in Schedule I hereto. The Company also proposes to issue and sell to the several Underwriters not more than an additional [●] shares of its Class A common stock, $[●] par value per share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if and to the extent that the Representatives shall have determined to exercise, on behalf of the Underwriters, the right to purchase such shares of Class A common stock granted to the Underwriters in Section 3 hereof. The Firm Shares and the Additional Shares are hereinafter collectively referred to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shares of Class A common stock and Class B common stock, each $[●] par value per share, of the Company to be outstanding after giving effect to the sales contemplated hereby are hereinafter referred to as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The Company and the Selling Shareholders are hereinafter sometimes collectively referred to as the “</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500" w:top="268" w:right="499" w:bottom="1440" w:gutter="0" w:footer="0" w:header="0"/>
        </w:sectPr>
      </w:pPr>
    </w:p>
    <w:bookmarkStart w:id="272" w:name="page273"/>
    <w:bookmarkEnd w:id="272"/>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S-1 (File</w:t>
      </w:r>
    </w:p>
    <w:p>
      <w:pPr>
        <w:spacing w:after="0" w:line="3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No. 333-248465), including a preliminary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If the Company has filed an abbreviated registration statement to register additional shares of Common Stock pursuant to Rule 462(b) under the Securities Act (a “</w:t>
      </w:r>
      <w:r>
        <w:rPr>
          <w:rFonts w:ascii="Times New Roman" w:cs="Times New Roman" w:eastAsia="Times New Roman" w:hAnsi="Times New Roman"/>
          <w:sz w:val="18"/>
          <w:szCs w:val="18"/>
          <w:b w:val="1"/>
          <w:bCs w:val="1"/>
          <w:color w:val="auto"/>
        </w:rPr>
        <w:t>Rule 462 Registration Statement</w:t>
      </w:r>
      <w:r>
        <w:rPr>
          <w:rFonts w:ascii="Times New Roman" w:cs="Times New Roman" w:eastAsia="Times New Roman" w:hAnsi="Times New Roman"/>
          <w:sz w:val="18"/>
          <w:szCs w:val="18"/>
          <w:color w:val="auto"/>
        </w:rPr>
        <w:t>”), then any reference herein to the term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be deemed to include such Rule 462 Registration Statement.</w:t>
      </w:r>
    </w:p>
    <w:p>
      <w:pPr>
        <w:spacing w:after="0" w:line="184" w:lineRule="exact"/>
        <w:rPr>
          <w:sz w:val="20"/>
          <w:szCs w:val="20"/>
          <w:color w:val="auto"/>
        </w:rPr>
      </w:pPr>
    </w:p>
    <w:p>
      <w:pPr>
        <w:ind w:right="80" w:firstLine="436"/>
        <w:spacing w:after="0" w:line="252"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preliminary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each prospectus used prior to the effectiveness of the Registration Statement, and each prospectus that omitted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Rule 430A under the Securities Act that was used after such effectiveness and prior to the execution and delivery of this Agreement, “</w:t>
      </w: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Sale Prospectus</w:t>
      </w:r>
      <w:r>
        <w:rPr>
          <w:rFonts w:ascii="Times New Roman" w:cs="Times New Roman" w:eastAsia="Times New Roman" w:hAnsi="Times New Roman"/>
          <w:sz w:val="18"/>
          <w:szCs w:val="18"/>
          <w:color w:val="auto"/>
        </w:rPr>
        <w:t>” means the preliminary prospectus contained in the Registration Statement at the time of its effectiveness together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pricing information set forth in Schedule III hereto, and “</w:t>
      </w:r>
      <w:r>
        <w:rPr>
          <w:rFonts w:ascii="Times New Roman" w:cs="Times New Roman" w:eastAsia="Times New Roman" w:hAnsi="Times New Roman"/>
          <w:sz w:val="18"/>
          <w:szCs w:val="18"/>
          <w:b w:val="1"/>
          <w:bCs w:val="1"/>
          <w:color w:val="auto"/>
        </w:rPr>
        <w:t>broadly available road show</w:t>
      </w:r>
      <w:r>
        <w:rPr>
          <w:rFonts w:ascii="Times New Roman" w:cs="Times New Roman" w:eastAsia="Times New Roman" w:hAnsi="Times New Roman"/>
          <w:sz w:val="18"/>
          <w:szCs w:val="18"/>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Morgan Stanley &amp; Co. LLC (“</w:t>
      </w:r>
      <w:r>
        <w:rPr>
          <w:rFonts w:ascii="Times New Roman" w:cs="Times New Roman" w:eastAsia="Times New Roman" w:hAnsi="Times New Roman"/>
          <w:sz w:val="17"/>
          <w:szCs w:val="17"/>
          <w:b w:val="1"/>
          <w:bCs w:val="1"/>
          <w:color w:val="auto"/>
        </w:rPr>
        <w:t>Morgan Stanley</w:t>
      </w:r>
      <w:r>
        <w:rPr>
          <w:rFonts w:ascii="Times New Roman" w:cs="Times New Roman" w:eastAsia="Times New Roman" w:hAnsi="Times New Roman"/>
          <w:sz w:val="17"/>
          <w:szCs w:val="17"/>
          <w:color w:val="auto"/>
        </w:rPr>
        <w:t>”) has agreed to reserve a portion of the Shares to be purchased by it under this Agreement for sale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Company’s directors, officers, employees and business associates and other parties related to the Company (collectively, “</w:t>
      </w:r>
      <w:r>
        <w:rPr>
          <w:rFonts w:ascii="Times New Roman" w:cs="Times New Roman" w:eastAsia="Times New Roman" w:hAnsi="Times New Roman"/>
          <w:sz w:val="18"/>
          <w:szCs w:val="18"/>
          <w:b w:val="1"/>
          <w:bCs w:val="1"/>
          <w:color w:val="auto"/>
        </w:rPr>
        <w:t>Participants</w:t>
      </w:r>
      <w:r>
        <w:rPr>
          <w:rFonts w:ascii="Times New Roman" w:cs="Times New Roman" w:eastAsia="Times New Roman" w:hAnsi="Times New Roman"/>
          <w:sz w:val="18"/>
          <w:szCs w:val="18"/>
          <w:color w:val="auto"/>
        </w:rPr>
        <w:t>”), as set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in each of the Time of Sale Prospectus and the Prospectus under the heading “Underwriters” (the “</w:t>
      </w:r>
      <w:r>
        <w:rPr>
          <w:rFonts w:ascii="Times New Roman" w:cs="Times New Roman" w:eastAsia="Times New Roman" w:hAnsi="Times New Roman"/>
          <w:sz w:val="18"/>
          <w:szCs w:val="18"/>
          <w:b w:val="1"/>
          <w:bCs w:val="1"/>
          <w:color w:val="auto"/>
        </w:rPr>
        <w:t>Directed Share Program</w:t>
      </w:r>
      <w:r>
        <w:rPr>
          <w:rFonts w:ascii="Times New Roman" w:cs="Times New Roman" w:eastAsia="Times New Roman" w:hAnsi="Times New Roman"/>
          <w:sz w:val="18"/>
          <w:szCs w:val="18"/>
          <w:color w:val="auto"/>
        </w:rPr>
        <w:t>”). The Shares to be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 by Morgan Stanley and its affiliates pursuant to the Directed Share Program, at the direction of the Company, are referred to hereinafter as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Directed Shares</w:t>
      </w:r>
      <w:r>
        <w:rPr>
          <w:rFonts w:ascii="Times New Roman" w:cs="Times New Roman" w:eastAsia="Times New Roman" w:hAnsi="Times New Roman"/>
          <w:sz w:val="17"/>
          <w:szCs w:val="17"/>
          <w:color w:val="auto"/>
        </w:rPr>
        <w:t>”. Any Directed Shares not orally confirmed for purchase by any Participant by the end of the business day on which this Agreement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executed will be offered to the public by the Underwriters as set forth in the Prospectus.</w:t>
      </w:r>
    </w:p>
    <w:p>
      <w:pPr>
        <w:spacing w:after="0" w:line="200" w:lineRule="exact"/>
        <w:rPr>
          <w:sz w:val="20"/>
          <w:szCs w:val="20"/>
          <w:color w:val="auto"/>
        </w:rPr>
      </w:pPr>
    </w:p>
    <w:p>
      <w:pPr>
        <w:jc w:val="center"/>
        <w:ind w:left="5400" w:right="320" w:hanging="4970"/>
        <w:spacing w:after="0" w:line="450" w:lineRule="auto"/>
        <w:tabs>
          <w:tab w:leader="none" w:pos="74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each of the Underwriters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w:t>
      </w:r>
    </w:p>
    <w:p>
      <w:pPr>
        <w:sectPr>
          <w:pgSz w:w="11900" w:h="16838" w:orient="portrait"/>
          <w:cols w:equalWidth="0" w:num="1">
            <w:col w:w="10860"/>
          </w:cols>
          <w:pgMar w:left="500" w:top="264" w:right="539" w:bottom="1440" w:gutter="0" w:footer="0" w:header="0"/>
        </w:sectPr>
      </w:pPr>
    </w:p>
    <w:bookmarkStart w:id="273" w:name="page274"/>
    <w:bookmarkEnd w:id="273"/>
    <w:p>
      <w:pPr>
        <w:ind w:right="100" w:firstLine="428"/>
        <w:spacing w:after="0" w:line="262" w:lineRule="auto"/>
        <w:tabs>
          <w:tab w:leader="none" w:pos="79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w:t>
      </w:r>
    </w:p>
    <w:p>
      <w:pPr>
        <w:spacing w:after="0" w:line="70" w:lineRule="exact"/>
        <w:rPr>
          <w:rFonts w:ascii="Times New Roman" w:cs="Times New Roman" w:eastAsia="Times New Roman" w:hAnsi="Times New Roman"/>
          <w:sz w:val="18"/>
          <w:szCs w:val="18"/>
          <w:color w:val="auto"/>
        </w:rPr>
      </w:pPr>
    </w:p>
    <w:p>
      <w:pPr>
        <w:ind w:firstLine="428"/>
        <w:spacing w:after="0" w:line="249" w:lineRule="auto"/>
        <w:tabs>
          <w:tab w:leader="none" w:pos="80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Registration Statement, when it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as of the date of such amendment or supplement, will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5), the Time of Sale Prospectus, as then amended or supplemented by the Company, if applicable, as of the date of such amendment or supplement,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as of its date, does not contain and, as amended or supplemented, if applicable, as of the date of such amendment or supplement,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w:t>
      </w:r>
    </w:p>
    <w:p>
      <w:pPr>
        <w:spacing w:after="0" w:line="90" w:lineRule="exact"/>
        <w:rPr>
          <w:rFonts w:ascii="Times New Roman" w:cs="Times New Roman" w:eastAsia="Times New Roman" w:hAnsi="Times New Roman"/>
          <w:sz w:val="18"/>
          <w:szCs w:val="18"/>
          <w:color w:val="auto"/>
        </w:rPr>
      </w:pPr>
    </w:p>
    <w:p>
      <w:pPr>
        <w:ind w:right="40" w:firstLine="428"/>
        <w:spacing w:after="0" w:line="252" w:lineRule="auto"/>
        <w:tabs>
          <w:tab w:leader="none" w:pos="79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as of the date of such filing, in all material respects with the applicable requirements of the Securities Act and the applicable rules and regulations of the Commission thereunder. Except for the free writing</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60"/>
          </w:cols>
          <w:pgMar w:left="920" w:top="268" w:right="519" w:bottom="1440" w:gutter="0" w:footer="0" w:header="0"/>
        </w:sectPr>
      </w:pPr>
    </w:p>
    <w:bookmarkStart w:id="274" w:name="page275"/>
    <w:bookmarkEnd w:id="274"/>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prospectuses, if any, identified in Schedule III hereto, and electronic road shows, if any, each furnished to the Representatives before first use, the Company has not prepared, used or referred to, and will not, without the Representatives’ prior consent, prepare, use or refer to, any free writing prospectus.</w:t>
      </w:r>
    </w:p>
    <w:p>
      <w:pPr>
        <w:spacing w:after="0" w:line="70" w:lineRule="exact"/>
        <w:rPr>
          <w:sz w:val="20"/>
          <w:szCs w:val="20"/>
          <w:color w:val="auto"/>
        </w:rPr>
      </w:pPr>
    </w:p>
    <w:p>
      <w:pPr>
        <w:ind w:firstLine="428"/>
        <w:spacing w:after="0" w:line="255" w:lineRule="auto"/>
        <w:tabs>
          <w:tab w:leader="none" w:pos="80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is validly existing as a corporation in good standing under the laws of the State of Delaware, has the corporate power and authority to own or lease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have a material adverse effect on the Company and its subsidiaries, taken as a whole.</w:t>
      </w:r>
    </w:p>
    <w:p>
      <w:pPr>
        <w:spacing w:after="0" w:line="75" w:lineRule="exact"/>
        <w:rPr>
          <w:rFonts w:ascii="Times New Roman" w:cs="Times New Roman" w:eastAsia="Times New Roman" w:hAnsi="Times New Roman"/>
          <w:sz w:val="18"/>
          <w:szCs w:val="18"/>
          <w:color w:val="auto"/>
        </w:rPr>
      </w:pPr>
    </w:p>
    <w:p>
      <w:pPr>
        <w:ind w:right="40" w:firstLine="428"/>
        <w:spacing w:after="0" w:line="252" w:lineRule="auto"/>
        <w:tabs>
          <w:tab w:leader="none" w:pos="79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the Company has been duly incorporated, organized or formed, is validly existing as a corporation or other business entity in good standing under the laws of the jurisdiction of its incorporation, organization or formation, has the corporate or other business entity power and authority to own or lease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have a material adverse effect on the Company and its subsidiaries, taken as a whole; all of the issued shares of capital stock or other equity interests of each subsidiary of the Company have been duly and validly authorized and issued, are fully paid and non-assessable and are owned directly or indirectly by the Company, free and clear of all liens, encumbrances, equities or claims.</w:t>
      </w:r>
    </w:p>
    <w:p>
      <w:pPr>
        <w:spacing w:after="0" w:line="78"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13" w:lineRule="exact"/>
        <w:rPr>
          <w:rFonts w:ascii="Times New Roman" w:cs="Times New Roman" w:eastAsia="Times New Roman" w:hAnsi="Times New Roman"/>
          <w:sz w:val="18"/>
          <w:szCs w:val="18"/>
          <w:color w:val="auto"/>
        </w:rPr>
      </w:pPr>
    </w:p>
    <w:p>
      <w:pPr>
        <w:ind w:right="80" w:firstLine="428"/>
        <w:spacing w:after="0" w:line="277" w:lineRule="auto"/>
        <w:tabs>
          <w:tab w:leader="none" w:pos="80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conforms as to legal matters, in all material respects, to the description thereof contained in each of the Time of Sale Prospectus and the Prospectus as of the dates set forth therein.</w:t>
      </w:r>
    </w:p>
    <w:p>
      <w:pPr>
        <w:spacing w:after="0" w:line="56" w:lineRule="exact"/>
        <w:rPr>
          <w:rFonts w:ascii="Times New Roman" w:cs="Times New Roman" w:eastAsia="Times New Roman" w:hAnsi="Times New Roman"/>
          <w:sz w:val="18"/>
          <w:szCs w:val="18"/>
          <w:color w:val="auto"/>
        </w:rPr>
      </w:pPr>
    </w:p>
    <w:p>
      <w:pPr>
        <w:ind w:right="360" w:firstLine="428"/>
        <w:spacing w:after="0" w:line="277" w:lineRule="auto"/>
        <w:tabs>
          <w:tab w:leader="none" w:pos="80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(including the Shares to be sold by the Selling Shareholders) outstanding prior to the issuance of the Shares to be sold by the Company have been duly authorized and are validly issued, fully paid and non-assessable.</w:t>
      </w:r>
    </w:p>
    <w:p>
      <w:pPr>
        <w:spacing w:after="0" w:line="56" w:lineRule="exact"/>
        <w:rPr>
          <w:rFonts w:ascii="Times New Roman" w:cs="Times New Roman" w:eastAsia="Times New Roman" w:hAnsi="Times New Roman"/>
          <w:sz w:val="18"/>
          <w:szCs w:val="18"/>
          <w:color w:val="auto"/>
        </w:rPr>
      </w:pPr>
    </w:p>
    <w:p>
      <w:pPr>
        <w:ind w:firstLine="428"/>
        <w:spacing w:after="0" w:line="262" w:lineRule="auto"/>
        <w:tabs>
          <w:tab w:leader="none" w:pos="76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sold by the Company have been duly authorized and, when issued, delivered and paid for in accordance with the terms of this Agreement, will be validly issued, fully paid and non-assessable, and the issuance of the Shares will not be subject to any preemptive or similar rights that have not been validly waived.</w:t>
      </w:r>
    </w:p>
    <w:p>
      <w:pPr>
        <w:spacing w:after="0" w:line="11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60"/>
          </w:cols>
          <w:pgMar w:left="920" w:top="268" w:right="519" w:bottom="1440" w:gutter="0" w:footer="0" w:header="0"/>
        </w:sectPr>
      </w:pPr>
    </w:p>
    <w:bookmarkStart w:id="275" w:name="page276"/>
    <w:bookmarkEnd w:id="275"/>
    <w:p>
      <w:pPr>
        <w:ind w:right="100" w:firstLine="428"/>
        <w:spacing w:after="0" w:line="251" w:lineRule="auto"/>
        <w:tabs>
          <w:tab w:leader="none" w:pos="76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execution and delivery by the Company of, and the performance by the Company of its obligations under, this Agreement will not contravene (i) any provision of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in the case of clauses (iii) and (iv), where such contravention would not, individually or in the aggregate, reasonably be expected to have a material adverse effect on the Company and its subsidiaries, taken as a whole, and no consent, approval, authorization or order of, or qualification with, any governmental body, agency or court is required for the performance by the Company of its obligations under this Agreement, except such as have been obtained or waived or as may be required by the securities or Blue Sky laws of the various states in connection with the offer and sale of the Shares.</w:t>
      </w:r>
    </w:p>
    <w:p>
      <w:pPr>
        <w:spacing w:after="0" w:line="82" w:lineRule="exact"/>
        <w:rPr>
          <w:rFonts w:ascii="Times New Roman" w:cs="Times New Roman" w:eastAsia="Times New Roman" w:hAnsi="Times New Roman"/>
          <w:sz w:val="18"/>
          <w:szCs w:val="18"/>
          <w:color w:val="auto"/>
        </w:rPr>
      </w:pPr>
    </w:p>
    <w:p>
      <w:pPr>
        <w:ind w:right="300" w:firstLine="428"/>
        <w:spacing w:after="0" w:line="262" w:lineRule="auto"/>
        <w:tabs>
          <w:tab w:leader="none" w:pos="80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70" w:lineRule="exact"/>
        <w:rPr>
          <w:rFonts w:ascii="Times New Roman" w:cs="Times New Roman" w:eastAsia="Times New Roman" w:hAnsi="Times New Roman"/>
          <w:sz w:val="18"/>
          <w:szCs w:val="18"/>
          <w:color w:val="auto"/>
        </w:rPr>
      </w:pPr>
    </w:p>
    <w:p>
      <w:pPr>
        <w:ind w:firstLine="428"/>
        <w:spacing w:after="0" w:line="252" w:lineRule="auto"/>
        <w:tabs>
          <w:tab w:leader="none" w:pos="76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the Time of Sale Prospectus and proceedings that would not have a material adverse effect on the Company and its subsidiaries, taken as a whole, or on the power or ability of the Company to perform its obligations under this Agreement or to consummate the transactions contemplated by the Time of Sale Prospectus or (ii) that are required to be described in the Time of Sale Prospectus and are not so described; and there are no statutes, regulations, contracts or other documents to which the Company is subject or by which the Company is bound that are required to be described in the Registration Statement, the Time of Sale Prospectus or the Prospectus or to be filed as exhibits to the Registration Statement that are not described in all material respects or filed as required.</w:t>
      </w:r>
    </w:p>
    <w:p>
      <w:pPr>
        <w:spacing w:after="0" w:line="78" w:lineRule="exact"/>
        <w:rPr>
          <w:rFonts w:ascii="Times New Roman" w:cs="Times New Roman" w:eastAsia="Times New Roman" w:hAnsi="Times New Roman"/>
          <w:sz w:val="18"/>
          <w:szCs w:val="18"/>
          <w:color w:val="auto"/>
        </w:rPr>
      </w:pPr>
    </w:p>
    <w:p>
      <w:pPr>
        <w:ind w:right="40" w:firstLine="428"/>
        <w:spacing w:after="0" w:line="262" w:lineRule="auto"/>
        <w:tabs>
          <w:tab w:leader="none" w:pos="85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applicable requirements of the Securities Act and the applicable rules and regulations of the Commission thereunder.</w:t>
      </w:r>
    </w:p>
    <w:p>
      <w:pPr>
        <w:spacing w:after="0" w:line="70" w:lineRule="exact"/>
        <w:rPr>
          <w:rFonts w:ascii="Times New Roman" w:cs="Times New Roman" w:eastAsia="Times New Roman" w:hAnsi="Times New Roman"/>
          <w:sz w:val="18"/>
          <w:szCs w:val="18"/>
          <w:color w:val="auto"/>
        </w:rPr>
      </w:pPr>
    </w:p>
    <w:p>
      <w:pPr>
        <w:ind w:right="180" w:firstLine="428"/>
        <w:spacing w:after="0" w:line="262" w:lineRule="auto"/>
        <w:tabs>
          <w:tab w:leader="none" w:pos="80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and the application of the proceeds thereof as described in the Time of Sale Prospectus and the Prospectus will not be, required to register as an “investment company” as such term is defined in the Investment Company Act of 1940, as amended.</w:t>
      </w:r>
    </w:p>
    <w:p>
      <w:pPr>
        <w:spacing w:after="0" w:line="11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80"/>
          </w:cols>
          <w:pgMar w:left="920" w:top="268" w:right="499" w:bottom="1440" w:gutter="0" w:footer="0" w:header="0"/>
        </w:sectPr>
      </w:pPr>
    </w:p>
    <w:bookmarkStart w:id="276" w:name="page277"/>
    <w:bookmarkEnd w:id="276"/>
    <w:p>
      <w:pPr>
        <w:ind w:firstLine="428"/>
        <w:spacing w:after="0" w:line="252" w:lineRule="auto"/>
        <w:tabs>
          <w:tab w:leader="none" w:pos="80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spacing w:after="0" w:line="81" w:lineRule="exact"/>
        <w:rPr>
          <w:rFonts w:ascii="Times New Roman" w:cs="Times New Roman" w:eastAsia="Times New Roman" w:hAnsi="Times New Roman"/>
          <w:sz w:val="18"/>
          <w:szCs w:val="18"/>
          <w:color w:val="auto"/>
        </w:rPr>
      </w:pPr>
    </w:p>
    <w:p>
      <w:pPr>
        <w:ind w:right="140" w:firstLine="428"/>
        <w:spacing w:after="0" w:line="257" w:lineRule="auto"/>
        <w:tabs>
          <w:tab w:leader="none" w:pos="80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75" w:lineRule="exact"/>
        <w:rPr>
          <w:rFonts w:ascii="Times New Roman" w:cs="Times New Roman" w:eastAsia="Times New Roman" w:hAnsi="Times New Roman"/>
          <w:sz w:val="18"/>
          <w:szCs w:val="18"/>
          <w:color w:val="auto"/>
        </w:rPr>
      </w:pPr>
    </w:p>
    <w:p>
      <w:pPr>
        <w:ind w:right="160" w:firstLine="428"/>
        <w:spacing w:after="0" w:line="277" w:lineRule="auto"/>
        <w:tabs>
          <w:tab w:leader="none" w:pos="801"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as otherwise have been validly waived in connection with the issuance and sale of the Shares contemplated hereby and as described in the Time of Sale Prospectus and the Prospectus.</w:t>
      </w:r>
    </w:p>
    <w:p>
      <w:pPr>
        <w:spacing w:after="0" w:line="59" w:lineRule="exact"/>
        <w:rPr>
          <w:rFonts w:ascii="Times New Roman" w:cs="Times New Roman" w:eastAsia="Times New Roman" w:hAnsi="Times New Roman"/>
          <w:sz w:val="17"/>
          <w:szCs w:val="17"/>
          <w:color w:val="auto"/>
        </w:rPr>
      </w:pPr>
    </w:p>
    <w:p>
      <w:pPr>
        <w:ind w:firstLine="428"/>
        <w:spacing w:after="0" w:line="252" w:lineRule="auto"/>
        <w:tabs>
          <w:tab w:leader="none" w:pos="77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or any of its subsidiaries or controlled affiliates, or any employee, director or officer, or, to the Company’s knowledge, any agent or representative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in order to influence official action, or to any person in violation of any applicable anti-corruption laws; (ii) the Company and each of its subsidiaries and controlled affiliates have conducted their businesses in</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60"/>
          </w:cols>
          <w:pgMar w:left="920" w:top="268" w:right="519" w:bottom="1440" w:gutter="0" w:footer="0" w:header="0"/>
        </w:sectPr>
      </w:pPr>
    </w:p>
    <w:bookmarkStart w:id="277" w:name="page278"/>
    <w:bookmarkEnd w:id="277"/>
    <w:p>
      <w:pPr>
        <w:ind w:right="62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compliance with applicable anti-corruption laws and have instituted and maintained and will continue to maintain policies and procedures reasonably designed to promote and achieve compliance with such laws and with the representations and warranties contained herein; and</w:t>
      </w:r>
    </w:p>
    <w:p>
      <w:pPr>
        <w:ind w:firstLine="10"/>
        <w:spacing w:after="0" w:line="251" w:lineRule="auto"/>
        <w:tabs>
          <w:tab w:leader="none" w:pos="31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79" w:lineRule="exact"/>
        <w:rPr>
          <w:rFonts w:ascii="Times New Roman" w:cs="Times New Roman" w:eastAsia="Times New Roman" w:hAnsi="Times New Roman"/>
          <w:sz w:val="18"/>
          <w:szCs w:val="18"/>
          <w:color w:val="auto"/>
        </w:rPr>
      </w:pPr>
    </w:p>
    <w:p>
      <w:pPr>
        <w:ind w:right="100" w:firstLine="428"/>
        <w:spacing w:after="0" w:line="252" w:lineRule="auto"/>
        <w:tabs>
          <w:tab w:leader="none" w:pos="781"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78" w:lineRule="exact"/>
        <w:rPr>
          <w:rFonts w:ascii="Times New Roman" w:cs="Times New Roman" w:eastAsia="Times New Roman" w:hAnsi="Times New Roman"/>
          <w:sz w:val="18"/>
          <w:szCs w:val="18"/>
          <w:color w:val="auto"/>
        </w:rPr>
      </w:pPr>
    </w:p>
    <w:p>
      <w:pPr>
        <w:jc w:val="both"/>
        <w:ind w:right="140" w:firstLine="428"/>
        <w:spacing w:after="0" w:line="262" w:lineRule="auto"/>
        <w:tabs>
          <w:tab w:leader="none" w:pos="943"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any of its subsidiaries, or any director, officer, or employee thereof, or, to the Company’s knowledge, any agent, controlled affiliate or representative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70" w:lineRule="exact"/>
        <w:rPr>
          <w:rFonts w:ascii="Times New Roman" w:cs="Times New Roman" w:eastAsia="Times New Roman" w:hAnsi="Times New Roman"/>
          <w:sz w:val="18"/>
          <w:szCs w:val="18"/>
          <w:color w:val="auto"/>
        </w:rPr>
      </w:pPr>
    </w:p>
    <w:p>
      <w:pPr>
        <w:ind w:left="1000" w:right="100" w:firstLine="370"/>
        <w:spacing w:after="0" w:line="262" w:lineRule="auto"/>
        <w:tabs>
          <w:tab w:leader="none" w:pos="1804" w:val="left"/>
        </w:tabs>
        <w:numPr>
          <w:ilvl w:val="3"/>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70" w:lineRule="exact"/>
        <w:rPr>
          <w:rFonts w:ascii="Times New Roman" w:cs="Times New Roman" w:eastAsia="Times New Roman" w:hAnsi="Times New Roman"/>
          <w:sz w:val="18"/>
          <w:szCs w:val="18"/>
          <w:color w:val="auto"/>
        </w:rPr>
      </w:pPr>
    </w:p>
    <w:p>
      <w:pPr>
        <w:ind w:left="1000" w:right="460" w:firstLine="370"/>
        <w:spacing w:after="0" w:line="277" w:lineRule="auto"/>
        <w:tabs>
          <w:tab w:leader="none" w:pos="1795" w:val="left"/>
        </w:tabs>
        <w:numPr>
          <w:ilvl w:val="3"/>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Crimea, Cuba, Iran, North Korea and Syria).</w:t>
      </w:r>
    </w:p>
    <w:p>
      <w:pPr>
        <w:spacing w:after="0" w:line="56" w:lineRule="exact"/>
        <w:rPr>
          <w:rFonts w:ascii="Times New Roman" w:cs="Times New Roman" w:eastAsia="Times New Roman" w:hAnsi="Times New Roman"/>
          <w:sz w:val="18"/>
          <w:szCs w:val="18"/>
          <w:color w:val="auto"/>
        </w:rPr>
      </w:pPr>
    </w:p>
    <w:p>
      <w:pPr>
        <w:ind w:left="560" w:right="180" w:firstLine="391"/>
        <w:spacing w:after="0" w:line="277" w:lineRule="auto"/>
        <w:tabs>
          <w:tab w:leader="none" w:pos="1349"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56" w:lineRule="exact"/>
        <w:rPr>
          <w:rFonts w:ascii="Times New Roman" w:cs="Times New Roman" w:eastAsia="Times New Roman" w:hAnsi="Times New Roman"/>
          <w:sz w:val="18"/>
          <w:szCs w:val="18"/>
          <w:color w:val="auto"/>
        </w:rPr>
      </w:pPr>
    </w:p>
    <w:p>
      <w:pPr>
        <w:ind w:left="1000" w:right="80" w:firstLine="370"/>
        <w:spacing w:after="0" w:line="277" w:lineRule="auto"/>
        <w:tabs>
          <w:tab w:leader="none" w:pos="1804" w:val="left"/>
        </w:tabs>
        <w:numPr>
          <w:ilvl w:val="3"/>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9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60"/>
          </w:cols>
          <w:pgMar w:left="920" w:top="268" w:right="519" w:bottom="1440" w:gutter="0" w:footer="0" w:header="0"/>
        </w:sectPr>
      </w:pPr>
    </w:p>
    <w:bookmarkStart w:id="278" w:name="page279"/>
    <w:bookmarkEnd w:id="278"/>
    <w:p>
      <w:pPr>
        <w:ind w:left="1000" w:right="200" w:firstLine="370"/>
        <w:spacing w:after="0" w:line="277" w:lineRule="auto"/>
        <w:tabs>
          <w:tab w:leader="none" w:pos="1795" w:val="left"/>
        </w:tabs>
        <w:numPr>
          <w:ilvl w:val="2"/>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any other manner that will result in a violation of Sanctions by any Person (including any Person participating in the offering, whether as underwriter, advisor, investor or otherwise).</w:t>
      </w:r>
    </w:p>
    <w:p>
      <w:pPr>
        <w:spacing w:after="0" w:line="56" w:lineRule="exact"/>
        <w:rPr>
          <w:rFonts w:ascii="Times New Roman" w:cs="Times New Roman" w:eastAsia="Times New Roman" w:hAnsi="Times New Roman"/>
          <w:sz w:val="18"/>
          <w:szCs w:val="18"/>
          <w:color w:val="auto"/>
        </w:rPr>
      </w:pPr>
    </w:p>
    <w:p>
      <w:pPr>
        <w:ind w:left="560" w:right="280" w:firstLine="391"/>
        <w:spacing w:after="0" w:line="262" w:lineRule="auto"/>
        <w:tabs>
          <w:tab w:leader="none" w:pos="1402"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70" w:lineRule="exact"/>
        <w:rPr>
          <w:rFonts w:ascii="Times New Roman" w:cs="Times New Roman" w:eastAsia="Times New Roman" w:hAnsi="Times New Roman"/>
          <w:sz w:val="18"/>
          <w:szCs w:val="18"/>
          <w:color w:val="auto"/>
        </w:rPr>
      </w:pPr>
    </w:p>
    <w:p>
      <w:pPr>
        <w:ind w:right="20" w:firstLine="428"/>
        <w:spacing w:after="0" w:line="271" w:lineRule="auto"/>
        <w:tabs>
          <w:tab w:leader="none" w:pos="804"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capital stock, nor declared, paid or otherwise made any dividend or distribution of any kind on its capital stock other than ordinary and customary dividends; and (iii) there has not been any material change in the capital stock, short-term debt or long-term debt of the Company and its subsidiaries, taken as a whole; except in case of each of (i) and (iii) above as described in each of the Registration Statement, the Time of Sale Prospectus and the Prospectus, respectively.</w:t>
      </w:r>
    </w:p>
    <w:p>
      <w:pPr>
        <w:spacing w:after="0" w:line="64" w:lineRule="exact"/>
        <w:rPr>
          <w:rFonts w:ascii="Times New Roman" w:cs="Times New Roman" w:eastAsia="Times New Roman" w:hAnsi="Times New Roman"/>
          <w:sz w:val="17"/>
          <w:szCs w:val="17"/>
          <w:color w:val="auto"/>
        </w:rPr>
      </w:pPr>
    </w:p>
    <w:p>
      <w:pPr>
        <w:ind w:firstLine="428"/>
        <w:spacing w:after="0" w:line="252" w:lineRule="auto"/>
        <w:tabs>
          <w:tab w:leader="none" w:pos="80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do not own any real property. The Company and its subsidiaries have good and marketable title to all personal property owned by them which is material to the business of the Company and its subsidiaries, taken as a whole, in each case free and clear of all liens, encumbrances and defects except such as do not materially affect the value of such property and do not interfere with the use made and proposed to be made of such property by the Company and its subsidiaries or would not, single or in the aggregate, reasonable have a material adverse effect on the Company and its subsidiaries, taken as a whole; and any real property and buildings held under lease by the Company and its subsidiaries are held by them under valid, subsisting and, to the Company’s knowledge, enforceable leases with such exceptions as are not material and do not materially interfere with the use made and proposed to be made of such property and buildings by the Company and its subsidiaries, in each case except as described in the Time of Sale Prospectus.</w:t>
      </w:r>
    </w:p>
    <w:p>
      <w:pPr>
        <w:spacing w:after="0" w:line="78" w:lineRule="exact"/>
        <w:rPr>
          <w:rFonts w:ascii="Times New Roman" w:cs="Times New Roman" w:eastAsia="Times New Roman" w:hAnsi="Times New Roman"/>
          <w:sz w:val="18"/>
          <w:szCs w:val="18"/>
          <w:color w:val="auto"/>
        </w:rPr>
      </w:pPr>
    </w:p>
    <w:p>
      <w:pPr>
        <w:ind w:right="160" w:firstLine="428"/>
        <w:spacing w:after="0" w:line="255" w:lineRule="auto"/>
        <w:tabs>
          <w:tab w:leader="none" w:pos="84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(i) the Company and its subsidiaries own or have a valid license to all patents, inventions, copyrights, know how (including trade secrets and other unpatented and/or unpatentable proprietary or confidential information, systems or procedures), trademarks, service marks and trade names and all other worldwide intellectual property and proprietary rights (including all registrations and applications for registration of, and all goodwill associated with, any of the foregoing)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used in or reasonably necessary to the conduct of their respective</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460"/>
          </w:cols>
          <w:pgMar w:left="920" w:top="268" w:right="519" w:bottom="1440" w:gutter="0" w:footer="0" w:header="0"/>
        </w:sectPr>
      </w:pPr>
    </w:p>
    <w:bookmarkStart w:id="279" w:name="page280"/>
    <w:bookmarkEnd w:id="279"/>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businesses as now conducted by them, and as proposed to be conducted in the Registration Statement, the Time of Sale Prospectus or the Prospectus; (ii) the Intellectual Property Rights owned by the Company and its subsidiaries and, to the Company’s knowledge, the Intellectual Property Rights licensed to the Company and its subsidiaries, are valid, subsisting and enforceable, and there is no pending or, to the Company’s knowledge, threatened action, suit, proceeding or claim by others challenging the validity, scope or enforceability of, or any rights of the Company or any of its subsidiaries in, any such Intellectual Property Rights; (iii) neither the Company nor any of its subsidiaries has received any notice alleging any infringement, misappropriation or other violation of Intellectual Property Rights which, singly or in the aggregate, if the subject of an unfavorable decision, ruling or finding, would have a material adverse effect on the Company and its subsidiaries, taken as a whole; (iv) to the Company’s knowledge, no Person is infringing, misappropriating or otherwise violating, or has infringed, misappropriated or otherwise violated, any Intellectual Property Rights owned or controlled by the Company or any of its subsidiaries; (v) neither the Company nor any of its subsidiaries infringes, misappropriates or otherwise violates, or has infringed, misappropriated or otherwise violated, any Intellectual Property Rights of any Person, and the conduct of each of the respective businesses of the Company and its subsidiaries as described in the Registration Statement, the Time of Sale Prospectus or the Prospectus will not infringe, misappropriate, or otherwise violate any Intellectual Property Rights of any Person; (vi) all employees or contractors engaged in the development of Intellectual Property Rights on behalf of the Company or any of its subsidiaries have executed an invention assignment agreement whereby such employees or contractors presently assign all of their right, title and interest in and to such Intellectual Property Rights to the Company or its applicable subsidiary, and to the Company’s knowledge no such agreement has been breached or violated; and (vii) the Company and its subsidiaries use, and have used, reasonable efforts in accordance with normal industry practice to appropriately maintain the confidentiality of all Intellectual Property Rights of the Company and its subsidiaries the value of which to the Company or any of its subsidiaries is contingent upon maintaining the confidentiality thereof, and no such Intellectual Property Rights have been disclosed other than to employees, representatives and agents of the Company or any of its subsidiaries, all of whom are bound by written confidentiality agreements.</w:t>
      </w:r>
    </w:p>
    <w:p>
      <w:pPr>
        <w:spacing w:after="0" w:line="87" w:lineRule="exact"/>
        <w:rPr>
          <w:sz w:val="20"/>
          <w:szCs w:val="20"/>
          <w:color w:val="auto"/>
        </w:rPr>
      </w:pPr>
    </w:p>
    <w:p>
      <w:pPr>
        <w:ind w:right="20" w:firstLine="428"/>
        <w:spacing w:after="0" w:line="252" w:lineRule="auto"/>
        <w:tabs>
          <w:tab w:leader="none" w:pos="80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18"/>
          <w:szCs w:val="18"/>
          <w:b w:val="1"/>
          <w:bCs w:val="1"/>
          <w:color w:val="auto"/>
        </w:rPr>
        <w:t>Open Source Software</w:t>
      </w:r>
      <w:r>
        <w:rPr>
          <w:rFonts w:ascii="Times New Roman" w:cs="Times New Roman" w:eastAsia="Times New Roman" w:hAnsi="Times New Roman"/>
          <w:sz w:val="18"/>
          <w:szCs w:val="18"/>
          <w:color w:val="auto"/>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460"/>
          </w:cols>
          <w:pgMar w:left="920" w:top="268" w:right="519" w:bottom="1440" w:gutter="0" w:footer="0" w:header="0"/>
        </w:sectPr>
      </w:pPr>
    </w:p>
    <w:bookmarkStart w:id="280" w:name="page281"/>
    <w:bookmarkEnd w:id="280"/>
    <w:p>
      <w:pPr>
        <w:ind w:firstLine="428"/>
        <w:spacing w:after="0" w:line="250" w:lineRule="auto"/>
        <w:tabs>
          <w:tab w:leader="none" w:pos="80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Except as described in the Registration Statement, the Time of Sale Prospectus or the Prospectus, and except as would not, individually or in the aggregate, reasonably be expected to have a material adverse effect on the Company and its subsidiaries, taken as a whole: (i) the Company and each of its subsidiaries have complied and are presently in compliance with all internal and external privacy policies, contractual obligations, applicable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or information (“</w:t>
      </w:r>
      <w:r>
        <w:rPr>
          <w:rFonts w:ascii="Times New Roman" w:cs="Times New Roman" w:eastAsia="Times New Roman" w:hAnsi="Times New Roman"/>
          <w:sz w:val="18"/>
          <w:szCs w:val="18"/>
          <w:b w:val="1"/>
          <w:bCs w:val="1"/>
          <w:color w:val="auto"/>
        </w:rPr>
        <w:t>Data Security Obligations</w:t>
      </w:r>
      <w:r>
        <w:rPr>
          <w:rFonts w:ascii="Times New Roman" w:cs="Times New Roman" w:eastAsia="Times New Roman" w:hAnsi="Times New Roman"/>
          <w:sz w:val="18"/>
          <w:szCs w:val="18"/>
          <w:color w:val="auto"/>
        </w:rPr>
        <w:t>”, and such data and information,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(ii) the Company and its subsidiaries have not received any notification of or complaint regarding and are unaware of any other facts that, individually or in the aggregate, would reasonably indicate non-compliance with any Data Security Obligation by the Company or any of its subsidiaries; and (iii) there is no action, suit or proceeding by or before any court or governmental agency, authority or body pending or threatened alleging non-compliance with any Data Security Obligation by the Company or any of its subsidiaries.</w:t>
      </w:r>
    </w:p>
    <w:p>
      <w:pPr>
        <w:spacing w:after="0" w:line="86" w:lineRule="exact"/>
        <w:rPr>
          <w:rFonts w:ascii="Times New Roman" w:cs="Times New Roman" w:eastAsia="Times New Roman" w:hAnsi="Times New Roman"/>
          <w:sz w:val="18"/>
          <w:szCs w:val="18"/>
          <w:color w:val="auto"/>
        </w:rPr>
      </w:pPr>
    </w:p>
    <w:p>
      <w:pPr>
        <w:ind w:firstLine="428"/>
        <w:spacing w:after="0" w:line="265" w:lineRule="auto"/>
        <w:tabs>
          <w:tab w:leader="none" w:pos="794"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individually or in the aggregate, reasonably be expected to have a material adverse effect on the Company and its subsidiaries, taken as a whole: (i) the Company and its subsidiaries’ respective information technology assets and equipment, computers, systems, networks, hardware, software, websites, applications, technology, data and databases (including Personal Data and the data and information of their respective customers, employees, suppliers, vendors and any third party data maintained, processed or stored by or on behalf of the Company and its subsidiaries) used in connection with the operation of the Company’s and its subsidiaries’ respective businesses (“</w:t>
      </w:r>
      <w:r>
        <w:rPr>
          <w:rFonts w:ascii="Times New Roman" w:cs="Times New Roman" w:eastAsia="Times New Roman" w:hAnsi="Times New Roman"/>
          <w:sz w:val="17"/>
          <w:szCs w:val="17"/>
          <w:b w:val="1"/>
          <w:bCs w:val="1"/>
          <w:color w:val="auto"/>
        </w:rPr>
        <w:t>IT Systems and Data</w:t>
      </w:r>
      <w:r>
        <w:rPr>
          <w:rFonts w:ascii="Times New Roman" w:cs="Times New Roman" w:eastAsia="Times New Roman" w:hAnsi="Times New Roman"/>
          <w:sz w:val="17"/>
          <w:szCs w:val="17"/>
          <w:color w:val="auto"/>
        </w:rPr>
        <w:t>”) are adequate for, and operate and perform in all material respects as required in connection with the operation of the business of the Company and its subsidiaries as currently conducted, free and clear of all bugs, errors, defects, Trojan horses, time bombs, malware and other corruptants;</w:t>
      </w:r>
    </w:p>
    <w:p>
      <w:pPr>
        <w:spacing w:after="0" w:line="4" w:lineRule="exact"/>
        <w:rPr>
          <w:rFonts w:ascii="Times New Roman" w:cs="Times New Roman" w:eastAsia="Times New Roman" w:hAnsi="Times New Roman"/>
          <w:sz w:val="17"/>
          <w:szCs w:val="17"/>
          <w:color w:val="auto"/>
        </w:rPr>
      </w:pPr>
    </w:p>
    <w:p>
      <w:pPr>
        <w:ind w:right="40" w:firstLine="10"/>
        <w:spacing w:after="0" w:line="249" w:lineRule="auto"/>
        <w:tabs>
          <w:tab w:leader="none" w:pos="26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taken commercially reasonable technical and organizational measures necessary to protect the IT Systems and Data, and without limiting the foregoing, the Company and its subsidiaries have used commercially reasonable efforts to establish and maintain, and have established, maintained, implemented and complied with, commercially reasonable information technology, information security, cyber security and data protection controls, policies and procedures, including oversight, access controls, encryption, technological and physical safeguards and business continuity/disaster</w:t>
      </w:r>
    </w:p>
    <w:p>
      <w:pPr>
        <w:spacing w:after="0" w:line="1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60"/>
          </w:cols>
          <w:pgMar w:left="920" w:top="268" w:right="519" w:bottom="1440" w:gutter="0" w:footer="0" w:header="0"/>
        </w:sectPr>
      </w:pPr>
    </w:p>
    <w:bookmarkStart w:id="281" w:name="page282"/>
    <w:bookmarkEnd w:id="281"/>
    <w:p>
      <w:pPr>
        <w:ind w:right="6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recovery and security plans, consistent with applicable industry standards and practices, that are designed to protect against and prevent breach, destruction, loss, unauthorized distribution, use, access, or other compromise or misuse of or relating to any IT Systems and Data (“</w:t>
      </w:r>
      <w:r>
        <w:rPr>
          <w:rFonts w:ascii="Times New Roman" w:cs="Times New Roman" w:eastAsia="Times New Roman" w:hAnsi="Times New Roman"/>
          <w:sz w:val="17"/>
          <w:szCs w:val="17"/>
          <w:b w:val="1"/>
          <w:bCs w:val="1"/>
          <w:color w:val="auto"/>
        </w:rPr>
        <w:t>Breach</w:t>
      </w:r>
      <w:r>
        <w:rPr>
          <w:rFonts w:ascii="Times New Roman" w:cs="Times New Roman" w:eastAsia="Times New Roman" w:hAnsi="Times New Roman"/>
          <w:sz w:val="17"/>
          <w:szCs w:val="17"/>
          <w:color w:val="auto"/>
        </w:rPr>
        <w:t>”); and</w:t>
      </w:r>
    </w:p>
    <w:p>
      <w:pPr>
        <w:ind w:right="580" w:firstLine="10"/>
        <w:spacing w:after="0" w:line="255" w:lineRule="auto"/>
        <w:tabs>
          <w:tab w:leader="none" w:pos="31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such Breach, and the Company and its subsidiaries have not been notified of and have no knowledge of any event or condition that would reasonably be expected to result in, any such Breach.</w:t>
      </w:r>
    </w:p>
    <w:p>
      <w:pPr>
        <w:spacing w:after="0" w:line="75" w:lineRule="exact"/>
        <w:rPr>
          <w:rFonts w:ascii="Times New Roman" w:cs="Times New Roman" w:eastAsia="Times New Roman" w:hAnsi="Times New Roman"/>
          <w:sz w:val="18"/>
          <w:szCs w:val="18"/>
          <w:color w:val="auto"/>
        </w:rPr>
      </w:pPr>
    </w:p>
    <w:p>
      <w:pPr>
        <w:ind w:right="120" w:firstLine="428"/>
        <w:spacing w:after="0" w:line="257" w:lineRule="auto"/>
        <w:tabs>
          <w:tab w:leader="none" w:pos="873"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singly or in the aggregate, have a material adverse effect on the Company and its subsidiaries, taken as a whole.</w:t>
      </w:r>
    </w:p>
    <w:p>
      <w:pPr>
        <w:spacing w:after="0" w:line="75" w:lineRule="exact"/>
        <w:rPr>
          <w:rFonts w:ascii="Times New Roman" w:cs="Times New Roman" w:eastAsia="Times New Roman" w:hAnsi="Times New Roman"/>
          <w:sz w:val="18"/>
          <w:szCs w:val="18"/>
          <w:color w:val="auto"/>
        </w:rPr>
      </w:pPr>
    </w:p>
    <w:p>
      <w:pPr>
        <w:ind w:right="160" w:firstLine="428"/>
        <w:spacing w:after="0" w:line="253" w:lineRule="auto"/>
        <w:tabs>
          <w:tab w:leader="none" w:pos="89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insured by insurers of recognized financial responsibility against such losses and risks and in such amounts as are, in the reasonable judgment of the Company,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to have a material adverse effect on the Company and its subsidiaries, taken as a whole.</w:t>
      </w:r>
    </w:p>
    <w:p>
      <w:pPr>
        <w:spacing w:after="0" w:line="80" w:lineRule="exact"/>
        <w:rPr>
          <w:rFonts w:ascii="Times New Roman" w:cs="Times New Roman" w:eastAsia="Times New Roman" w:hAnsi="Times New Roman"/>
          <w:sz w:val="18"/>
          <w:szCs w:val="18"/>
          <w:color w:val="auto"/>
        </w:rPr>
      </w:pPr>
    </w:p>
    <w:p>
      <w:pPr>
        <w:ind w:right="60" w:firstLine="428"/>
        <w:spacing w:after="0" w:line="253" w:lineRule="auto"/>
        <w:tabs>
          <w:tab w:leader="none" w:pos="87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taken as a whole, possess all certificates, authorizations and permits issued by the appropriate federal, state or foreign regulatory authorities necessary to conduct their respective businesses, except where the failure to obtain such certificates, authorizations and permits would not reasonably be expected to have a material adverse effect on the Company and its subsidiaries, taken as a whole,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reasonably be expected to have a material adverse effect on the Company and its subsidiaries, taken as a whole.</w:t>
      </w:r>
    </w:p>
    <w:p>
      <w:pPr>
        <w:spacing w:after="0" w:line="80" w:lineRule="exact"/>
        <w:rPr>
          <w:rFonts w:ascii="Times New Roman" w:cs="Times New Roman" w:eastAsia="Times New Roman" w:hAnsi="Times New Roman"/>
          <w:sz w:val="18"/>
          <w:szCs w:val="18"/>
          <w:color w:val="auto"/>
        </w:rPr>
      </w:pPr>
    </w:p>
    <w:p>
      <w:pPr>
        <w:ind w:firstLine="428"/>
        <w:spacing w:after="0" w:line="255" w:lineRule="auto"/>
        <w:tabs>
          <w:tab w:leader="none" w:pos="89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80"/>
          </w:cols>
          <w:pgMar w:left="920" w:top="268" w:right="499" w:bottom="1440" w:gutter="0" w:footer="0" w:header="0"/>
        </w:sectPr>
      </w:pPr>
    </w:p>
    <w:bookmarkStart w:id="282" w:name="page283"/>
    <w:bookmarkEnd w:id="282"/>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applied on a consistent basis throughout the periods covered thereby except for any normal year-end adjustments in the Company’s quarterly financial statements. The other financial information included in each of the Registration Statement, the Time of Sale Prospectus and the Prospectus has been derived from the accounting records of the Company and its consolidated subsidiaries and presents fairly in all material respects the information shown thereby. The statistical, industry-related and market-related data included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 and, to the extent required, the Company has obtained the written consent to the use of such data from such sources.</w:t>
      </w:r>
    </w:p>
    <w:p>
      <w:pPr>
        <w:spacing w:after="0" w:line="80" w:lineRule="exact"/>
        <w:rPr>
          <w:sz w:val="20"/>
          <w:szCs w:val="20"/>
          <w:color w:val="auto"/>
        </w:rPr>
      </w:pPr>
    </w:p>
    <w:p>
      <w:pPr>
        <w:ind w:firstLine="428"/>
        <w:spacing w:after="0" w:line="255" w:lineRule="auto"/>
        <w:tabs>
          <w:tab w:leader="none" w:pos="87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PricewaterhouseCoopers LLP, who have certified certain financial statements of the Company and its subsidiaries and delivered its report with respect to the audited consolidated financial statements and schedules filed with the Commission as part of the Registration Statement and included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75" w:lineRule="exact"/>
        <w:rPr>
          <w:rFonts w:ascii="Times New Roman" w:cs="Times New Roman" w:eastAsia="Times New Roman" w:hAnsi="Times New Roman"/>
          <w:sz w:val="18"/>
          <w:szCs w:val="18"/>
          <w:color w:val="auto"/>
        </w:rPr>
      </w:pPr>
    </w:p>
    <w:p>
      <w:pPr>
        <w:ind w:right="20" w:firstLine="428"/>
        <w:spacing w:after="0" w:line="251" w:lineRule="auto"/>
        <w:tabs>
          <w:tab w:leader="none" w:pos="82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maintain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the Company’s most recent audited fiscal year, there has been (i) no material weakness in the Company’s internal control over financial reporting (whether or not remediated), except as disclosed in the Time of Sale Prospectus and the Prospectus, and (ii) no change in the Company’s internal control over financial reporting that has materially and adversely affected, or is reasonably likely to materially and adversely affect, the Company’s internal control over financial reporting.</w:t>
      </w:r>
    </w:p>
    <w:p>
      <w:pPr>
        <w:spacing w:after="0" w:line="82" w:lineRule="exact"/>
        <w:rPr>
          <w:rFonts w:ascii="Times New Roman" w:cs="Times New Roman" w:eastAsia="Times New Roman" w:hAnsi="Times New Roman"/>
          <w:sz w:val="18"/>
          <w:szCs w:val="18"/>
          <w:color w:val="auto"/>
        </w:rPr>
      </w:pPr>
    </w:p>
    <w:p>
      <w:pPr>
        <w:ind w:right="220" w:firstLine="428"/>
        <w:spacing w:after="0" w:line="257" w:lineRule="auto"/>
        <w:tabs>
          <w:tab w:leader="none" w:pos="89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and the Time of Sale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and director compensation plans or pursuant to outstanding options, rights or warrants.</w:t>
      </w:r>
    </w:p>
    <w:p>
      <w:pPr>
        <w:spacing w:after="0" w:line="11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460"/>
          </w:cols>
          <w:pgMar w:left="920" w:top="264" w:right="519" w:bottom="1440" w:gutter="0" w:footer="0" w:header="0"/>
        </w:sectPr>
      </w:pPr>
    </w:p>
    <w:bookmarkStart w:id="283" w:name="page284"/>
    <w:bookmarkEnd w:id="283"/>
    <w:p>
      <w:pPr>
        <w:ind w:firstLine="428"/>
        <w:spacing w:after="0" w:line="251" w:lineRule="auto"/>
        <w:tabs>
          <w:tab w:leader="none" w:pos="89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Company and each of its subsidiaries have filed all federal, state, local and foreign tax returns required to be filed through the date of this Agreement or have requested extensions thereof (except where the failure to file would not, singly or in the aggregate, have a material adverse effect on the Company and its subsidiaries, taken as a whole) and have paid all taxes required to be paid thereon (except for cases in which the failure to file or pay would not, singly or in the aggregate, have a material adverse effect on the Company and its subsidiaries, taken as a whole, or, except as currently being contested in good faith and for which reserves required by U.S. GAAP have been created in the financial statements of the Company), and no tax deficiency has been determined adversely to the Company or any of its subsidiaries which, singly or in the aggregate, has had (nor does the Company nor any of its subsidiaries have any notice or knowledge of any tax deficiency which could reasonably be expected to be determined adversely to the Company or its subsidiaries and which could reasonably be expected to have) a material adverse effect on the Company and its subsidiaries, taken as a whole.</w:t>
      </w:r>
    </w:p>
    <w:p>
      <w:pPr>
        <w:spacing w:after="0" w:line="82" w:lineRule="exact"/>
        <w:rPr>
          <w:rFonts w:ascii="Times New Roman" w:cs="Times New Roman" w:eastAsia="Times New Roman" w:hAnsi="Times New Roman"/>
          <w:sz w:val="18"/>
          <w:szCs w:val="18"/>
          <w:color w:val="auto"/>
        </w:rPr>
      </w:pPr>
    </w:p>
    <w:p>
      <w:pPr>
        <w:ind w:right="40" w:firstLine="428"/>
        <w:spacing w:after="0" w:line="249" w:lineRule="auto"/>
        <w:tabs>
          <w:tab w:leader="none" w:pos="81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Time of Sale Prospectus and the Prospectus, the Company and each of its subsidiaries (including any variable interest entities) (i) are (and the Company has no knowledge that at any time in the past three (3) years it or any of its subsidiaries have not been) in compliance with all applicable Healthcare Laws, except as would not, individually or in the aggregate, reasonably be expected to have a material adverse effect on the Company and its subsidiaries, taken as a whole; (ii) have not received written notice of any claim, action, suit, proceeding, hearing, enforcement, investigation, arbitration or other action from any from any court or arbitrator or governmental or regulatory authority or third party alleging that any operation or activity of the Company or any of its subsidiaries is in material violation of any Healthcare Laws, nor, to the Company’s knowledge, is any such claim, action, suit, proceeding, hearing, enforcement, investigation, arbitration or other action threatened; and (iii) are not a party to any corporate integrity agreements, monitoring agreements, consent decrees, settlement orders, or similar agreements with or imposed by any governmental or regulatory authority. “</w:t>
      </w:r>
      <w:r>
        <w:rPr>
          <w:rFonts w:ascii="Times New Roman" w:cs="Times New Roman" w:eastAsia="Times New Roman" w:hAnsi="Times New Roman"/>
          <w:sz w:val="18"/>
          <w:szCs w:val="18"/>
          <w:b w:val="1"/>
          <w:bCs w:val="1"/>
          <w:color w:val="auto"/>
        </w:rPr>
        <w:t>Healthcare Laws</w:t>
      </w:r>
      <w:r>
        <w:rPr>
          <w:rFonts w:ascii="Times New Roman" w:cs="Times New Roman" w:eastAsia="Times New Roman" w:hAnsi="Times New Roman"/>
          <w:sz w:val="18"/>
          <w:szCs w:val="18"/>
          <w:color w:val="auto"/>
        </w:rPr>
        <w:t>” means all applicable state all-payor anti-kickback laws, state licensure, scope of practice and supervision laws relating to the practice of medicine or the provision of telehealth services; state laws concerning fee-splitting, the corporate practice of medicine, the employment of, or contracting with, physicians and other healthcare professionals, and the provision of management or administrative services in connection with the practice of medicine; any other comparable local, state, and federal laws, each as amended from time to time, and the regulations promulgated under those laws. To the knowledge of the Company, there are no state or federal healthcare laws which are applicable to the Company and its subsidiaries (including any variable interest entities) which as of this date are material to the businesses of the Company and its subsidiaries, taken as a whole, which are not described in the Registration Statement, the Time of Sale Prospectus or the Prospectus.</w:t>
      </w:r>
    </w:p>
    <w:p>
      <w:pPr>
        <w:spacing w:after="0" w:line="1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480"/>
          </w:cols>
          <w:pgMar w:left="920" w:top="268" w:right="499" w:bottom="1440" w:gutter="0" w:footer="0" w:header="0"/>
        </w:sectPr>
      </w:pPr>
    </w:p>
    <w:bookmarkStart w:id="284" w:name="page285"/>
    <w:bookmarkEnd w:id="284"/>
    <w:p>
      <w:pPr>
        <w:ind w:firstLine="428"/>
        <w:spacing w:after="0" w:line="251" w:lineRule="auto"/>
        <w:tabs>
          <w:tab w:leader="none" w:pos="81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Except as would not, individually or in the aggregate, reasonably be expected to have a material adverse effect on the Company and its subsidiaries, taken as a whole, (i) each employee benefit plan, within the meaning of Section 3(3) of the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that is sponsored, maintained, administered or contributed to by the Company has been maintained in compliance with its terms and the requirements of any applicable statutes, orders, rules and regulations, including but not limited to ERISA and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(ii) neither the Company nor any member of its “Controlled Group” (defined as any trade or business, whether or not incorporated, that would be regarded as a single employer with the Company under Section 414 of the Code) (x) has, within the last six (6) years sponsored, maintained, contributed to or had any obligation to contribute to any employee benefit plan that is subject to Title IV of ERISA or any “multiemployer plan” as defined in Section 3(37) of ERISA or (y) has any outstanding liability, or reasonably expects to incur any liability, under Title IV of ERISA.</w:t>
      </w:r>
    </w:p>
    <w:p>
      <w:pPr>
        <w:spacing w:after="0" w:line="82" w:lineRule="exact"/>
        <w:rPr>
          <w:rFonts w:ascii="Times New Roman" w:cs="Times New Roman" w:eastAsia="Times New Roman" w:hAnsi="Times New Roman"/>
          <w:sz w:val="18"/>
          <w:szCs w:val="18"/>
          <w:color w:val="auto"/>
        </w:rPr>
      </w:pPr>
    </w:p>
    <w:p>
      <w:pPr>
        <w:ind w:right="20" w:firstLine="428"/>
        <w:spacing w:after="0" w:line="257" w:lineRule="auto"/>
        <w:tabs>
          <w:tab w:leader="none" w:pos="89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initial confidential submission of the Registration Statement to the Commission (or, if earlier, the first date on which the Company engaged directly or through any person authorized to act on its behalf in any Testing-the-Waters Communication)through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right="160" w:firstLine="428"/>
        <w:spacing w:after="0" w:line="252" w:lineRule="auto"/>
        <w:tabs>
          <w:tab w:leader="none" w:pos="81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not alone engaged in any Testing-the-Waters Communication with any person other than Testing-the-Waters Communications with prior notice to the Representatives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communication with potential investors undertaken in reliance on Section 5(d) or Rule 163B of the Securities Act.</w:t>
      </w:r>
    </w:p>
    <w:p>
      <w:pPr>
        <w:spacing w:after="0" w:line="78" w:lineRule="exact"/>
        <w:rPr>
          <w:rFonts w:ascii="Times New Roman" w:cs="Times New Roman" w:eastAsia="Times New Roman" w:hAnsi="Times New Roman"/>
          <w:sz w:val="18"/>
          <w:szCs w:val="18"/>
          <w:color w:val="auto"/>
        </w:rPr>
      </w:pPr>
    </w:p>
    <w:p>
      <w:pPr>
        <w:ind w:right="60" w:firstLine="428"/>
        <w:spacing w:after="0" w:line="262" w:lineRule="auto"/>
        <w:tabs>
          <w:tab w:leader="none" w:pos="98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Written Testing-the-Waters Communication, when considered together with the</w:t>
      </w:r>
    </w:p>
    <w:p>
      <w:pPr>
        <w:spacing w:after="0" w:line="11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460"/>
          </w:cols>
          <w:pgMar w:left="920" w:top="268" w:right="519" w:bottom="1440" w:gutter="0" w:footer="0" w:header="0"/>
        </w:sectPr>
      </w:pPr>
    </w:p>
    <w:bookmarkStart w:id="285" w:name="page286"/>
    <w:bookmarkEnd w:id="285"/>
    <w:p>
      <w:pPr>
        <w:ind w:right="10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Time of Sale Prospectus,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below).</w:t>
      </w:r>
    </w:p>
    <w:p>
      <w:pPr>
        <w:spacing w:after="0" w:line="75" w:lineRule="exact"/>
        <w:rPr>
          <w:sz w:val="20"/>
          <w:szCs w:val="20"/>
          <w:color w:val="auto"/>
        </w:rPr>
      </w:pPr>
    </w:p>
    <w:p>
      <w:pPr>
        <w:ind w:firstLine="428"/>
        <w:spacing w:after="0" w:line="253" w:lineRule="auto"/>
        <w:tabs>
          <w:tab w:leader="none" w:pos="89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all necessary actions to ensure that, upon the effectiveness of the Registration Statement, it will be in compliance in all material respects with all provisions of the Sarbanes-Oxley Act of 2002, as amended, and all rules and regulations promulgated thereunder or implementing the provisions thereof that are then in effect and with which the Company is required to comply as of the effectiveness of the Registration Statement. As of the date of the initial “public” filing of the Registration Statement, there were no outstanding personal loans made, directly or indirectly, by the Company or any of its subsidiaries to any director or executive officer of the Company or any of its subsidiaries (except normal advances for business expenses in the ordinary course of business).</w:t>
      </w:r>
    </w:p>
    <w:p>
      <w:pPr>
        <w:spacing w:after="0" w:line="80" w:lineRule="exact"/>
        <w:rPr>
          <w:rFonts w:ascii="Times New Roman" w:cs="Times New Roman" w:eastAsia="Times New Roman" w:hAnsi="Times New Roman"/>
          <w:sz w:val="18"/>
          <w:szCs w:val="18"/>
          <w:color w:val="auto"/>
        </w:rPr>
      </w:pPr>
    </w:p>
    <w:p>
      <w:pPr>
        <w:ind w:right="420" w:firstLine="428"/>
        <w:spacing w:after="0" w:line="277" w:lineRule="auto"/>
        <w:tabs>
          <w:tab w:leader="none" w:pos="89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affiliates has taken, directly or indirectly, any action designed to or that could reasonably be expected to cause or result in any stabilization or manipulation of the price of the Shares.</w:t>
      </w:r>
    </w:p>
    <w:p>
      <w:pPr>
        <w:spacing w:after="0" w:line="56" w:lineRule="exact"/>
        <w:rPr>
          <w:rFonts w:ascii="Times New Roman" w:cs="Times New Roman" w:eastAsia="Times New Roman" w:hAnsi="Times New Roman"/>
          <w:sz w:val="18"/>
          <w:szCs w:val="18"/>
          <w:color w:val="auto"/>
        </w:rPr>
      </w:pPr>
    </w:p>
    <w:p>
      <w:pPr>
        <w:ind w:right="20" w:firstLine="428"/>
        <w:spacing w:after="0" w:line="257" w:lineRule="auto"/>
        <w:tabs>
          <w:tab w:leader="none" w:pos="89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the Prospectus, the Time of Sale Prospectus and any preliminary prospectus comply, and any amendments or supplements thereto will comply, with any applicable laws or regulations of foreign jurisdictions in which the Prospectus, the Time of Sale Prospectus or any preliminary prospectus, as amended or supplemented, if applicable, are distributed in connection with the Directed Share Program.</w:t>
      </w:r>
    </w:p>
    <w:p>
      <w:pPr>
        <w:spacing w:after="0" w:line="75" w:lineRule="exact"/>
        <w:rPr>
          <w:rFonts w:ascii="Times New Roman" w:cs="Times New Roman" w:eastAsia="Times New Roman" w:hAnsi="Times New Roman"/>
          <w:sz w:val="18"/>
          <w:szCs w:val="18"/>
          <w:color w:val="auto"/>
        </w:rPr>
      </w:pPr>
    </w:p>
    <w:p>
      <w:pPr>
        <w:ind w:right="80" w:firstLine="428"/>
        <w:spacing w:after="0" w:line="277" w:lineRule="auto"/>
        <w:tabs>
          <w:tab w:leader="none" w:pos="89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qualification with, any governmental body or agency, other than those obtained, is required in connection with the offering of the Directed Shares in any jurisdiction where the Directed Shares are being offered.</w:t>
      </w:r>
    </w:p>
    <w:p>
      <w:pPr>
        <w:spacing w:after="0" w:line="56" w:lineRule="exact"/>
        <w:rPr>
          <w:rFonts w:ascii="Times New Roman" w:cs="Times New Roman" w:eastAsia="Times New Roman" w:hAnsi="Times New Roman"/>
          <w:sz w:val="18"/>
          <w:szCs w:val="18"/>
          <w:color w:val="auto"/>
        </w:rPr>
      </w:pPr>
    </w:p>
    <w:p>
      <w:pPr>
        <w:ind w:right="20" w:firstLine="428"/>
        <w:spacing w:after="0" w:line="257" w:lineRule="auto"/>
        <w:tabs>
          <w:tab w:leader="none" w:pos="83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offered, or caused Morgan Stanley or any Morgan Stanley Entity as defined in Section 12 to offer, Shares to any person pursuant to the Directed Share Program with the specific intent to unlawfully influence (i) a customer or supplier of the Company to alter the customer’s or supplier’s level or type of business with the Company, or (ii) a trade journalist or publication to write or publish favorable information about the Company or its products.</w:t>
      </w:r>
    </w:p>
    <w:p>
      <w:pPr>
        <w:spacing w:after="0" w:line="11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460"/>
          </w:cols>
          <w:pgMar w:left="920" w:top="268" w:right="519" w:bottom="1440" w:gutter="0" w:footer="0" w:header="0"/>
        </w:sectPr>
      </w:pPr>
    </w:p>
    <w:bookmarkStart w:id="286" w:name="page287"/>
    <w:bookmarkEnd w:id="286"/>
    <w:p>
      <w:pPr>
        <w:ind w:right="240" w:firstLine="430"/>
        <w:spacing w:after="0" w:line="279" w:lineRule="auto"/>
        <w:tabs>
          <w:tab w:leader="none" w:pos="74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Representations and Warranties of the Selling Shareholders</w:t>
      </w:r>
      <w:r>
        <w:rPr>
          <w:rFonts w:ascii="Times New Roman" w:cs="Times New Roman" w:eastAsia="Times New Roman" w:hAnsi="Times New Roman"/>
          <w:sz w:val="18"/>
          <w:szCs w:val="18"/>
          <w:color w:val="auto"/>
        </w:rPr>
        <w:t>. Each Selling Shareholder, severally and not jointly, represents and warrants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agrees with each of the Underwriters that:</w:t>
      </w:r>
    </w:p>
    <w:p>
      <w:pPr>
        <w:spacing w:after="0" w:line="55" w:lineRule="exact"/>
        <w:rPr>
          <w:rFonts w:ascii="Times New Roman" w:cs="Times New Roman" w:eastAsia="Times New Roman" w:hAnsi="Times New Roman"/>
          <w:sz w:val="18"/>
          <w:szCs w:val="18"/>
          <w:color w:val="auto"/>
        </w:rPr>
      </w:pPr>
    </w:p>
    <w:p>
      <w:pPr>
        <w:ind w:left="1220" w:hanging="372"/>
        <w:spacing w:after="0"/>
        <w:tabs>
          <w:tab w:leader="none" w:pos="122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or on behalf of such Selling Shareholder.</w:t>
      </w:r>
    </w:p>
    <w:p>
      <w:pPr>
        <w:spacing w:after="0" w:line="113" w:lineRule="exact"/>
        <w:rPr>
          <w:rFonts w:ascii="Times New Roman" w:cs="Times New Roman" w:eastAsia="Times New Roman" w:hAnsi="Times New Roman"/>
          <w:sz w:val="18"/>
          <w:szCs w:val="18"/>
          <w:color w:val="auto"/>
        </w:rPr>
      </w:pPr>
    </w:p>
    <w:p>
      <w:pPr>
        <w:ind w:left="420" w:firstLine="428"/>
        <w:spacing w:after="0" w:line="250" w:lineRule="auto"/>
        <w:tabs>
          <w:tab w:leader="none" w:pos="1221"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or on behalf of such Selling Shareholder of, and the performance by such Selling Shareholder of its obligations under, this Agreement, the Custody Agreement signed by such Selling Shareholder and [American Stock Transfer &amp; Trust Company, LLC], as Custodian, relating to the deposit of the Shares to be sold by such Selling Shareholder (the “</w:t>
      </w:r>
      <w:r>
        <w:rPr>
          <w:rFonts w:ascii="Times New Roman" w:cs="Times New Roman" w:eastAsia="Times New Roman" w:hAnsi="Times New Roman"/>
          <w:sz w:val="18"/>
          <w:szCs w:val="18"/>
          <w:b w:val="1"/>
          <w:bCs w:val="1"/>
          <w:color w:val="auto"/>
        </w:rPr>
        <w:t>Custody Agreement</w:t>
      </w:r>
      <w:r>
        <w:rPr>
          <w:rFonts w:ascii="Times New Roman" w:cs="Times New Roman" w:eastAsia="Times New Roman" w:hAnsi="Times New Roman"/>
          <w:sz w:val="18"/>
          <w:szCs w:val="18"/>
          <w:color w:val="auto"/>
        </w:rPr>
        <w:t>”) and the Power of Attorney appointing certain individuals as such Selling Shareholder’s attorneys-in-fact to the extent set forth therein, relating to the transactions contemplated hereby and by the Registration Statement (the “</w:t>
      </w:r>
      <w:r>
        <w:rPr>
          <w:rFonts w:ascii="Times New Roman" w:cs="Times New Roman" w:eastAsia="Times New Roman" w:hAnsi="Times New Roman"/>
          <w:sz w:val="18"/>
          <w:szCs w:val="18"/>
          <w:b w:val="1"/>
          <w:bCs w:val="1"/>
          <w:color w:val="auto"/>
        </w:rPr>
        <w:t>Power of Attorney</w:t>
      </w:r>
      <w:r>
        <w:rPr>
          <w:rFonts w:ascii="Times New Roman" w:cs="Times New Roman" w:eastAsia="Times New Roman" w:hAnsi="Times New Roman"/>
          <w:sz w:val="18"/>
          <w:szCs w:val="18"/>
          <w:color w:val="auto"/>
        </w:rPr>
        <w:t>”) will not contravene (i) any provision of applicable law, or (ii) the certificate of incorporation or by-laws of such Selling Shareholder (if such Selling Shareholder is a corporation), or (iii) any agreement or other instrument binding upon such Selling Shareholder or (iv) any judgment, order or decree of any governmental body, agency or court having jurisdiction over such Selling Shareholder, except in the case of clauses (iii) and (iv) as would not, individually or in the aggregate, have a material adverse effect on the ability of the Selling Shareholder to consummate the transactions contemplated by this Agreement, the Custody Agreement and the Power of Attorney, and no consent, approval, authorization or order of, or qualification with, any governmental body, agency or court is required for the performance by such Selling Shareholder of its obligations under this Agreement or the Custody Agreement or Power of Attorney of such Selling Shareholder, except such as have been obtained and made under the Securities Act, such as may be required by the Exchange Act or the rules and regulations thereunder or may be required by the securities or Blue Sky laws of the various states or non US jurisdictions in connection with the offer and sale of the Shares.</w:t>
      </w:r>
    </w:p>
    <w:p>
      <w:pPr>
        <w:spacing w:after="0" w:line="80" w:lineRule="exact"/>
        <w:rPr>
          <w:rFonts w:ascii="Times New Roman" w:cs="Times New Roman" w:eastAsia="Times New Roman" w:hAnsi="Times New Roman"/>
          <w:sz w:val="18"/>
          <w:szCs w:val="18"/>
          <w:color w:val="auto"/>
        </w:rPr>
      </w:pPr>
    </w:p>
    <w:p>
      <w:pPr>
        <w:ind w:left="420" w:right="120" w:firstLine="428"/>
        <w:spacing w:after="0" w:line="255" w:lineRule="auto"/>
        <w:tabs>
          <w:tab w:leader="none" w:pos="121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Selling Shareholder has, and on the Closing Date will have, valid title to, or a valid “security entitlement” within the meaning of Section 8-501 of the New York Uniform Commercial Code in respect of, the Shares to be sold by such Selling Shareholder free and clear of all security interests, claims, liens, equities or other encumbrances and the legal right and power, and all authorization and approval required by law, to enter into this Agreement, the Custody Agreement and the Power of Attorney and to sell, transfer and deliver the Shares to be sold by such Selling Shareholder or a security entitlement in respect of such Shares.</w:t>
      </w:r>
    </w:p>
    <w:p>
      <w:pPr>
        <w:spacing w:after="0" w:line="75" w:lineRule="exact"/>
        <w:rPr>
          <w:rFonts w:ascii="Times New Roman" w:cs="Times New Roman" w:eastAsia="Times New Roman" w:hAnsi="Times New Roman"/>
          <w:sz w:val="18"/>
          <w:szCs w:val="18"/>
          <w:color w:val="auto"/>
        </w:rPr>
      </w:pPr>
    </w:p>
    <w:p>
      <w:pPr>
        <w:ind w:left="420" w:right="80" w:firstLine="428"/>
        <w:spacing w:after="0" w:line="257" w:lineRule="auto"/>
        <w:tabs>
          <w:tab w:leader="none" w:pos="1221"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Custody Agreement and the Power of Attorney have been duly authorized, executed and delivered by or on behalf of such Selling Shareholder and are valid and binding agreements of such Selling Shareholder, enforceable against such Selling Shareholder, subject to bankruptcy, insolvency, fraudulent transfer, reorganization, moratorium and similar laws of general applicability relating to or affecting creditors’ rights and to general equity principles.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80"/>
          </w:cols>
          <w:pgMar w:left="500" w:top="266" w:right="519" w:bottom="1440" w:gutter="0" w:footer="0" w:header="0"/>
        </w:sectPr>
      </w:pPr>
    </w:p>
    <w:bookmarkStart w:id="287" w:name="page288"/>
    <w:bookmarkEnd w:id="287"/>
    <w:p>
      <w:pPr>
        <w:ind w:firstLine="428"/>
        <w:spacing w:after="0" w:line="250" w:lineRule="auto"/>
        <w:tabs>
          <w:tab w:leader="none" w:pos="79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Upon payment for the Shares to be sold by such Selling Shareholder pursuant to this Agreement, delivery of such Shares, as directed by the Underwriters, to Cede &amp; Co. (“</w:t>
      </w:r>
      <w:r>
        <w:rPr>
          <w:rFonts w:ascii="Times New Roman" w:cs="Times New Roman" w:eastAsia="Times New Roman" w:hAnsi="Times New Roman"/>
          <w:sz w:val="18"/>
          <w:szCs w:val="18"/>
          <w:b w:val="1"/>
          <w:bCs w:val="1"/>
          <w:color w:val="auto"/>
        </w:rPr>
        <w:t>Cede</w:t>
      </w:r>
      <w:r>
        <w:rPr>
          <w:rFonts w:ascii="Times New Roman" w:cs="Times New Roman" w:eastAsia="Times New Roman" w:hAnsi="Times New Roman"/>
          <w:sz w:val="18"/>
          <w:szCs w:val="18"/>
          <w:color w:val="auto"/>
        </w:rPr>
        <w:t>”) or such other nominee as may be designated by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8-105 of the New York Uniform Commercial Code (the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to such Shares), (A) DTC shall be a “protected purchaser” of such Shares within the meaning of Section 8-303 of the UCC, (B) under Section 8-501 of the UCC, the Underwriters will acquire a valid security entitlement in respect of such Shares and (C) no action based on any “adverse claim”, within the meaning of Section 8-102 of the UCC, to such Shares may be successfully asserted against the Underwriters with respect to such security entitlement; for purposes of this representation, such Selling Shareholder may assume that when such payment, delivery and crediting occur, (x) such Shares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w:t>
      </w:r>
    </w:p>
    <w:p>
      <w:pPr>
        <w:spacing w:after="0" w:line="84" w:lineRule="exact"/>
        <w:rPr>
          <w:rFonts w:ascii="Times New Roman" w:cs="Times New Roman" w:eastAsia="Times New Roman" w:hAnsi="Times New Roman"/>
          <w:sz w:val="18"/>
          <w:szCs w:val="18"/>
          <w:color w:val="auto"/>
        </w:rPr>
      </w:pPr>
    </w:p>
    <w:p>
      <w:pPr>
        <w:ind w:right="80" w:firstLine="428"/>
        <w:spacing w:after="0" w:line="277" w:lineRule="auto"/>
        <w:tabs>
          <w:tab w:leader="none" w:pos="77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Selling Shareholder has delivered to the Representatives an executed lock-up agreement in substantially the form attached hereto as Exhibit A (the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w:t>
      </w:r>
    </w:p>
    <w:p>
      <w:pPr>
        <w:spacing w:after="0" w:line="56" w:lineRule="exact"/>
        <w:rPr>
          <w:rFonts w:ascii="Times New Roman" w:cs="Times New Roman" w:eastAsia="Times New Roman" w:hAnsi="Times New Roman"/>
          <w:sz w:val="18"/>
          <w:szCs w:val="18"/>
          <w:color w:val="auto"/>
        </w:rPr>
      </w:pPr>
    </w:p>
    <w:p>
      <w:pPr>
        <w:ind w:right="100" w:firstLine="428"/>
        <w:spacing w:after="0" w:line="251" w:lineRule="auto"/>
        <w:tabs>
          <w:tab w:leader="none" w:pos="80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Registration Statement, when it became effective, did not contain and, as amended or supplemented, if applicable, will not contain , as of the date of such amendment or supplement, any untrue statement of a material fact or omit to state a material fact required to be stated therein or necessary to make the statements therein, in the light of the circumstances under which they were made, not misleading, (ii) the Time of Sale Prospectus does not, and at the time of each sale of the Shares in connection with the offering when the Prospectus is not yet available to prospective purchasers and at the Closing Date (as defined in Section 5), the Time of Sale Prospectus, as then amended or supplemented by the Company, if applicable, will not, contain, as of the date of such amendment or supplement, any untrue statement of a material fact or omit to state a material fact necessary to make the statements therein, in the light of the circumstances under which they were made, not misleading, (iii)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(iv) the</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460"/>
          </w:cols>
          <w:pgMar w:left="920" w:top="268" w:right="519" w:bottom="1440" w:gutter="0" w:footer="0" w:header="0"/>
        </w:sectPr>
      </w:pPr>
    </w:p>
    <w:bookmarkStart w:id="288" w:name="page289"/>
    <w:bookmarkEnd w:id="288"/>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Prospectus, as of its date, does not contain and, as amended or supplemented, if applicable, will not contain, as of the date of any amendment or supplement, any untrue statement of a material fact or omit to state a material fact necessary to make the statements therein, in the light of the circumstances under which they were made, not misleading;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representations and warranties set forth in this paragraph are limited in all respects to statements or omissions made in reliance upon information relating to such Selling Shareholder furnished to the Company in writing by such Selling Shareholder expressly for use in the Registration Statement, any roadshow, any Time of Sale Prospectus, the Prospectus or any amendments or supplements thereto, it being understood and agreed that the only information furnished by such Selling Shareholder consists of the name of such Selling Shareholder, the number of offered shares and the address and other information with respect to such Selling Shareholder (excluding percentages) which appear in the Registration Statement or any Prospectus in the table (and corresponding footnotes) under the caption “Principal and Selling Shareholders” (with respect to each Selling Shareholder, the “</w:t>
      </w:r>
      <w:r>
        <w:rPr>
          <w:rFonts w:ascii="Times New Roman" w:cs="Times New Roman" w:eastAsia="Times New Roman" w:hAnsi="Times New Roman"/>
          <w:sz w:val="17"/>
          <w:szCs w:val="17"/>
          <w:b w:val="1"/>
          <w:bCs w:val="1"/>
          <w:color w:val="auto"/>
        </w:rPr>
        <w:t>Selling Shareholder Information</w:t>
      </w:r>
      <w:r>
        <w:rPr>
          <w:rFonts w:ascii="Times New Roman" w:cs="Times New Roman" w:eastAsia="Times New Roman" w:hAnsi="Times New Roman"/>
          <w:sz w:val="17"/>
          <w:szCs w:val="17"/>
          <w:color w:val="auto"/>
        </w:rPr>
        <w:t>”).</w:t>
      </w:r>
    </w:p>
    <w:p>
      <w:pPr>
        <w:spacing w:after="0" w:line="66" w:lineRule="exact"/>
        <w:rPr>
          <w:sz w:val="20"/>
          <w:szCs w:val="20"/>
          <w:color w:val="auto"/>
        </w:rPr>
      </w:pPr>
    </w:p>
    <w:p>
      <w:pPr>
        <w:ind w:firstLine="428"/>
        <w:spacing w:after="0" w:line="277" w:lineRule="auto"/>
        <w:tabs>
          <w:tab w:leader="none" w:pos="80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such Selling Shareholder nor any of its subsidiaries, nor, to the knowledge of such Selling Shareholder, any director, officer, employee, agent, representative, or affiliate thereof, is a Person that is, or is owned or controlled by one or more Persons that are:</w:t>
      </w:r>
    </w:p>
    <w:p>
      <w:pPr>
        <w:spacing w:after="0" w:line="56" w:lineRule="exact"/>
        <w:rPr>
          <w:rFonts w:ascii="Times New Roman" w:cs="Times New Roman" w:eastAsia="Times New Roman" w:hAnsi="Times New Roman"/>
          <w:sz w:val="18"/>
          <w:szCs w:val="18"/>
          <w:color w:val="auto"/>
        </w:rPr>
      </w:pPr>
    </w:p>
    <w:p>
      <w:pPr>
        <w:ind w:left="1800" w:hanging="430"/>
        <w:spacing w:after="0"/>
        <w:tabs>
          <w:tab w:leader="none" w:pos="1800"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or</w:t>
      </w:r>
    </w:p>
    <w:p>
      <w:pPr>
        <w:spacing w:after="0" w:line="113" w:lineRule="exact"/>
        <w:rPr>
          <w:rFonts w:ascii="Times New Roman" w:cs="Times New Roman" w:eastAsia="Times New Roman" w:hAnsi="Times New Roman"/>
          <w:sz w:val="18"/>
          <w:szCs w:val="18"/>
          <w:color w:val="auto"/>
        </w:rPr>
      </w:pPr>
    </w:p>
    <w:p>
      <w:pPr>
        <w:ind w:left="1000" w:right="440" w:firstLine="370"/>
        <w:spacing w:after="0" w:line="277" w:lineRule="auto"/>
        <w:tabs>
          <w:tab w:leader="none" w:pos="1795"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Crimea, Cuba, Iran, North Korea and Syria).</w:t>
      </w:r>
    </w:p>
    <w:p>
      <w:pPr>
        <w:spacing w:after="0" w:line="56" w:lineRule="exact"/>
        <w:rPr>
          <w:rFonts w:ascii="Times New Roman" w:cs="Times New Roman" w:eastAsia="Times New Roman" w:hAnsi="Times New Roman"/>
          <w:sz w:val="18"/>
          <w:szCs w:val="18"/>
          <w:color w:val="auto"/>
        </w:rPr>
      </w:pPr>
    </w:p>
    <w:p>
      <w:pPr>
        <w:ind w:left="560" w:right="60" w:firstLine="391"/>
        <w:spacing w:after="0" w:line="277" w:lineRule="auto"/>
        <w:tabs>
          <w:tab w:leader="none" w:pos="1352"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Selling Shareholder will not, directly or indirectly, use the proceeds of the offering, or lend, contribute or otherwise make available such proceeds to any subsidiary, joint venture partner or other Person:</w:t>
      </w:r>
    </w:p>
    <w:p>
      <w:pPr>
        <w:spacing w:after="0" w:line="56" w:lineRule="exact"/>
        <w:rPr>
          <w:rFonts w:ascii="Times New Roman" w:cs="Times New Roman" w:eastAsia="Times New Roman" w:hAnsi="Times New Roman"/>
          <w:sz w:val="18"/>
          <w:szCs w:val="18"/>
          <w:color w:val="auto"/>
        </w:rPr>
      </w:pPr>
    </w:p>
    <w:p>
      <w:pPr>
        <w:ind w:left="1000" w:right="60" w:firstLine="370"/>
        <w:spacing w:after="0" w:line="277" w:lineRule="auto"/>
        <w:tabs>
          <w:tab w:leader="none" w:pos="1804"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56" w:lineRule="exact"/>
        <w:rPr>
          <w:rFonts w:ascii="Times New Roman" w:cs="Times New Roman" w:eastAsia="Times New Roman" w:hAnsi="Times New Roman"/>
          <w:sz w:val="18"/>
          <w:szCs w:val="18"/>
          <w:color w:val="auto"/>
        </w:rPr>
      </w:pPr>
    </w:p>
    <w:p>
      <w:pPr>
        <w:ind w:left="1000" w:right="180" w:firstLine="370"/>
        <w:spacing w:after="0" w:line="277" w:lineRule="auto"/>
        <w:tabs>
          <w:tab w:leader="none" w:pos="1795"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56" w:lineRule="exact"/>
        <w:rPr>
          <w:rFonts w:ascii="Times New Roman" w:cs="Times New Roman" w:eastAsia="Times New Roman" w:hAnsi="Times New Roman"/>
          <w:sz w:val="18"/>
          <w:szCs w:val="18"/>
          <w:color w:val="auto"/>
        </w:rPr>
      </w:pPr>
    </w:p>
    <w:p>
      <w:pPr>
        <w:ind w:left="560" w:right="20" w:firstLine="391"/>
        <w:spacing w:after="0" w:line="262" w:lineRule="auto"/>
        <w:tabs>
          <w:tab w:leader="none" w:pos="1402"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Selling Shareholder has not knowingly engaged in, is not now knowingly engaged in, and will not engage in, any dealings or transactions with any Person, or in any country or territory, that at the time of the dealing or transaction is or was the subject of Sanctions.</w:t>
      </w:r>
      <w:r>
        <w:rPr>
          <w:rFonts w:ascii="Times New Roman" w:cs="Times New Roman" w:eastAsia="Times New Roman" w:hAnsi="Times New Roman"/>
          <w:sz w:val="15"/>
          <w:szCs w:val="15"/>
          <w:color w:val="auto"/>
        </w:rPr>
        <w:t>,</w:t>
      </w:r>
    </w:p>
    <w:p>
      <w:pPr>
        <w:spacing w:after="0" w:line="11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440"/>
          </w:cols>
          <w:pgMar w:left="920" w:top="268" w:right="539" w:bottom="1440" w:gutter="0" w:footer="0" w:header="0"/>
        </w:sectPr>
      </w:pPr>
    </w:p>
    <w:bookmarkStart w:id="289" w:name="page290"/>
    <w:bookmarkEnd w:id="289"/>
    <w:p>
      <w:pPr>
        <w:ind w:left="980" w:firstLine="391"/>
        <w:spacing w:after="0" w:line="251" w:lineRule="auto"/>
        <w:tabs>
          <w:tab w:leader="none" w:pos="1812"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 Neither such Selling Shareholder nor any of its subsidiaries, nor, to the knowledge of such Selling Shareholder, any director, officer, employee, agent, representative, or affiliate thereof has taken or will take any action in furtherance of an offer, payment, promise to pay, or authorization or approval of the payment giving or receipt of money, property, gifts or anything else of value, directly or indirectly, to any Government Official in order to influence official action, or to any person in violation of any applicable anti-corruption laws; (B) such Selling Shareholder and each of its subsidiaries have conducted their businesses in compliance with applicable anti-corruption laws and, if such Selling Shareholder is an entity, have instituted and maintained and will continue to maintain policies and procedures reasonably designed to promote and achieve compliance with such laws and with the representations and warranties contained herein; and (C) neither the Selling Shareholder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79" w:lineRule="exact"/>
        <w:rPr>
          <w:rFonts w:ascii="Times New Roman" w:cs="Times New Roman" w:eastAsia="Times New Roman" w:hAnsi="Times New Roman"/>
          <w:sz w:val="18"/>
          <w:szCs w:val="18"/>
          <w:color w:val="auto"/>
        </w:rPr>
      </w:pPr>
    </w:p>
    <w:p>
      <w:pPr>
        <w:ind w:left="980" w:right="220" w:firstLine="391"/>
        <w:spacing w:after="0" w:line="257" w:lineRule="auto"/>
        <w:tabs>
          <w:tab w:leader="none" w:pos="1759"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such Selling Shareholder and each of its subsidiaries are and have been conducted at all times in material compliance with all applicable Anti-Money Laundering Laws, and no action, suit or proceeding by or before any court or governmental agency, authority or body or any arbitrator involving such Selling Shareholder or any of its subsidiaries with respect to the Anti-Money Laundering Laws is pending or, to the best knowledge of the Selling Shareholder, threatened.</w:t>
      </w:r>
    </w:p>
    <w:p>
      <w:pPr>
        <w:spacing w:after="0" w:line="75" w:lineRule="exact"/>
        <w:rPr>
          <w:rFonts w:ascii="Times New Roman" w:cs="Times New Roman" w:eastAsia="Times New Roman" w:hAnsi="Times New Roman"/>
          <w:sz w:val="18"/>
          <w:szCs w:val="18"/>
          <w:color w:val="auto"/>
        </w:rPr>
      </w:pPr>
    </w:p>
    <w:p>
      <w:pPr>
        <w:ind w:left="420" w:right="440" w:firstLine="428"/>
        <w:spacing w:after="0" w:line="277" w:lineRule="auto"/>
        <w:tabs>
          <w:tab w:leader="none" w:pos="1185"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Selling Shareholder has not taken and will not take, directly or indirectly, any action designed to or that could reasonably be expected to cause or result in any stabilization or manipulation of the price of the Shares.</w:t>
      </w:r>
    </w:p>
    <w:p>
      <w:pPr>
        <w:spacing w:after="0" w:line="161" w:lineRule="exact"/>
        <w:rPr>
          <w:rFonts w:ascii="Times New Roman" w:cs="Times New Roman" w:eastAsia="Times New Roman" w:hAnsi="Times New Roman"/>
          <w:sz w:val="18"/>
          <w:szCs w:val="18"/>
          <w:color w:val="auto"/>
        </w:rPr>
      </w:pPr>
    </w:p>
    <w:p>
      <w:pPr>
        <w:ind w:right="60" w:firstLine="430"/>
        <w:spacing w:after="0" w:line="274" w:lineRule="auto"/>
        <w:tabs>
          <w:tab w:leader="none" w:pos="747"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Agreements to Sell and Purchase. </w:t>
      </w:r>
      <w:r>
        <w:rPr>
          <w:rFonts w:ascii="Times New Roman" w:cs="Times New Roman" w:eastAsia="Times New Roman" w:hAnsi="Times New Roman"/>
          <w:sz w:val="17"/>
          <w:szCs w:val="17"/>
          <w:color w:val="auto"/>
        </w:rPr>
        <w:t>Each Seller, severally and not jointly, hereby agrees to sell to the several Underwriters, and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Underwriter, upon the basis of the representations and warranties herein contained, but subject to the terms and conditions hereinafter stated, severally and not jointly, agrees to purchase from such Seller at $[●] a share (the “</w:t>
      </w:r>
      <w:r>
        <w:rPr>
          <w:rFonts w:ascii="Times New Roman" w:cs="Times New Roman" w:eastAsia="Times New Roman" w:hAnsi="Times New Roman"/>
          <w:sz w:val="17"/>
          <w:szCs w:val="17"/>
          <w:b w:val="1"/>
          <w:bCs w:val="1"/>
          <w:color w:val="auto"/>
        </w:rPr>
        <w:t>Purchase Price</w:t>
      </w:r>
      <w:r>
        <w:rPr>
          <w:rFonts w:ascii="Times New Roman" w:cs="Times New Roman" w:eastAsia="Times New Roman" w:hAnsi="Times New Roman"/>
          <w:sz w:val="17"/>
          <w:szCs w:val="17"/>
          <w:color w:val="auto"/>
        </w:rPr>
        <w:t>”) the number of Firm Shares (subject to such adjustments to eliminate fractional shares as the Representatives may determine) that bears the same proportion to the number of Firm Shares to be sold by such Seller as the number of Firm Shares set forth in Schedule II hereto opposite the name of such Underwriter bears to the total number of Firm Shares.</w:t>
      </w:r>
    </w:p>
    <w:p>
      <w:pPr>
        <w:spacing w:after="0" w:line="169"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8"/>
          <w:szCs w:val="18"/>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 Additional Shares at the Purchase Price, provided, however, that the amount paid by the Underwriters for any Additional Shares shall be reduced by an</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60"/>
          </w:cols>
          <w:pgMar w:left="500" w:top="268" w:right="539" w:bottom="1440" w:gutter="0" w:footer="0" w:header="0"/>
        </w:sectPr>
      </w:pPr>
    </w:p>
    <w:bookmarkStart w:id="290" w:name="page291"/>
    <w:bookmarkEnd w:id="290"/>
    <w:p>
      <w:pPr>
        <w:ind w:left="6" w:right="4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w:t>
      </w:r>
    </w:p>
    <w:p>
      <w:pPr>
        <w:ind w:left="6" w:right="40"/>
        <w:spacing w:after="0" w:line="248" w:lineRule="auto"/>
        <w:rPr>
          <w:sz w:val="20"/>
          <w:szCs w:val="20"/>
          <w:color w:val="auto"/>
        </w:rPr>
      </w:pPr>
      <w:r>
        <w:rPr>
          <w:rFonts w:ascii="Times New Roman" w:cs="Times New Roman" w:eastAsia="Times New Roman" w:hAnsi="Times New Roman"/>
          <w:sz w:val="18"/>
          <w:szCs w:val="18"/>
          <w:color w:val="auto"/>
        </w:rPr>
        <w:t>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or later than ten business days after the date of such notice. Additional Shares may be purchased as provided in Section 5 hereof solely for the purpose of covering over-allotments made in connection with the offering of the Firm Shares. On each day, if any, that Additional Shares are to be purchased (an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II hereto opposite the name of such Underwriter bears to the total number of Firm Shares.</w:t>
      </w:r>
    </w:p>
    <w:p>
      <w:pPr>
        <w:spacing w:after="0" w:line="192" w:lineRule="exact"/>
        <w:rPr>
          <w:sz w:val="20"/>
          <w:szCs w:val="20"/>
          <w:color w:val="auto"/>
        </w:rPr>
      </w:pPr>
    </w:p>
    <w:p>
      <w:pPr>
        <w:ind w:left="6" w:firstLine="430"/>
        <w:spacing w:after="0" w:line="254" w:lineRule="auto"/>
        <w:tabs>
          <w:tab w:leader="none" w:pos="75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Public Offering</w:t>
      </w:r>
      <w:r>
        <w:rPr>
          <w:rFonts w:ascii="Times New Roman" w:cs="Times New Roman" w:eastAsia="Times New Roman" w:hAnsi="Times New Roman"/>
          <w:sz w:val="18"/>
          <w:szCs w:val="18"/>
          <w:color w:val="auto"/>
        </w:rPr>
        <w:t>. The Company is advised by the Representatives that the Underwriters propose to make a public offering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portions of the Shares as soon after the Registration Statement and this Agreement have become effective as in the Representatives’ judgment is advisable. The Company is further advised by the Representatives that the Shares are to be offered to the public initially at $[●] a share (the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Offering Price</w:t>
      </w:r>
      <w:r>
        <w:rPr>
          <w:rFonts w:ascii="Times New Roman" w:cs="Times New Roman" w:eastAsia="Times New Roman" w:hAnsi="Times New Roman"/>
          <w:sz w:val="18"/>
          <w:szCs w:val="18"/>
          <w:color w:val="auto"/>
        </w:rPr>
        <w:t>”) and to certain dealers selected by the Representatives at a price that represents a concession not in excess of $[●] a share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Offering Price, and that any Underwriter may allow, and such dealers may reallow, a concession, not in excess of $[●] a share, to any Underwriter or to certain other dealers.</w:t>
      </w:r>
    </w:p>
    <w:p>
      <w:pPr>
        <w:spacing w:after="0" w:line="181" w:lineRule="exact"/>
        <w:rPr>
          <w:rFonts w:ascii="Times New Roman" w:cs="Times New Roman" w:eastAsia="Times New Roman" w:hAnsi="Times New Roman"/>
          <w:sz w:val="18"/>
          <w:szCs w:val="18"/>
          <w:color w:val="auto"/>
        </w:rPr>
      </w:pPr>
    </w:p>
    <w:p>
      <w:pPr>
        <w:ind w:left="6" w:right="240" w:firstLine="430"/>
        <w:spacing w:after="0" w:line="258" w:lineRule="auto"/>
        <w:tabs>
          <w:tab w:leader="none" w:pos="75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and Delivery. </w:t>
      </w:r>
      <w:r>
        <w:rPr>
          <w:rFonts w:ascii="Times New Roman" w:cs="Times New Roman" w:eastAsia="Times New Roman" w:hAnsi="Times New Roman"/>
          <w:sz w:val="18"/>
          <w:szCs w:val="18"/>
          <w:color w:val="auto"/>
        </w:rPr>
        <w:t>Payment for the Firm Shares to be sold by each Seller shall be made to such Seller in Federal or other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available in New York City against delivery of such Firm Shares for the respective accounts of the several Underwriters at 10:00 a.m., New York City time, on [●], 2020,</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or at such other time on the same or such other date, not later than [●], 2020,</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as shall be designated in writing by the Representatives. The time and date of such payment are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6" w:right="20" w:firstLine="436"/>
        <w:spacing w:after="0" w:line="257" w:lineRule="auto"/>
        <w:rPr>
          <w:sz w:val="20"/>
          <w:szCs w:val="20"/>
          <w:color w:val="auto"/>
        </w:rPr>
      </w:pPr>
      <w:r>
        <w:rPr>
          <w:rFonts w:ascii="Times New Roman" w:cs="Times New Roman" w:eastAsia="Times New Roman" w:hAnsi="Times New Roman"/>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3 or at such other time on the same or on such other date, in any event not later than [●], 2020,</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xml:space="preserve"> as shall be designated in writing by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75501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5">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376" w:lineRule="exact"/>
        <w:rPr>
          <w:sz w:val="20"/>
          <w:szCs w:val="20"/>
          <w:color w:val="auto"/>
        </w:rPr>
      </w:pPr>
    </w:p>
    <w:p>
      <w:pPr>
        <w:ind w:left="426" w:hanging="426"/>
        <w:spacing w:after="0"/>
        <w:tabs>
          <w:tab w:leader="none" w:pos="426"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Note to Draft: To be the expected closing date.</w:t>
      </w:r>
    </w:p>
    <w:p>
      <w:pPr>
        <w:spacing w:after="0" w:line="24" w:lineRule="exact"/>
        <w:rPr>
          <w:sz w:val="20"/>
          <w:szCs w:val="20"/>
          <w:color w:val="auto"/>
        </w:rPr>
      </w:pPr>
    </w:p>
    <w:p>
      <w:pPr>
        <w:ind w:left="426" w:hanging="426"/>
        <w:spacing w:after="0"/>
        <w:tabs>
          <w:tab w:leader="none" w:pos="426"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Note to Draft: To be date 5 business days after the date inserted in accordance with preceding footnote.</w:t>
      </w:r>
    </w:p>
    <w:p>
      <w:pPr>
        <w:spacing w:after="0" w:line="7" w:lineRule="exact"/>
        <w:rPr>
          <w:sz w:val="20"/>
          <w:szCs w:val="20"/>
          <w:color w:val="auto"/>
        </w:rPr>
      </w:pPr>
    </w:p>
    <w:p>
      <w:pPr>
        <w:ind w:left="5366" w:right="4240" w:hanging="5366"/>
        <w:spacing w:after="0" w:line="428" w:lineRule="auto"/>
        <w:tabs>
          <w:tab w:leader="none" w:pos="433"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Note to Draft: To be date 10 business days after the expiration of the green shoe option. 20</w:t>
      </w:r>
    </w:p>
    <w:p>
      <w:pPr>
        <w:sectPr>
          <w:pgSz w:w="11900" w:h="16838" w:orient="portrait"/>
          <w:cols w:equalWidth="0" w:num="1">
            <w:col w:w="10906"/>
          </w:cols>
          <w:pgMar w:left="494" w:top="268" w:right="499" w:bottom="1440" w:gutter="0" w:footer="0" w:header="0"/>
        </w:sectPr>
      </w:pPr>
    </w:p>
    <w:bookmarkStart w:id="291" w:name="page292"/>
    <w:bookmarkEnd w:id="291"/>
    <w:p>
      <w:pPr>
        <w:ind w:firstLine="43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The Purchase Price payable by the Underwriters shall be reduced by (i) any transfer taxes paid by, or on behalf of, the Underwriters in connection with the transfer of the Shares to the Underwriters duly paid and (ii) any withholding required by law.</w:t>
      </w:r>
    </w:p>
    <w:p>
      <w:pPr>
        <w:spacing w:after="0" w:line="181" w:lineRule="exact"/>
        <w:rPr>
          <w:sz w:val="20"/>
          <w:szCs w:val="20"/>
          <w:color w:val="auto"/>
        </w:rPr>
      </w:pPr>
    </w:p>
    <w:p>
      <w:pPr>
        <w:ind w:right="160" w:firstLine="430"/>
        <w:spacing w:after="0" w:line="263" w:lineRule="auto"/>
        <w:tabs>
          <w:tab w:leader="none" w:pos="74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The obligations of the Sellers to sell the Shares to the Underwriters and the several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Underwriters to purchase and pay for the Shares on the Closing Date are subject to the condition that the Registration Statement shall have become effective not later than [•] (New York City time) on the date hereof.</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several obligations of the Underwriters are subject to the following further conditions:</w:t>
      </w:r>
    </w:p>
    <w:p>
      <w:pPr>
        <w:spacing w:after="0" w:line="114" w:lineRule="exact"/>
        <w:rPr>
          <w:sz w:val="20"/>
          <w:szCs w:val="20"/>
          <w:color w:val="auto"/>
        </w:rPr>
      </w:pPr>
    </w:p>
    <w:p>
      <w:pPr>
        <w:ind w:left="1220" w:hanging="372"/>
        <w:spacing w:after="0"/>
        <w:tabs>
          <w:tab w:leader="none" w:pos="12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Date:</w:t>
      </w:r>
    </w:p>
    <w:p>
      <w:pPr>
        <w:spacing w:after="0" w:line="113" w:lineRule="exact"/>
        <w:rPr>
          <w:rFonts w:ascii="Times New Roman" w:cs="Times New Roman" w:eastAsia="Times New Roman" w:hAnsi="Times New Roman"/>
          <w:sz w:val="18"/>
          <w:szCs w:val="18"/>
          <w:color w:val="auto"/>
        </w:rPr>
      </w:pPr>
    </w:p>
    <w:p>
      <w:pPr>
        <w:ind w:left="980" w:right="320" w:firstLine="391"/>
        <w:spacing w:after="0" w:line="277" w:lineRule="auto"/>
        <w:tabs>
          <w:tab w:leader="none" w:pos="1723"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suspending the effectiveness of the Registration Statement shall be in effect, and no proceeding for such purpose or pursuant to Section 8A under the Securities Act shall be pending before or threatened by the Commission;</w:t>
      </w:r>
    </w:p>
    <w:p>
      <w:pPr>
        <w:spacing w:after="0" w:line="56" w:lineRule="exact"/>
        <w:rPr>
          <w:rFonts w:ascii="Times New Roman" w:cs="Times New Roman" w:eastAsia="Times New Roman" w:hAnsi="Times New Roman"/>
          <w:sz w:val="18"/>
          <w:szCs w:val="18"/>
          <w:color w:val="auto"/>
        </w:rPr>
      </w:pPr>
    </w:p>
    <w:p>
      <w:pPr>
        <w:ind w:left="980" w:right="100" w:firstLine="391"/>
        <w:spacing w:after="0" w:line="257" w:lineRule="auto"/>
        <w:tabs>
          <w:tab w:leader="none" w:pos="1772"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in Section 3(a)(62)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w:t>
      </w:r>
    </w:p>
    <w:p>
      <w:pPr>
        <w:spacing w:after="0" w:line="75" w:lineRule="exact"/>
        <w:rPr>
          <w:rFonts w:ascii="Times New Roman" w:cs="Times New Roman" w:eastAsia="Times New Roman" w:hAnsi="Times New Roman"/>
          <w:sz w:val="18"/>
          <w:szCs w:val="18"/>
          <w:color w:val="auto"/>
        </w:rPr>
      </w:pPr>
    </w:p>
    <w:p>
      <w:pPr>
        <w:ind w:left="980" w:right="140" w:firstLine="391"/>
        <w:spacing w:after="0" w:line="257" w:lineRule="auto"/>
        <w:tabs>
          <w:tab w:leader="none" w:pos="1822"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00"/>
          </w:cols>
          <w:pgMar w:left="500" w:top="268" w:right="499" w:bottom="1440" w:gutter="0" w:footer="0" w:header="0"/>
        </w:sectPr>
      </w:pPr>
    </w:p>
    <w:bookmarkStart w:id="292" w:name="page293"/>
    <w:bookmarkEnd w:id="292"/>
    <w:p>
      <w:pPr>
        <w:ind w:left="420" w:firstLine="428"/>
        <w:spacing w:after="0" w:line="252" w:lineRule="auto"/>
        <w:tabs>
          <w:tab w:leader="none" w:pos="122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Underwriters shall have received on the Closing Date (i) a certificate, dated the Closing Date and signed by an executive officer of the Company, to the effect set forth in Sections 6(i) and 6(a)(ii)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and (ii) a certificate of each of the Selling Shareholders, in form and substance reasonably satisfactory to the Representatives, confirming that the representations of such Selling Shareholder are true and correct and that such Selling Shareholder has complied with all agreements and satisfied all conditions on their part to be performed or satisfied hereunder at or prior to the Closing Date.</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officer signing and delivering such certificate may rely upon the best of his or her knowledge as to proceedings threatened.</w:t>
      </w:r>
    </w:p>
    <w:p>
      <w:pPr>
        <w:spacing w:after="0" w:line="114" w:lineRule="exact"/>
        <w:rPr>
          <w:sz w:val="20"/>
          <w:szCs w:val="20"/>
          <w:color w:val="auto"/>
        </w:rPr>
      </w:pPr>
    </w:p>
    <w:p>
      <w:pPr>
        <w:ind w:left="420" w:right="80" w:firstLine="428"/>
        <w:spacing w:after="0" w:line="277" w:lineRule="auto"/>
        <w:tabs>
          <w:tab w:leader="none" w:pos="121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Latham &amp; Watkins LLP, outside counsel for the Company, dated the Closing Date, in form and substance reasonably satisfactory to the Representatives.</w:t>
      </w:r>
    </w:p>
    <w:p>
      <w:pPr>
        <w:spacing w:after="0" w:line="56" w:lineRule="exact"/>
        <w:rPr>
          <w:rFonts w:ascii="Times New Roman" w:cs="Times New Roman" w:eastAsia="Times New Roman" w:hAnsi="Times New Roman"/>
          <w:sz w:val="18"/>
          <w:szCs w:val="18"/>
          <w:color w:val="auto"/>
        </w:rPr>
      </w:pPr>
    </w:p>
    <w:p>
      <w:pPr>
        <w:ind w:left="420" w:right="280" w:firstLine="428"/>
        <w:spacing w:after="0" w:line="277" w:lineRule="auto"/>
        <w:tabs>
          <w:tab w:leader="none" w:pos="122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Davis Polk &amp; Wardwell LLP, counsel for the Underwriters, dated the Closing Date, in form and substance reasonably satisfactory to the Representatives.</w:t>
      </w:r>
    </w:p>
    <w:p>
      <w:pPr>
        <w:spacing w:after="0" w:line="56" w:lineRule="exact"/>
        <w:rPr>
          <w:rFonts w:ascii="Times New Roman" w:cs="Times New Roman" w:eastAsia="Times New Roman" w:hAnsi="Times New Roman"/>
          <w:sz w:val="18"/>
          <w:szCs w:val="18"/>
          <w:color w:val="auto"/>
        </w:rPr>
      </w:pPr>
    </w:p>
    <w:p>
      <w:pPr>
        <w:ind w:left="420" w:right="160" w:firstLine="428"/>
        <w:spacing w:after="0" w:line="277" w:lineRule="auto"/>
        <w:tabs>
          <w:tab w:leader="none" w:pos="121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Whalen LLP, counsel for the Selling Shareholders, dated the Closing Date, in form and substance reasonably satisfactory to the Representatives.</w:t>
      </w:r>
    </w:p>
    <w:p>
      <w:pPr>
        <w:spacing w:after="0" w:line="163" w:lineRule="exact"/>
        <w:rPr>
          <w:sz w:val="20"/>
          <w:szCs w:val="20"/>
          <w:color w:val="auto"/>
        </w:rPr>
      </w:pPr>
    </w:p>
    <w:p>
      <w:pPr>
        <w:ind w:right="80" w:firstLine="436"/>
        <w:spacing w:after="0" w:line="251" w:lineRule="auto"/>
        <w:rPr>
          <w:sz w:val="20"/>
          <w:szCs w:val="20"/>
          <w:color w:val="auto"/>
        </w:rPr>
      </w:pPr>
      <w:r>
        <w:rPr>
          <w:rFonts w:ascii="Times New Roman" w:cs="Times New Roman" w:eastAsia="Times New Roman" w:hAnsi="Times New Roman"/>
          <w:sz w:val="18"/>
          <w:szCs w:val="18"/>
          <w:color w:val="auto"/>
        </w:rPr>
        <w:t>With respect to the negative assurance letters to be delivered pursuant to Sections 6(c) and 6(d) above, Latham &amp; Watkins LLP and Davis Polk &amp; Wardwell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 With respect to Section 6(e) above, Whalen LLP may rely upon an opinion or opinions of counsel for any Selling Shareholders and, with respect to factual matters and to the extent such counsel deems appropriate, upon the representations of each Selling Shareholder contained herein and in the Custody Agreement and Power of Attorney of such Selling Shareholder and in other documents and instruments; provided that (A) each such counsel for the Selling Shareholders is satisfactory to counsel for the underwriters, (B) a copy of each opinion so relied upon is delivered to the Representatives and is in form and substance satisfactory to the Representatives, (C) copies of such Custody Agreements and Powers of Attorney</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60"/>
          </w:cols>
          <w:pgMar w:left="500" w:top="268" w:right="539" w:bottom="1440" w:gutter="0" w:footer="0" w:header="0"/>
        </w:sectPr>
      </w:pPr>
    </w:p>
    <w:bookmarkStart w:id="293" w:name="page294"/>
    <w:bookmarkEnd w:id="293"/>
    <w:p>
      <w:pPr>
        <w:ind w:right="62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and of any such other documents and instruments shall be delivered to the Representatives and shall be in form and substance satisfactory to the Representatives and (D) Whalen LLP shall state in their opinion that they are justified in relying on each such other opinion.</w:t>
      </w:r>
    </w:p>
    <w:p>
      <w:pPr>
        <w:spacing w:after="0" w:line="163" w:lineRule="exact"/>
        <w:rPr>
          <w:sz w:val="20"/>
          <w:szCs w:val="20"/>
          <w:color w:val="auto"/>
        </w:rPr>
      </w:pPr>
    </w:p>
    <w:p>
      <w:pPr>
        <w:ind w:right="300" w:firstLine="436"/>
        <w:spacing w:after="0" w:line="277" w:lineRule="auto"/>
        <w:rPr>
          <w:sz w:val="20"/>
          <w:szCs w:val="20"/>
          <w:color w:val="auto"/>
        </w:rPr>
      </w:pPr>
      <w:r>
        <w:rPr>
          <w:rFonts w:ascii="Times New Roman" w:cs="Times New Roman" w:eastAsia="Times New Roman" w:hAnsi="Times New Roman"/>
          <w:sz w:val="18"/>
          <w:szCs w:val="18"/>
          <w:color w:val="auto"/>
        </w:rPr>
        <w:t>The opinion[s] of Latham &amp; Watkins LLP described in Section 6(c) above shall be rendered to the Underwriters at the request of the Company and shall so state therein.</w:t>
      </w:r>
    </w:p>
    <w:p>
      <w:pPr>
        <w:spacing w:after="0" w:line="57" w:lineRule="exact"/>
        <w:rPr>
          <w:sz w:val="20"/>
          <w:szCs w:val="20"/>
          <w:color w:val="auto"/>
        </w:rPr>
      </w:pPr>
    </w:p>
    <w:p>
      <w:pPr>
        <w:ind w:left="420" w:right="160" w:firstLine="428"/>
        <w:spacing w:after="0" w:line="255" w:lineRule="auto"/>
        <w:tabs>
          <w:tab w:leader="none" w:pos="119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Underwriters shall have received, on each of the date hereof and the Closing Date, a letter dated the date hereof or the Closing Date, as the case may be, in form and substance satisfactory to the Underwriters, from PricewaterhouseCoopers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Closing Date shall use a “cut-off date” not earlier than the date hereof.</w:t>
      </w:r>
    </w:p>
    <w:p>
      <w:pPr>
        <w:spacing w:after="0" w:line="75" w:lineRule="exact"/>
        <w:rPr>
          <w:rFonts w:ascii="Times New Roman" w:cs="Times New Roman" w:eastAsia="Times New Roman" w:hAnsi="Times New Roman"/>
          <w:sz w:val="18"/>
          <w:szCs w:val="18"/>
          <w:color w:val="auto"/>
        </w:rPr>
      </w:pPr>
    </w:p>
    <w:p>
      <w:pPr>
        <w:ind w:left="420" w:firstLine="428"/>
        <w:spacing w:after="0" w:line="262" w:lineRule="auto"/>
        <w:tabs>
          <w:tab w:leader="none" w:pos="122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each of the date hereof and the Closing Date, a certificate dated the date hereof or the Closing Date, as the case may be, in form and substance satisfactory to the Representatives, signed by the chief financial officer of the Company as to the accuracy of certain financial and other information included in the Registration Statement, Time of Sale Prospectus and the Prospectus.</w:t>
      </w:r>
    </w:p>
    <w:p>
      <w:pPr>
        <w:spacing w:after="0" w:line="70" w:lineRule="exact"/>
        <w:rPr>
          <w:rFonts w:ascii="Times New Roman" w:cs="Times New Roman" w:eastAsia="Times New Roman" w:hAnsi="Times New Roman"/>
          <w:sz w:val="18"/>
          <w:szCs w:val="18"/>
          <w:color w:val="auto"/>
        </w:rPr>
      </w:pPr>
    </w:p>
    <w:p>
      <w:pPr>
        <w:ind w:left="420" w:right="220" w:firstLine="428"/>
        <w:spacing w:after="0" w:line="277" w:lineRule="auto"/>
        <w:tabs>
          <w:tab w:leader="none" w:pos="122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between the Representatives and certain shareholders, officers and directors of the Company, delivered to the Representatives on or before the date hereof shall be in full force and effect on the Closing Date.</w:t>
      </w:r>
    </w:p>
    <w:p>
      <w:pPr>
        <w:spacing w:after="0" w:line="56" w:lineRule="exact"/>
        <w:rPr>
          <w:rFonts w:ascii="Times New Roman" w:cs="Times New Roman" w:eastAsia="Times New Roman" w:hAnsi="Times New Roman"/>
          <w:sz w:val="18"/>
          <w:szCs w:val="18"/>
          <w:color w:val="auto"/>
        </w:rPr>
      </w:pPr>
    </w:p>
    <w:p>
      <w:pPr>
        <w:ind w:left="420" w:right="140" w:firstLine="428"/>
        <w:spacing w:after="0" w:line="277" w:lineRule="auto"/>
        <w:tabs>
          <w:tab w:leader="none" w:pos="118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several obligations of the Underwriters to purchase Additional Shares hereunder are subject to the delivery to the Representatives on the applicable Option Closing Date of the following:</w:t>
      </w:r>
    </w:p>
    <w:p>
      <w:pPr>
        <w:spacing w:after="0" w:line="56" w:lineRule="exact"/>
        <w:rPr>
          <w:rFonts w:ascii="Times New Roman" w:cs="Times New Roman" w:eastAsia="Times New Roman" w:hAnsi="Times New Roman"/>
          <w:sz w:val="18"/>
          <w:szCs w:val="18"/>
          <w:color w:val="auto"/>
        </w:rPr>
      </w:pPr>
    </w:p>
    <w:p>
      <w:pPr>
        <w:ind w:left="860" w:right="300" w:firstLine="407"/>
        <w:spacing w:after="0" w:line="277" w:lineRule="auto"/>
        <w:tabs>
          <w:tab w:leader="none" w:pos="1607"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Option Closing Date and signed by an executive officer of the Company, confirming that the certificate delivered on the Closing Date pursuant to Section 6(b) hereof remains true and correct as of such Option Closing Date;</w:t>
      </w:r>
    </w:p>
    <w:p>
      <w:pPr>
        <w:spacing w:after="0" w:line="56" w:lineRule="exact"/>
        <w:rPr>
          <w:rFonts w:ascii="Times New Roman" w:cs="Times New Roman" w:eastAsia="Times New Roman" w:hAnsi="Times New Roman"/>
          <w:sz w:val="18"/>
          <w:szCs w:val="18"/>
          <w:color w:val="auto"/>
        </w:rPr>
      </w:pPr>
    </w:p>
    <w:p>
      <w:pPr>
        <w:ind w:left="860" w:right="140" w:firstLine="407"/>
        <w:spacing w:after="0" w:line="262" w:lineRule="auto"/>
        <w:tabs>
          <w:tab w:leader="none" w:pos="1657"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Latham &amp; Watkins LLP, outside counsel for the Company, dated the Option Closing Date, relating to the Additional Shares to be purchased on such Option Closing Date and otherwise to the same effect as the opinion required by Section 6(c) hereof;</w:t>
      </w:r>
    </w:p>
    <w:p>
      <w:pPr>
        <w:spacing w:after="0" w:line="70" w:lineRule="exact"/>
        <w:rPr>
          <w:rFonts w:ascii="Times New Roman" w:cs="Times New Roman" w:eastAsia="Times New Roman" w:hAnsi="Times New Roman"/>
          <w:sz w:val="18"/>
          <w:szCs w:val="18"/>
          <w:color w:val="auto"/>
        </w:rPr>
      </w:pPr>
    </w:p>
    <w:p>
      <w:pPr>
        <w:ind w:left="860" w:right="40" w:firstLine="407"/>
        <w:spacing w:after="0" w:line="262" w:lineRule="auto"/>
        <w:tabs>
          <w:tab w:leader="none" w:pos="170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Davis Polk &amp; Wardwell LLP, counsel for the Underwriters, dated the Option Closing Date, relating to the Additional Shares to be purchased on such Option Closing Date and otherwise to the same effect as the opinion required by Section 6(d) hereof;</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80"/>
          </w:cols>
          <w:pgMar w:left="500" w:top="268" w:right="519" w:bottom="1440" w:gutter="0" w:footer="0" w:header="0"/>
        </w:sectPr>
      </w:pPr>
    </w:p>
    <w:bookmarkStart w:id="294" w:name="page295"/>
    <w:bookmarkEnd w:id="294"/>
    <w:p>
      <w:pPr>
        <w:jc w:val="both"/>
        <w:ind w:left="440" w:right="260" w:firstLine="407"/>
        <w:spacing w:after="0" w:line="257" w:lineRule="auto"/>
        <w:tabs>
          <w:tab w:leader="none" w:pos="1276"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 letter dated the Option Closing Date, in form and substance satisfactory to the Underwriters, from PricewaterhouseCoopers LLP, independent public accountants, substantially in the same form and substance as the letter furnished to the Underwriters pursuant to Section 6(e)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Option Closing Date shall use a “cut-off date” not earlier than two business days prior to such Option Closing Date;</w:t>
      </w:r>
    </w:p>
    <w:p>
      <w:pPr>
        <w:spacing w:after="0" w:line="75" w:lineRule="exact"/>
        <w:rPr>
          <w:rFonts w:ascii="Times New Roman" w:cs="Times New Roman" w:eastAsia="Times New Roman" w:hAnsi="Times New Roman"/>
          <w:sz w:val="18"/>
          <w:szCs w:val="18"/>
          <w:color w:val="auto"/>
        </w:rPr>
      </w:pPr>
    </w:p>
    <w:p>
      <w:pPr>
        <w:ind w:left="440" w:right="600" w:firstLine="407"/>
        <w:spacing w:after="0" w:line="277" w:lineRule="auto"/>
        <w:tabs>
          <w:tab w:leader="none" w:pos="1227"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Option Closing Date, in form and substance satisfactory to the Representatives, signed by the chief financial officer of the Company, and otherwise to the same effect as the certificate required by Section 6(f), hereof; and</w:t>
      </w:r>
    </w:p>
    <w:p>
      <w:pPr>
        <w:spacing w:after="0" w:line="56" w:lineRule="exact"/>
        <w:rPr>
          <w:rFonts w:ascii="Times New Roman" w:cs="Times New Roman" w:eastAsia="Times New Roman" w:hAnsi="Times New Roman"/>
          <w:sz w:val="18"/>
          <w:szCs w:val="18"/>
          <w:color w:val="auto"/>
        </w:rPr>
      </w:pPr>
    </w:p>
    <w:p>
      <w:pPr>
        <w:jc w:val="both"/>
        <w:ind w:left="440" w:right="40" w:firstLine="407"/>
        <w:spacing w:after="0" w:line="262" w:lineRule="auto"/>
        <w:tabs>
          <w:tab w:leader="none" w:pos="1276"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175" w:lineRule="exact"/>
        <w:rPr>
          <w:rFonts w:ascii="Times New Roman" w:cs="Times New Roman" w:eastAsia="Times New Roman" w:hAnsi="Times New Roman"/>
          <w:sz w:val="18"/>
          <w:szCs w:val="18"/>
          <w:color w:val="auto"/>
        </w:rPr>
      </w:pPr>
    </w:p>
    <w:p>
      <w:pPr>
        <w:ind w:left="320" w:hanging="310"/>
        <w:spacing w:after="0"/>
        <w:tabs>
          <w:tab w:leader="none" w:pos="3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115" w:lineRule="exact"/>
        <w:rPr>
          <w:rFonts w:ascii="Times New Roman" w:cs="Times New Roman" w:eastAsia="Times New Roman" w:hAnsi="Times New Roman"/>
          <w:sz w:val="18"/>
          <w:szCs w:val="18"/>
          <w:color w:val="auto"/>
        </w:rPr>
      </w:pPr>
    </w:p>
    <w:p>
      <w:pPr>
        <w:ind w:right="100" w:firstLine="428"/>
        <w:spacing w:after="0" w:line="255" w:lineRule="auto"/>
        <w:tabs>
          <w:tab w:leader="none" w:pos="791"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upon written request, without charge, five signed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7(e) or 7(f) below, as many copies of the Time of Sale Prospectus, the Prospectus and any supplements and amendments thereto or to the Registration Statement as the Representatives may reasonably request.</w:t>
      </w:r>
    </w:p>
    <w:p>
      <w:pPr>
        <w:spacing w:after="0" w:line="75" w:lineRule="exact"/>
        <w:rPr>
          <w:rFonts w:ascii="Times New Roman" w:cs="Times New Roman" w:eastAsia="Times New Roman" w:hAnsi="Times New Roman"/>
          <w:sz w:val="18"/>
          <w:szCs w:val="18"/>
          <w:color w:val="auto"/>
        </w:rPr>
      </w:pPr>
    </w:p>
    <w:p>
      <w:pPr>
        <w:ind w:right="120" w:firstLine="428"/>
        <w:spacing w:after="0" w:line="257" w:lineRule="auto"/>
        <w:tabs>
          <w:tab w:leader="none" w:pos="804"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in writing, and to file with the Commission within the applicable period specified in Rule 424(b) under the Securities Act any prospectus required to be filed pursuant to such Rule.</w:t>
      </w:r>
    </w:p>
    <w:p>
      <w:pPr>
        <w:spacing w:after="0" w:line="75" w:lineRule="exact"/>
        <w:rPr>
          <w:rFonts w:ascii="Times New Roman" w:cs="Times New Roman" w:eastAsia="Times New Roman" w:hAnsi="Times New Roman"/>
          <w:sz w:val="18"/>
          <w:szCs w:val="18"/>
          <w:color w:val="auto"/>
        </w:rPr>
      </w:pPr>
    </w:p>
    <w:p>
      <w:pPr>
        <w:ind w:firstLine="428"/>
        <w:spacing w:after="0" w:line="277" w:lineRule="auto"/>
        <w:tabs>
          <w:tab w:leader="none" w:pos="791"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9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460"/>
          </w:cols>
          <w:pgMar w:left="920" w:top="268" w:right="519" w:bottom="1440" w:gutter="0" w:footer="0" w:header="0"/>
        </w:sectPr>
      </w:pPr>
    </w:p>
    <w:bookmarkStart w:id="295" w:name="page296"/>
    <w:bookmarkEnd w:id="295"/>
    <w:p>
      <w:pPr>
        <w:ind w:firstLine="428"/>
        <w:spacing w:after="0" w:line="262" w:lineRule="auto"/>
        <w:tabs>
          <w:tab w:leader="none" w:pos="80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70" w:lineRule="exact"/>
        <w:rPr>
          <w:rFonts w:ascii="Times New Roman" w:cs="Times New Roman" w:eastAsia="Times New Roman" w:hAnsi="Times New Roman"/>
          <w:sz w:val="18"/>
          <w:szCs w:val="18"/>
          <w:color w:val="auto"/>
        </w:rPr>
      </w:pPr>
    </w:p>
    <w:p>
      <w:pPr>
        <w:ind w:right="100" w:firstLine="428"/>
        <w:spacing w:after="0" w:line="251" w:lineRule="auto"/>
        <w:tabs>
          <w:tab w:leader="none" w:pos="79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79" w:lineRule="exact"/>
        <w:rPr>
          <w:rFonts w:ascii="Times New Roman" w:cs="Times New Roman" w:eastAsia="Times New Roman" w:hAnsi="Times New Roman"/>
          <w:sz w:val="18"/>
          <w:szCs w:val="18"/>
          <w:color w:val="auto"/>
        </w:rPr>
      </w:pPr>
    </w:p>
    <w:p>
      <w:pPr>
        <w:ind w:right="20" w:firstLine="428"/>
        <w:spacing w:after="0" w:line="250" w:lineRule="auto"/>
        <w:tabs>
          <w:tab w:leader="none" w:pos="77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460"/>
          </w:cols>
          <w:pgMar w:left="920" w:top="268" w:right="519" w:bottom="1440" w:gutter="0" w:footer="0" w:header="0"/>
        </w:sectPr>
      </w:pPr>
    </w:p>
    <w:bookmarkStart w:id="296" w:name="page297"/>
    <w:bookmarkEnd w:id="296"/>
    <w:p>
      <w:pPr>
        <w:ind w:left="420" w:right="140" w:firstLine="428"/>
        <w:spacing w:after="0" w:line="257" w:lineRule="auto"/>
        <w:tabs>
          <w:tab w:leader="none" w:pos="122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To endeavor to qualify the Shares for offer and sale under the securities or Blue Sky laws of such jurisdictions as the Representatives shall reasonably request,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75" w:lineRule="exact"/>
        <w:rPr>
          <w:rFonts w:ascii="Times New Roman" w:cs="Times New Roman" w:eastAsia="Times New Roman" w:hAnsi="Times New Roman"/>
          <w:sz w:val="18"/>
          <w:szCs w:val="18"/>
          <w:color w:val="auto"/>
        </w:rPr>
      </w:pPr>
    </w:p>
    <w:p>
      <w:pPr>
        <w:jc w:val="both"/>
        <w:ind w:left="420" w:right="60" w:firstLine="428"/>
        <w:spacing w:after="0" w:line="257" w:lineRule="auto"/>
        <w:tabs>
          <w:tab w:leader="none" w:pos="122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(which may be satisfied by the filing with the Commission on its Electronic Data Gathering, Analysis and Retrieval System)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75" w:lineRule="exact"/>
        <w:rPr>
          <w:rFonts w:ascii="Times New Roman" w:cs="Times New Roman" w:eastAsia="Times New Roman" w:hAnsi="Times New Roman"/>
          <w:sz w:val="18"/>
          <w:szCs w:val="18"/>
          <w:color w:val="auto"/>
        </w:rPr>
      </w:pPr>
    </w:p>
    <w:p>
      <w:pPr>
        <w:ind w:left="420" w:right="420" w:firstLine="428"/>
        <w:spacing w:after="0" w:line="277" w:lineRule="auto"/>
        <w:tabs>
          <w:tab w:leader="none" w:pos="118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all applicable securities and other laws, rules and regulations in each jurisdiction in which the Directed Shares are offered in connection with the Directed Share Program.</w:t>
      </w:r>
    </w:p>
    <w:p>
      <w:pPr>
        <w:spacing w:after="0" w:line="56" w:lineRule="exact"/>
        <w:rPr>
          <w:rFonts w:ascii="Times New Roman" w:cs="Times New Roman" w:eastAsia="Times New Roman" w:hAnsi="Times New Roman"/>
          <w:sz w:val="18"/>
          <w:szCs w:val="18"/>
          <w:color w:val="auto"/>
        </w:rPr>
      </w:pPr>
    </w:p>
    <w:p>
      <w:pPr>
        <w:jc w:val="both"/>
        <w:ind w:left="420" w:right="20" w:firstLine="428"/>
        <w:spacing w:after="0" w:line="262" w:lineRule="auto"/>
        <w:tabs>
          <w:tab w:leader="none" w:pos="118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notify the Representatives if the Company ceases to be an Emerging Growth Company at any time prior to the later of (i) completion of the distribution of the Shares within the meaning of the Securities Act and (ii) completion of the Restricted Period (as defined in this Section 7).</w:t>
      </w:r>
    </w:p>
    <w:p>
      <w:pPr>
        <w:spacing w:after="0" w:line="70" w:lineRule="exact"/>
        <w:rPr>
          <w:rFonts w:ascii="Times New Roman" w:cs="Times New Roman" w:eastAsia="Times New Roman" w:hAnsi="Times New Roman"/>
          <w:sz w:val="18"/>
          <w:szCs w:val="18"/>
          <w:color w:val="auto"/>
        </w:rPr>
      </w:pPr>
    </w:p>
    <w:p>
      <w:pPr>
        <w:ind w:left="420" w:right="20" w:firstLine="428"/>
        <w:spacing w:after="0" w:line="253" w:lineRule="auto"/>
        <w:tabs>
          <w:tab w:leader="none" w:pos="12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distribution of any Written Testing-the-Waters Communication there occurred or occurs an event or development as a result of which such Written Testing-the-Waters Communication, as then amended or supplemented,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80" w:lineRule="exact"/>
        <w:rPr>
          <w:rFonts w:ascii="Times New Roman" w:cs="Times New Roman" w:eastAsia="Times New Roman" w:hAnsi="Times New Roman"/>
          <w:sz w:val="18"/>
          <w:szCs w:val="18"/>
          <w:color w:val="auto"/>
        </w:rPr>
      </w:pPr>
    </w:p>
    <w:p>
      <w:pPr>
        <w:ind w:left="420" w:firstLine="428"/>
        <w:spacing w:after="0" w:line="257" w:lineRule="auto"/>
        <w:tabs>
          <w:tab w:leader="none" w:pos="118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each Underwriter (or its agent), on or prior to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2" w:lineRule="exact"/>
        <w:rPr>
          <w:sz w:val="20"/>
          <w:szCs w:val="20"/>
          <w:color w:val="auto"/>
        </w:rPr>
      </w:pPr>
    </w:p>
    <w:p>
      <w:pPr>
        <w:ind w:right="880" w:firstLine="436"/>
        <w:spacing w:after="0" w:line="277" w:lineRule="auto"/>
        <w:rPr>
          <w:sz w:val="20"/>
          <w:szCs w:val="20"/>
          <w:color w:val="auto"/>
        </w:rPr>
      </w:pPr>
      <w:r>
        <w:rPr>
          <w:rFonts w:ascii="Times New Roman" w:cs="Times New Roman" w:eastAsia="Times New Roman" w:hAnsi="Times New Roman"/>
          <w:sz w:val="18"/>
          <w:szCs w:val="18"/>
          <w:color w:val="auto"/>
        </w:rPr>
        <w:t>The Company also covenants with each Underwriter that, without the prior written consent of at least three of the Representatives (the “</w:t>
      </w:r>
      <w:r>
        <w:rPr>
          <w:rFonts w:ascii="Times New Roman" w:cs="Times New Roman" w:eastAsia="Times New Roman" w:hAnsi="Times New Roman"/>
          <w:sz w:val="18"/>
          <w:szCs w:val="18"/>
          <w:b w:val="1"/>
          <w:bCs w:val="1"/>
          <w:color w:val="auto"/>
        </w:rPr>
        <w:t>Consenting</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880"/>
          </w:cols>
          <w:pgMar w:left="500" w:top="268" w:right="519" w:bottom="1440" w:gutter="0" w:footer="0" w:header="0"/>
        </w:sectPr>
      </w:pPr>
    </w:p>
    <w:bookmarkStart w:id="297" w:name="page298"/>
    <w:bookmarkEnd w:id="297"/>
    <w:p>
      <w:pPr>
        <w:ind w:left="6" w:right="20"/>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Representatives</w:t>
      </w:r>
      <w:r>
        <w:rPr>
          <w:rFonts w:ascii="Times New Roman" w:cs="Times New Roman" w:eastAsia="Times New Roman" w:hAnsi="Times New Roman"/>
          <w:sz w:val="18"/>
          <w:szCs w:val="18"/>
          <w:color w:val="auto"/>
        </w:rPr>
        <w:t>”) on behalf of the Underwriters, it will not, and will not publicly disclose an intention to, during the period ending 180 days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w:t>
      </w:r>
    </w:p>
    <w:p>
      <w:pPr>
        <w:spacing w:after="0" w:line="189" w:lineRule="exact"/>
        <w:rPr>
          <w:sz w:val="20"/>
          <w:szCs w:val="20"/>
          <w:color w:val="auto"/>
        </w:rPr>
      </w:pPr>
    </w:p>
    <w:p>
      <w:pPr>
        <w:ind w:left="6" w:firstLine="436"/>
        <w:spacing w:after="0" w:line="265" w:lineRule="auto"/>
        <w:rPr>
          <w:sz w:val="20"/>
          <w:szCs w:val="20"/>
          <w:color w:val="auto"/>
        </w:rPr>
      </w:pPr>
      <w:r>
        <w:rPr>
          <w:rFonts w:ascii="Times New Roman" w:cs="Times New Roman" w:eastAsia="Times New Roman" w:hAnsi="Times New Roman"/>
          <w:sz w:val="17"/>
          <w:szCs w:val="17"/>
          <w:color w:val="auto"/>
        </w:rPr>
        <w:t>The restrictions contained in the preceding paragraph shall not apply to (A) the Shares to be sold hereunder, (B) the issuance by the Company of shares of Common Stock upon the exercise of an option or warrant, in connection with the vesting and/or settlement of a restricted stock unit award, or the conversion of a security outstanding on the date hereof as described in each of the Time of Sale Prospectus and Prospectus, (C) the grant of compensatory equity-based awards, and/or the issuance of shares of Common Stock with respect thereto, made pursuant to compensatory equity-based plans disclosed in the Registration Statement, Time of Sale Prospectus, or Prospectus, (D) any shares of Common Stock issued pursuant to any non-employee director compensation plan or program disclosed in the Registration Statement, Time of Sale Prospectus, or Prospectus, (E) the purchase of shares of Common Stock pursuant to employee stock purchase plans described in the Registration Statement, Time of Sale Prospectus, or Prospectus,</w:t>
      </w:r>
    </w:p>
    <w:p>
      <w:pPr>
        <w:spacing w:after="0" w:line="4" w:lineRule="exact"/>
        <w:rPr>
          <w:sz w:val="20"/>
          <w:szCs w:val="20"/>
          <w:color w:val="auto"/>
        </w:rPr>
      </w:pPr>
    </w:p>
    <w:p>
      <w:pPr>
        <w:ind w:left="6" w:right="40" w:hanging="6"/>
        <w:spacing w:after="0" w:line="248" w:lineRule="auto"/>
        <w:tabs>
          <w:tab w:leader="none" w:pos="26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filing of a registration statement on Form S-8 to register Common Stock issuable pursuant to any employee benefit plans, qualified stock option plans or other employee compensation plans, described in the Registration Statement, Time of Sale Prospectus, or Prospectus, (G) Common Stock or any securities convertible into, or exercisable or exchangeable for, Common Stock, or the entrance into an agreement to issue Common Stock or any securities convertible into, or exercisable or exchangeable for, Common Stock, in connection with any merger, joint venture, strategic alliances, commercial or other collaborative transaction or the acquisition or license of the business, property, technology or other assets of another individual or entity or the assumption of an employee benefit plan in connection with a merger or acquisition;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aggregate number of Common Stock or any securities convertible into, or exercisable or exchangeable for, Common Stock that the Company may issue or agree to issue pursuant to this clause (G) shall not exceed 10% of the total outstanding share capital of the Company immediately following the issuance of the Shares; and provided further, that the recipients of any such shares of Common Stock and securities issued pursuant to this clause (G) during the 180-day restricted period described above shall enter into an agreement substantially in the form attached hereto on or prior to such issuance, or (H) facilitating the establishment of a trading plan on behalf of a shareholder, officer or director of the Company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Common Stock during the Restricted Period and (ii) to the extent a public</w:t>
      </w:r>
    </w:p>
    <w:p>
      <w:pPr>
        <w:spacing w:after="0" w:line="126" w:lineRule="exact"/>
        <w:rPr>
          <w:sz w:val="20"/>
          <w:szCs w:val="20"/>
          <w:color w:val="auto"/>
        </w:rPr>
      </w:pPr>
    </w:p>
    <w:p>
      <w:pPr>
        <w:jc w:val="center"/>
        <w:ind w:right="-65"/>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846"/>
          </w:cols>
          <w:pgMar w:left="494" w:top="264" w:right="559" w:bottom="1440" w:gutter="0" w:footer="0" w:header="0"/>
        </w:sectPr>
      </w:pPr>
    </w:p>
    <w:bookmarkStart w:id="298" w:name="page299"/>
    <w:bookmarkEnd w:id="298"/>
    <w:p>
      <w:pPr>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177" w:lineRule="exact"/>
        <w:rPr>
          <w:sz w:val="20"/>
          <w:szCs w:val="20"/>
          <w:color w:val="auto"/>
        </w:rPr>
      </w:pPr>
    </w:p>
    <w:p>
      <w:pPr>
        <w:ind w:right="60" w:firstLine="436"/>
        <w:spacing w:after="0" w:line="257" w:lineRule="auto"/>
        <w:rPr>
          <w:sz w:val="20"/>
          <w:szCs w:val="20"/>
          <w:color w:val="auto"/>
        </w:rPr>
      </w:pPr>
      <w:r>
        <w:rPr>
          <w:rFonts w:ascii="Times New Roman" w:cs="Times New Roman" w:eastAsia="Times New Roman" w:hAnsi="Times New Roman"/>
          <w:sz w:val="18"/>
          <w:szCs w:val="18"/>
          <w:color w:val="auto"/>
        </w:rPr>
        <w:t>If the Consenting Representatives, in their sole discretion, agree to release or waive the restrictions on the transfer of Shares set forth in a Lock-up Agreement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80" w:lineRule="exact"/>
        <w:rPr>
          <w:sz w:val="20"/>
          <w:szCs w:val="20"/>
          <w:color w:val="auto"/>
        </w:rPr>
      </w:pPr>
    </w:p>
    <w:p>
      <w:pPr>
        <w:ind w:left="740" w:hanging="310"/>
        <w:spacing w:after="0"/>
        <w:tabs>
          <w:tab w:leader="none" w:pos="7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Selling Shareholders</w:t>
      </w:r>
      <w:r>
        <w:rPr>
          <w:rFonts w:ascii="Times New Roman" w:cs="Times New Roman" w:eastAsia="Times New Roman" w:hAnsi="Times New Roman"/>
          <w:sz w:val="18"/>
          <w:szCs w:val="18"/>
          <w:color w:val="auto"/>
        </w:rPr>
        <w:t>. Each Selling Shareholder, severally and not jointly, covenants with each Underwriter as follows:</w:t>
      </w:r>
    </w:p>
    <w:p>
      <w:pPr>
        <w:spacing w:after="0" w:line="115" w:lineRule="exact"/>
        <w:rPr>
          <w:rFonts w:ascii="Times New Roman" w:cs="Times New Roman" w:eastAsia="Times New Roman" w:hAnsi="Times New Roman"/>
          <w:sz w:val="18"/>
          <w:szCs w:val="18"/>
          <w:color w:val="auto"/>
        </w:rPr>
      </w:pPr>
    </w:p>
    <w:p>
      <w:pPr>
        <w:ind w:left="420" w:right="220" w:firstLine="428"/>
        <w:spacing w:after="0" w:line="308" w:lineRule="auto"/>
        <w:tabs>
          <w:tab w:leader="none" w:pos="1214"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Selling Shareholder will deliver to each Underwriter (or its agent), prior to or at the Closing Date, a properly completed and executed Internal Revenue Service (“</w:t>
      </w:r>
      <w:r>
        <w:rPr>
          <w:rFonts w:ascii="Times New Roman" w:cs="Times New Roman" w:eastAsia="Times New Roman" w:hAnsi="Times New Roman"/>
          <w:sz w:val="17"/>
          <w:szCs w:val="17"/>
          <w:b w:val="1"/>
          <w:bCs w:val="1"/>
          <w:color w:val="auto"/>
        </w:rPr>
        <w:t>IRS</w:t>
      </w:r>
      <w:r>
        <w:rPr>
          <w:rFonts w:ascii="Times New Roman" w:cs="Times New Roman" w:eastAsia="Times New Roman" w:hAnsi="Times New Roman"/>
          <w:sz w:val="17"/>
          <w:szCs w:val="17"/>
          <w:color w:val="auto"/>
        </w:rPr>
        <w:t>”) Form W-9 or an IRS Form W-8, as appropriate, together with all required attachments to such form.</w:t>
      </w:r>
    </w:p>
    <w:p>
      <w:pPr>
        <w:spacing w:after="0" w:line="32" w:lineRule="exact"/>
        <w:rPr>
          <w:rFonts w:ascii="Times New Roman" w:cs="Times New Roman" w:eastAsia="Times New Roman" w:hAnsi="Times New Roman"/>
          <w:sz w:val="17"/>
          <w:szCs w:val="17"/>
          <w:color w:val="auto"/>
        </w:rPr>
      </w:pPr>
    </w:p>
    <w:p>
      <w:pPr>
        <w:ind w:left="420" w:right="20" w:firstLine="428"/>
        <w:spacing w:after="0" w:line="257" w:lineRule="auto"/>
        <w:tabs>
          <w:tab w:leader="none" w:pos="1224"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Selling Shareholder will deliver to each Underwriter (or its agent), on the date of execution of this Agreement, a properly completed and executed Certification Regarding Beneficial Owners of Legal Entity Customers, together with copies of identifying documentation, and each Selling Shareholder undertakes to provide such additional supporting documentation as each Underwriter may reasonably request in connection with the verification of the foregoing Certification.</w:t>
      </w:r>
    </w:p>
    <w:p>
      <w:pPr>
        <w:spacing w:after="0" w:line="180" w:lineRule="exact"/>
        <w:rPr>
          <w:rFonts w:ascii="Times New Roman" w:cs="Times New Roman" w:eastAsia="Times New Roman" w:hAnsi="Times New Roman"/>
          <w:sz w:val="18"/>
          <w:szCs w:val="18"/>
          <w:color w:val="auto"/>
        </w:rPr>
      </w:pPr>
    </w:p>
    <w:p>
      <w:pPr>
        <w:ind w:right="140" w:firstLine="430"/>
        <w:spacing w:after="0" w:line="251" w:lineRule="auto"/>
        <w:tabs>
          <w:tab w:leader="none" w:pos="747"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Whether or not the transactions contemplated in this Agreement are consummated or this Agreement is terminated,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agrees to pay or cause to be paid all expenses incident to the performance of the obligations of the Sellers under this Agreement, including: (i) the fees, disbursements and expenses of the Company’s counsel, the Company’s accountants and counsel for the Selling Shareholders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7(g) hereof, including filing fees and the reasonable fees and disbursements of counsel for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00"/>
          </w:cols>
          <w:pgMar w:left="500" w:top="268" w:right="499" w:bottom="1440" w:gutter="0" w:footer="0" w:header="0"/>
        </w:sectPr>
      </w:pPr>
    </w:p>
    <w:bookmarkStart w:id="299" w:name="page300"/>
    <w:bookmarkEnd w:id="299"/>
    <w:p>
      <w:pPr>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Shares by the Financial Industry Regulatory Authority, (v) all fees and expenses in connection with the preparation and filing of the registration statement on Form 8-A relating to the Common Stock and all costs and expenses incident to listing the Shares on the NASDAQ Global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(with the Underwriters agreeing to pay all costs and expenses related to their participation in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officers and other employees or representatives of the Company and any such consultants, and the cost of any aircraft chartered in connection with the road show with the prior approval of the Company, (ix) the document production charges and expenses associated with printing this Agreement, (x) all fees and disbursements of counsel incurred by the Underwriters in connection with the Directed Share Program and stamp duties, similar taxes or duties or other taxes, if any, incurred by the Underwriters in connection with the Directed Share Program and (xi) all other costs and expenses incident to the performance of the obligations of the Company hereunder for which provision is not otherwise made in this Section. It is understood, however, that except as provided in this Section, Section 11 entitled “Indemnity and Contribution”, Section 12 entitled “Directed Share Program Indemnification” and the last paragraph of Section 14 below, the Underwriters will pay all of their costs and expenses, including fees and disbursements of their counsel, stock transfer taxes payable on resale of any of the Shares by them and any advertising expenses connected with any offers they may make. The provisions of this Section shall not supersede or otherwise affect any agreement that the Sellers may otherwise have for the allocation of such expenses among themselves.</w:t>
      </w:r>
    </w:p>
    <w:p>
      <w:pPr>
        <w:spacing w:after="0" w:line="187" w:lineRule="exact"/>
        <w:rPr>
          <w:sz w:val="20"/>
          <w:szCs w:val="20"/>
          <w:color w:val="auto"/>
        </w:rPr>
      </w:pPr>
    </w:p>
    <w:p>
      <w:pPr>
        <w:ind w:right="140" w:firstLine="430"/>
        <w:spacing w:after="0" w:line="263" w:lineRule="auto"/>
        <w:tabs>
          <w:tab w:leader="none" w:pos="83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Underwriters</w:t>
      </w:r>
      <w:r>
        <w:rPr>
          <w:rFonts w:ascii="Times New Roman" w:cs="Times New Roman" w:eastAsia="Times New Roman" w:hAnsi="Times New Roman"/>
          <w:sz w:val="18"/>
          <w:szCs w:val="18"/>
          <w:color w:val="auto"/>
        </w:rPr>
        <w:t>. Each Underwriter, severally and not jointly, covenants with the Company not to take any action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74" w:lineRule="exact"/>
        <w:rPr>
          <w:rFonts w:ascii="Times New Roman" w:cs="Times New Roman" w:eastAsia="Times New Roman" w:hAnsi="Times New Roman"/>
          <w:sz w:val="18"/>
          <w:szCs w:val="18"/>
          <w:color w:val="auto"/>
        </w:rPr>
      </w:pPr>
    </w:p>
    <w:p>
      <w:pPr>
        <w:ind w:right="160" w:firstLine="430"/>
        <w:spacing w:after="0" w:line="278" w:lineRule="auto"/>
        <w:tabs>
          <w:tab w:leader="none" w:pos="830"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Indemnity and Contribution. </w:t>
      </w:r>
      <w:r>
        <w:rPr>
          <w:rFonts w:ascii="Times New Roman" w:cs="Times New Roman" w:eastAsia="Times New Roman" w:hAnsi="Times New Roman"/>
          <w:sz w:val="17"/>
          <w:szCs w:val="17"/>
          <w:color w:val="auto"/>
        </w:rPr>
        <w:t>(a) The Company agrees to indemnify and hold harmless each Underwriter, each person, if any, who controls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60"/>
          </w:cols>
          <w:pgMar w:left="500" w:top="268" w:right="539" w:bottom="1440" w:gutter="0" w:footer="0" w:header="0"/>
        </w:sectPr>
      </w:pPr>
    </w:p>
    <w:bookmarkStart w:id="300" w:name="page301"/>
    <w:bookmarkEnd w:id="300"/>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paragraph (c) below.</w:t>
      </w:r>
    </w:p>
    <w:p>
      <w:pPr>
        <w:spacing w:after="0" w:line="79" w:lineRule="exact"/>
        <w:rPr>
          <w:sz w:val="20"/>
          <w:szCs w:val="20"/>
          <w:color w:val="auto"/>
        </w:rPr>
      </w:pPr>
    </w:p>
    <w:p>
      <w:pPr>
        <w:ind w:left="420" w:right="20" w:firstLine="428"/>
        <w:spacing w:after="0" w:line="266" w:lineRule="auto"/>
        <w:tabs>
          <w:tab w:leader="none" w:pos="1224"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Selling Shareholder agrees, severally and not jointly,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but only with reference to the Selling Shareholder Information and provided, further, that the aggregate liability of any Selling Shareholder pursuant to this subsection (b) shall be limited to an amount equal to the net proceeds (net of underwriting discounts and commissions but without deducting expenses) received by such Selling Shareholder for the Shares sold by such Selling Shareholder under this Agreement (with respect to each Selling Shareholder, the “</w:t>
      </w:r>
      <w:r>
        <w:rPr>
          <w:rFonts w:ascii="Times New Roman" w:cs="Times New Roman" w:eastAsia="Times New Roman" w:hAnsi="Times New Roman"/>
          <w:sz w:val="17"/>
          <w:szCs w:val="17"/>
          <w:b w:val="1"/>
          <w:bCs w:val="1"/>
          <w:color w:val="auto"/>
        </w:rPr>
        <w:t>Selling Shareholder Proceeds</w:t>
      </w:r>
      <w:r>
        <w:rPr>
          <w:rFonts w:ascii="Times New Roman" w:cs="Times New Roman" w:eastAsia="Times New Roman" w:hAnsi="Times New Roman"/>
          <w:sz w:val="17"/>
          <w:szCs w:val="17"/>
          <w:color w:val="auto"/>
        </w:rPr>
        <w:t>”),.</w:t>
      </w:r>
    </w:p>
    <w:p>
      <w:pPr>
        <w:spacing w:after="0" w:line="68" w:lineRule="exact"/>
        <w:rPr>
          <w:rFonts w:ascii="Times New Roman" w:cs="Times New Roman" w:eastAsia="Times New Roman" w:hAnsi="Times New Roman"/>
          <w:sz w:val="17"/>
          <w:szCs w:val="17"/>
          <w:color w:val="auto"/>
        </w:rPr>
      </w:pPr>
    </w:p>
    <w:p>
      <w:pPr>
        <w:ind w:left="420" w:right="80" w:firstLine="428"/>
        <w:spacing w:after="0" w:line="262" w:lineRule="auto"/>
        <w:tabs>
          <w:tab w:leader="none" w:pos="121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agrees, severally and not jointly, to indemnify and hold harmless the Company, the Selling Shareholders, the directors of the Company, the officers of the Company who sign the Registration Statement and each person, if any, who controls the Company or any Selling Shareholder within</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00"/>
          </w:cols>
          <w:pgMar w:left="500" w:top="268" w:right="499" w:bottom="1440" w:gutter="0" w:footer="0" w:header="0"/>
        </w:sectPr>
      </w:pPr>
    </w:p>
    <w:bookmarkStart w:id="301" w:name="page302"/>
    <w:bookmarkEnd w:id="30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 it being understood and agreed upon that the only such information furnished by any Underwriter consists of the following information in the Prospectus furnished on behalf of each Underwriter: [·](such information, the “</w:t>
      </w:r>
      <w:r>
        <w:rPr>
          <w:rFonts w:ascii="Times New Roman" w:cs="Times New Roman" w:eastAsia="Times New Roman" w:hAnsi="Times New Roman"/>
          <w:sz w:val="18"/>
          <w:szCs w:val="18"/>
          <w:b w:val="1"/>
          <w:bCs w:val="1"/>
          <w:color w:val="auto"/>
        </w:rPr>
        <w:t>Underwriter Information</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right="20" w:firstLine="428"/>
        <w:spacing w:after="0" w:line="249" w:lineRule="auto"/>
        <w:tabs>
          <w:tab w:leader="none" w:pos="80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proceeding (including any governmental investigation) shall be instituted involving any person in respect of which indemnity may be sought pursuant to Section 11(a), (b) or (c),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documented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and agreed that the indemnifying party shall not, in respect of the legal expenses of any indemnified party in connection with any proceeding or related proceedings in the same jurisdiction, be liable for (i) the reasonably incurred and documented fees and expenses of more than one separate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 (ii) the reasonably incurred and documented fees and expenses of more than one separate firm (in addition to any local counsel) for the Company, its directors, its officers who sign the Registration Statement and each person, if any, who controls the Company within the meaning of either such Section and (iii) the reasonably incurred and documented fees and expenses of more than one separate firm (in addition to any local counsel) for all Selling Shareholders and all persons, if any, who control any Selling Shareholder within the meaning of either such Section, and that all such reasonably incurred and documented fees and expenses shall be reimbursed as they are incurred. In the case of any such separate firm for the Underwriters and such control persons and affiliates of any Underwriters, such firm shall be designated in writing by the</w:t>
      </w:r>
    </w:p>
    <w:p>
      <w:pPr>
        <w:spacing w:after="0" w:line="1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480"/>
          </w:cols>
          <w:pgMar w:left="920" w:top="268" w:right="499" w:bottom="1440" w:gutter="0" w:footer="0" w:header="0"/>
        </w:sectPr>
      </w:pPr>
    </w:p>
    <w:bookmarkStart w:id="302" w:name="page303"/>
    <w:bookmarkEnd w:id="302"/>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Representatives. In the case of any such separate firm for the Company, and such directors, officers and control persons of the Company, such firm shall be designated in writing by the Company. In the case of any such separate firm for the Selling Shareholders and such control persons of any Selling Shareholders, such firm shall be designated in writing by the persons named as attorneys-in-fact for the Selling Shareholders under the Powers of Attorney.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(i) such settlement includes an unconditional release of such indemnified party from all liability on claims that are the subject matter of such proceeding and (ii) does not include any statement as to or any admission of fault, culpability or a failure to act by or on behalf of any Indemnified Person.</w:t>
      </w:r>
    </w:p>
    <w:p>
      <w:pPr>
        <w:spacing w:after="0" w:line="92" w:lineRule="exact"/>
        <w:rPr>
          <w:sz w:val="20"/>
          <w:szCs w:val="20"/>
          <w:color w:val="auto"/>
        </w:rPr>
      </w:pPr>
    </w:p>
    <w:p>
      <w:pPr>
        <w:ind w:firstLine="428"/>
        <w:spacing w:after="0" w:line="266" w:lineRule="auto"/>
        <w:tabs>
          <w:tab w:leader="none" w:pos="791"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the indemnification provided for in Section 11(a), (b) or (c)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clause 11(e)(i) above is not permitted by applicable law, in such proportion as is appropriate to reflect not only the relative benefits referred to in clause 11(e)(i)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indemnifying party or parties on the one hand and the Underwriters on the other hand in connection with the offering of the Shares shall be deemed to be in the same respective proportions as the net proceeds from the offering of the Shares (before deducting expenses) received by each Seller and the total underwriting discounts and commissions received by the Underwriters, in</w:t>
      </w:r>
    </w:p>
    <w:p>
      <w:pPr>
        <w:spacing w:after="0" w:line="11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460"/>
          </w:cols>
          <w:pgMar w:left="920" w:top="268" w:right="519" w:bottom="1440" w:gutter="0" w:footer="0" w:header="0"/>
        </w:sectPr>
      </w:pPr>
    </w:p>
    <w:bookmarkStart w:id="303" w:name="page304"/>
    <w:bookmarkEnd w:id="303"/>
    <w:p>
      <w:pPr>
        <w:ind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each case as set forth in the table on the cover of the Prospectus, bear to the aggregate Public Offering Price of the Shares. The relative fault of the Sellers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Sellers or by the Underwriters and the parties’ relative intent, knowledge, access to information and opportunity to correct or prevent such statement or omission. The Underwriters’ respective obligations to contribute pursuant to this Section 11 are several in proportion to the respective number of Shares they have purchased hereunder, and not joint. The Sellers respective obligations to contribute pursuant to this Section 11 are several in proportion to the respective number of Shares they have sold hereunder, and not joint. The liability of each Selling Shareholder under the contribution agreement contained in this paragraph shall be limited to an amount equal to the aggregate Selling Shareholder Proceeds.</w:t>
      </w:r>
    </w:p>
    <w:p>
      <w:pPr>
        <w:spacing w:after="0" w:line="70" w:lineRule="exact"/>
        <w:rPr>
          <w:sz w:val="20"/>
          <w:szCs w:val="20"/>
          <w:color w:val="auto"/>
        </w:rPr>
      </w:pPr>
    </w:p>
    <w:p>
      <w:pPr>
        <w:ind w:firstLine="428"/>
        <w:spacing w:after="0" w:line="250" w:lineRule="auto"/>
        <w:tabs>
          <w:tab w:leader="none" w:pos="771"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Sellers and the Underwriters agree that it would not be just or equitable if contribution pursuant to this Section 11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Section 11(e). The amount paid or payable by an indemnified party as a result of the losses, claims, damages and liabilities referred to in Section 11(e) shall be deemed to include, subject to the limitations set forth above, any legal or other expenses reasonably incurred by such indemnified party in connection with investigating or defending any such action or claim. Notwithstanding the provisions of this Section 11,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11 are not exclusive and shall not limit any rights or remedies which may otherwise be available to any indemnified party at law or in equity.</w:t>
      </w:r>
    </w:p>
    <w:p>
      <w:pPr>
        <w:spacing w:after="0" w:line="86" w:lineRule="exact"/>
        <w:rPr>
          <w:rFonts w:ascii="Times New Roman" w:cs="Times New Roman" w:eastAsia="Times New Roman" w:hAnsi="Times New Roman"/>
          <w:sz w:val="18"/>
          <w:szCs w:val="18"/>
          <w:color w:val="auto"/>
        </w:rPr>
      </w:pPr>
    </w:p>
    <w:p>
      <w:pPr>
        <w:ind w:right="100" w:firstLine="428"/>
        <w:spacing w:after="0" w:line="274" w:lineRule="auto"/>
        <w:tabs>
          <w:tab w:leader="none" w:pos="801"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and contribution provisions contained in this Section 11 and the representations, warranties and other statements of the Company contained in this Agreement shall remain operative and in full force and effect regardless of (i) any termination of this Agreement,</w:t>
      </w:r>
    </w:p>
    <w:p>
      <w:pPr>
        <w:ind w:firstLine="10"/>
        <w:spacing w:after="0" w:line="251" w:lineRule="auto"/>
        <w:tabs>
          <w:tab w:leader="none" w:pos="26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460"/>
          </w:cols>
          <w:pgMar w:left="920" w:top="268" w:right="519" w:bottom="1440" w:gutter="0" w:footer="0" w:header="0"/>
        </w:sectPr>
      </w:pPr>
    </w:p>
    <w:bookmarkStart w:id="304" w:name="page305"/>
    <w:bookmarkEnd w:id="304"/>
    <w:p>
      <w:pPr>
        <w:ind w:left="426" w:right="80" w:firstLine="428"/>
        <w:spacing w:after="0" w:line="277" w:lineRule="auto"/>
        <w:tabs>
          <w:tab w:leader="none" w:pos="1227"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aggregate liability of each Selling Shareholder under the indemnity and contribution agreements contained in this Section 11 shall not exceed the Selling Shareholder Proceeds</w:t>
      </w:r>
    </w:p>
    <w:p>
      <w:pPr>
        <w:spacing w:after="0" w:line="161" w:lineRule="exact"/>
        <w:rPr>
          <w:rFonts w:ascii="Times New Roman" w:cs="Times New Roman" w:eastAsia="Times New Roman" w:hAnsi="Times New Roman"/>
          <w:sz w:val="18"/>
          <w:szCs w:val="18"/>
          <w:color w:val="auto"/>
        </w:rPr>
      </w:pPr>
    </w:p>
    <w:p>
      <w:pPr>
        <w:ind w:left="6" w:firstLine="430"/>
        <w:spacing w:after="0" w:line="266" w:lineRule="auto"/>
        <w:tabs>
          <w:tab w:leader="none" w:pos="843"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Directed Share Program Indemnification. </w:t>
      </w:r>
      <w:r>
        <w:rPr>
          <w:rFonts w:ascii="Times New Roman" w:cs="Times New Roman" w:eastAsia="Times New Roman" w:hAnsi="Times New Roman"/>
          <w:sz w:val="17"/>
          <w:szCs w:val="17"/>
          <w:color w:val="auto"/>
        </w:rPr>
        <w:t>(a) The Company agrees to indemnify and hold harmless Morgan Stanley, each person, if any, who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controls Morgan Stanley within the meaning of either Section 15 of the Securities Act or Section 20 of the Exchange Act and each affiliate of Morgan Stanley within the meaning of Rule 405 of the Securities Act (“</w:t>
      </w:r>
      <w:r>
        <w:rPr>
          <w:rFonts w:ascii="Times New Roman" w:cs="Times New Roman" w:eastAsia="Times New Roman" w:hAnsi="Times New Roman"/>
          <w:sz w:val="17"/>
          <w:szCs w:val="17"/>
          <w:b w:val="1"/>
          <w:bCs w:val="1"/>
          <w:color w:val="auto"/>
        </w:rPr>
        <w:t>Morgan Stanley Entities</w:t>
      </w:r>
      <w:r>
        <w:rPr>
          <w:rFonts w:ascii="Times New Roman" w:cs="Times New Roman" w:eastAsia="Times New Roman" w:hAnsi="Times New Roman"/>
          <w:sz w:val="17"/>
          <w:szCs w:val="17"/>
          <w:color w:val="auto"/>
        </w:rPr>
        <w:t>”) from and against any and all losses, claims, damages and liabilities (including, without limitation, any legal or other expenses reasonably incurred in connection with defending or investigating any such action or claim) (i) that arise out of, or are based upon, any untrue statement or alleged untrue statement of a material fact contained in any material prepared by or with the consent of the Company for distribution to Participants in connection with the Directed Share Program or arise out of, or are based upon, any omission or alleged omission to state therein a material fact required to be stated therein or necessary to make the statements therein not misleading;</w:t>
      </w:r>
    </w:p>
    <w:p>
      <w:pPr>
        <w:ind w:left="6" w:right="420" w:hanging="6"/>
        <w:spacing w:after="0" w:line="273" w:lineRule="auto"/>
        <w:tabs>
          <w:tab w:leader="none" w:pos="268"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arise out of, or are based upon, the failure of any Participant to pay for and accept delivery of Directed Shares that the Participant agreed to purchase; or (iii) related to, arising out of, or in connection with the Directed Share Program, other than losses, claims, damages or liabilities (or expenses relating thereto) that are finally judicially determined to have resulted from the bad faith or gross negligence of Morgan Stanley Entities.</w:t>
      </w:r>
    </w:p>
    <w:p>
      <w:pPr>
        <w:spacing w:after="0" w:line="62" w:lineRule="exact"/>
        <w:rPr>
          <w:rFonts w:ascii="Times New Roman" w:cs="Times New Roman" w:eastAsia="Times New Roman" w:hAnsi="Times New Roman"/>
          <w:sz w:val="17"/>
          <w:szCs w:val="17"/>
          <w:color w:val="auto"/>
        </w:rPr>
      </w:pPr>
    </w:p>
    <w:p>
      <w:pPr>
        <w:ind w:left="426" w:right="40" w:firstLine="428"/>
        <w:spacing w:after="0" w:line="265" w:lineRule="auto"/>
        <w:tabs>
          <w:tab w:leader="none" w:pos="1230" w:val="left"/>
        </w:tabs>
        <w:numPr>
          <w:ilvl w:val="2"/>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any proceeding (including any governmental investigation) shall be instituted involving any Morgan Stanley Entity in respect of which indemnity may be sought pursuant to Section 12(a), the Morgan Stanley Entity seeking indemnity, shall promptly notify the Company in writing and the Company, upon request of the Morgan Stanley Entity, shall retain counsel reasonably satisfactory to the Morgan Stanley Entity to represent the Morgan Stanley Entity and any others the Company may designate in such proceeding and shall pay the fees and disbursements of such counsel related to such proceeding. In any such proceeding, any Morgan Stanley Entity shall have the right to retain its own counsel, but the fees and expenses of such counsel shall be at the expense of such Morgan Stanley Entity unless (i) the Company shall have agreed to the retention of such counsel or (ii) the named parties to any such proceeding (including any impleaded parties) include both the Company and the</w:t>
      </w:r>
    </w:p>
    <w:p>
      <w:pPr>
        <w:spacing w:after="0" w:line="4" w:lineRule="exact"/>
        <w:rPr>
          <w:rFonts w:ascii="Times New Roman" w:cs="Times New Roman" w:eastAsia="Times New Roman" w:hAnsi="Times New Roman"/>
          <w:sz w:val="17"/>
          <w:szCs w:val="17"/>
          <w:color w:val="auto"/>
        </w:rPr>
      </w:pPr>
    </w:p>
    <w:p>
      <w:pPr>
        <w:ind w:left="426" w:right="2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Morgan Stanley Entity and representation of both parties by the same counsel would be inappropriate due to actual or potential differing interests between them. The Company shall not, in respect of the legal expenses of the Morgan Stanley Entities in connection with any proceeding or related proceedings in the same jurisdiction, be liable for the fees and expenses of more than one separate firm (in addition to any local counsel) for all Morgan Stanley Entities. Any such separate firm for the Morgan Stanley Entities shall be designated in writing by Morgan Stanley. The Company shall not be liable for any settlement of any proceeding effected without its written consent, but if settled with such consent or if there be a final judgment for the plaintiff, the Company agrees to indemnify the Morgan Stanley Entities from and against any loss or liability by reason of such settlement</w:t>
      </w:r>
    </w:p>
    <w:p>
      <w:pPr>
        <w:spacing w:after="0" w:line="12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886"/>
          </w:cols>
          <w:pgMar w:left="494" w:top="268" w:right="519" w:bottom="1440" w:gutter="0" w:footer="0" w:header="0"/>
        </w:sectPr>
      </w:pPr>
    </w:p>
    <w:bookmarkStart w:id="305" w:name="page306"/>
    <w:bookmarkEnd w:id="305"/>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or judgment. Notwithstanding the foregoing sentence, if at any time a Morgan Stanley Entity shall have requested the Company to reimburse it for fees and expenses of counsel as contemplated by the second and third sentences of this paragraph, the Company agrees that it shall be liable for any settlement of any proceeding effected without its written consent if (i) such settlement is entered into more than 30 days after receipt by the Company of the aforesaid request and (ii) the Company shall not have reimbursed the Morgan Stanley Entity in accordance with such request prior to the date of such settlement. The Company shall not, without the prior written consent of Morgan Stanley, effect any settlement of any pending or threatened proceeding in respect of which any Morgan Stanley Entity is or could have been a party and indemnity could have been sought hereunder by such Morgan Stanley Entity, unless such settlement includes an unconditional release of the Morgan Stanley Entities from all liability on claims that are the subject matter of such proceeding.</w:t>
      </w:r>
    </w:p>
    <w:p>
      <w:pPr>
        <w:spacing w:after="0" w:line="78" w:lineRule="exact"/>
        <w:rPr>
          <w:sz w:val="20"/>
          <w:szCs w:val="20"/>
          <w:color w:val="auto"/>
        </w:rPr>
      </w:pPr>
    </w:p>
    <w:p>
      <w:pPr>
        <w:ind w:firstLine="428"/>
        <w:spacing w:after="0" w:line="249" w:lineRule="auto"/>
        <w:tabs>
          <w:tab w:leader="none" w:pos="79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indemnification provided for in Section 12(a) is unavailable to a Morgan Stanley Entity or insufficient in respect of any losses, claims, damages or liabilities referred to therein, then the Company in lieu of indemnifying the Morgan Stanley Entity thereunder, shall contribute to the amount paid or payable by the Morgan Stanley Entity as a result of such losses, claims, damages or liabilities (i) in such proportion as is appropriate to reflect the relative benefits received by the Company on the one hand and the Morgan Stanley Entities on the other hand from the offering of the Directed Shares or (ii) if the allocation provided by clause 12(c)(i) above is not permitted by applicable law, in such proportion as is appropriate to reflect not only the relative benefits referred to in clause 12(c)(i) above but also the relative fault of the Company on the one hand and of the Morgan Stanley Entities on the other hand in connection with any statements or omissions that resulted in such losses, claims, damages or liabilities, as well as any other relevant equitable considerations. The relative benefits received by the Company on the one hand and the Morgan Stanley Entities on the other hand in connection with the offering of the Directed Shares shall be deemed to be in the same respective proportions as the net proceeds from the offering of the Directed Shares (before deducting expenses) and the total underwriting discounts and commissions received by the Morgan Stanley Entities for the Directed Shares, bear to the aggregate Public Offering Price of the Directed Shares. If the loss, claim, damage or liability is caused by an untrue or alleged untrue statement of a material fact or the omission or alleged omission to state a material fact, the relative fault of the Company on the one hand and the Morgan Stanley Entities on the other hand shall be determined by reference to, among other things, whether the untrue or alleged untrue statement or the omission or alleged omission relates to information supplied by the Company or by the Morgan Stanley Entities and the parties’ relative intent, knowledge, access to information and opportunity to correct or prevent such statement or omission.</w:t>
      </w:r>
    </w:p>
    <w:p>
      <w:pPr>
        <w:spacing w:after="0" w:line="90" w:lineRule="exact"/>
        <w:rPr>
          <w:rFonts w:ascii="Times New Roman" w:cs="Times New Roman" w:eastAsia="Times New Roman" w:hAnsi="Times New Roman"/>
          <w:sz w:val="18"/>
          <w:szCs w:val="18"/>
          <w:color w:val="auto"/>
        </w:rPr>
      </w:pPr>
    </w:p>
    <w:p>
      <w:pPr>
        <w:ind w:right="240" w:firstLine="428"/>
        <w:spacing w:after="0" w:line="277" w:lineRule="auto"/>
        <w:tabs>
          <w:tab w:leader="none" w:pos="80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Morgan Stanley Entities agree that it would not be just or equitable if contribution pursuant to this Section 12 were determined by pro rata allocation (even if the Morgan Stanley Entities were</w:t>
      </w:r>
    </w:p>
    <w:p>
      <w:pPr>
        <w:spacing w:after="0" w:line="9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460"/>
          </w:cols>
          <w:pgMar w:left="920" w:top="268" w:right="519" w:bottom="1440" w:gutter="0" w:footer="0" w:header="0"/>
        </w:sectPr>
      </w:pPr>
    </w:p>
    <w:bookmarkStart w:id="306" w:name="page307"/>
    <w:bookmarkEnd w:id="306"/>
    <w:p>
      <w:pPr>
        <w:ind w:left="4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treated as one entity for such purpose) or by any other method of allocation that does not take account of the equitable considerations referred to in Section 12(c). The amount paid or payable by the Morgan Stanley Entities as a result of the losses, claims, damages and liabilities referred to in the immediately preceding paragraph shall be deemed to include, subject to the limitations set forth above, any legal or other expenses reasonably incurred by the Morgan Stanley Entities in connection with investigating or defending any such action or claim. Notwithstanding the provisions of this Section 12, no Morgan Stanley Entity shall be required to contribute any amount in excess of the amount by which the total price at which the Directed Shares distributed to the public were offered to the public exceeds the amount of any damages that such Morgan Stanley Entity has otherwise been required to pay. The remedies provided for in this Section 12 are not exclusive and shall not limit any rights or remedies which may otherwise be available to any indemnified party at law or in equity.</w:t>
      </w:r>
    </w:p>
    <w:p>
      <w:pPr>
        <w:spacing w:after="0" w:line="78" w:lineRule="exact"/>
        <w:rPr>
          <w:sz w:val="20"/>
          <w:szCs w:val="20"/>
          <w:color w:val="auto"/>
        </w:rPr>
      </w:pPr>
    </w:p>
    <w:p>
      <w:pPr>
        <w:ind w:left="1220" w:hanging="372"/>
        <w:spacing w:after="0"/>
        <w:tabs>
          <w:tab w:leader="none" w:pos="1220"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and contribution provisions contained in this Section 12 shall remain operative and in full force and effect regardless of</w:t>
      </w:r>
    </w:p>
    <w:p>
      <w:pPr>
        <w:spacing w:after="0" w:line="37" w:lineRule="exact"/>
        <w:rPr>
          <w:rFonts w:ascii="Times New Roman" w:cs="Times New Roman" w:eastAsia="Times New Roman" w:hAnsi="Times New Roman"/>
          <w:sz w:val="17"/>
          <w:szCs w:val="17"/>
          <w:color w:val="auto"/>
        </w:rPr>
      </w:pPr>
    </w:p>
    <w:p>
      <w:pPr>
        <w:ind w:left="420" w:right="280" w:firstLine="10"/>
        <w:spacing w:after="0" w:line="255" w:lineRule="auto"/>
        <w:tabs>
          <w:tab w:leader="none" w:pos="633"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this Agreement, (ii) any investigation made by or on behalf of any Morgan Stanley Entity or the Company, its officers or directors or any person controlling the Company and (iii) acceptance of and payment for any of the Directed Shares.</w:t>
      </w:r>
    </w:p>
    <w:p>
      <w:pPr>
        <w:spacing w:after="0" w:line="180" w:lineRule="exact"/>
        <w:rPr>
          <w:sz w:val="20"/>
          <w:szCs w:val="20"/>
          <w:color w:val="auto"/>
        </w:rPr>
      </w:pPr>
    </w:p>
    <w:p>
      <w:pPr>
        <w:ind w:right="60" w:firstLine="430"/>
        <w:spacing w:after="0" w:line="251" w:lineRule="auto"/>
        <w:tabs>
          <w:tab w:leader="none" w:pos="83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Underwriters may terminate this Agreement by notice given by the Representatives to the Company, if after the execution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delivery of this Agreement and prior to or on the Closing Date or any Option Closing Date, as the case may be, (i) trading generally shall have been suspended or materially limited on, or by, as the case may be, any of the New York Stock Exchange or the NASDAQ Global Market,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pacing w:after="0" w:line="189" w:lineRule="exact"/>
        <w:rPr>
          <w:rFonts w:ascii="Times New Roman" w:cs="Times New Roman" w:eastAsia="Times New Roman" w:hAnsi="Times New Roman"/>
          <w:sz w:val="18"/>
          <w:szCs w:val="18"/>
          <w:color w:val="auto"/>
        </w:rPr>
      </w:pPr>
    </w:p>
    <w:p>
      <w:pPr>
        <w:ind w:left="840" w:hanging="410"/>
        <w:spacing w:after="0"/>
        <w:tabs>
          <w:tab w:leader="none" w:pos="840"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Effectiveness; Defaulting Underwriters</w:t>
      </w:r>
      <w:r>
        <w:rPr>
          <w:rFonts w:ascii="Times New Roman" w:cs="Times New Roman" w:eastAsia="Times New Roman" w:hAnsi="Times New Roman"/>
          <w:sz w:val="17"/>
          <w:szCs w:val="17"/>
          <w:color w:val="auto"/>
        </w:rPr>
        <w:t>. This Agreement shall become effective upon the execution and delivery hereof by the parties hereto.</w:t>
      </w:r>
    </w:p>
    <w:p>
      <w:pPr>
        <w:spacing w:after="0" w:line="234" w:lineRule="exact"/>
        <w:rPr>
          <w:sz w:val="20"/>
          <w:szCs w:val="20"/>
          <w:color w:val="auto"/>
        </w:rPr>
      </w:pPr>
    </w:p>
    <w:p>
      <w:pPr>
        <w:ind w:right="80" w:firstLine="436"/>
        <w:spacing w:after="0" w:line="262" w:lineRule="auto"/>
        <w:rPr>
          <w:sz w:val="20"/>
          <w:szCs w:val="20"/>
          <w:color w:val="auto"/>
        </w:rPr>
      </w:pPr>
      <w:r>
        <w:rPr>
          <w:rFonts w:ascii="Times New Roman" w:cs="Times New Roman" w:eastAsia="Times New Roman" w:hAnsi="Times New Roman"/>
          <w:sz w:val="18"/>
          <w:szCs w:val="18"/>
          <w:color w:val="auto"/>
        </w:rPr>
        <w:t>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880"/>
          </w:cols>
          <w:pgMar w:left="500" w:top="268" w:right="519" w:bottom="1440" w:gutter="0" w:footer="0" w:header="0"/>
        </w:sectPr>
      </w:pPr>
    </w:p>
    <w:bookmarkStart w:id="307" w:name="page308"/>
    <w:bookmarkEnd w:id="307"/>
    <w:p>
      <w:pPr>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2">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date, the other Underwriters shall be obligated severally in the proportions that the number of Firm Shares set forth opposite their respective names in Schedule II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no event shall the number of Shares that any Underwriter has agreed to purchase pursuant to this Agreement be increased pursuant to this Section 14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the Company and the Selling Shareholders for the purchase of such Firm Shares are not made within 36 hours after such default, this Agreement shall terminate without liability on the part of any non-defaulting Underwriter, the Company or the Selling Shareholders. In any such case either the Representatives or the relevant Sellers shall have the right to postpone the Closing Date, but in no event for longer than</w:t>
      </w:r>
    </w:p>
    <w:p>
      <w:pPr>
        <w:spacing w:after="0" w:line="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88"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any Seller to comply with the terms or to fulfill any of the conditions of this Agreement, or if for any reason any Seller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181" w:lineRule="exact"/>
        <w:rPr>
          <w:sz w:val="20"/>
          <w:szCs w:val="20"/>
          <w:color w:val="auto"/>
        </w:rPr>
      </w:pPr>
    </w:p>
    <w:p>
      <w:pPr>
        <w:ind w:right="80" w:firstLine="430"/>
        <w:spacing w:after="0" w:line="258" w:lineRule="auto"/>
        <w:tabs>
          <w:tab w:leader="none" w:pos="83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 This Agreement, together with any contemporaneous written agreements and any prior written agreements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not superseded by this Agreement) that relate to the offering of the Shares, represents the entire agreement between the Company and the Selling Shareholders, on the one hand, and the Underwriters, on the other, with respect to the preparation of any preliminary prospectus, the Time of Sale Prospectus, the Prospectus, the conduct of the offering, and the purchase and sale of the Shares.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880"/>
          </w:cols>
          <w:pgMar w:left="500" w:top="267" w:right="519" w:bottom="1440" w:gutter="0" w:footer="0" w:header="0"/>
        </w:sectPr>
      </w:pPr>
    </w:p>
    <w:bookmarkStart w:id="308" w:name="page309"/>
    <w:bookmarkEnd w:id="308"/>
    <w:p>
      <w:pPr>
        <w:ind w:left="420" w:right="20" w:firstLine="428"/>
        <w:spacing w:after="0" w:line="268" w:lineRule="auto"/>
        <w:tabs>
          <w:tab w:leader="none" w:pos="1221"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Company and each Selling Shareholder acknowledge that in connection with the offering of the Shares: (i) the Underwriters have acted at arm’s length, are not agents of, and owe no fiduciary duties to, the Company, any of the Selling Shareholders or any other person, (ii) the Underwriters owe the Company and each Selling Shareholder only those duties and obligations set forth in this Agreement, any contemporaneous written agreements and prior written agreements (to the extent not superseded by this Agreement), if any, (iii) the Underwriters may have interests that differ from those of the Company and each Selling Shareholder, and (iv) none of the activities of the Underwriters in connection with the transactions contemplated herein constitutes a recommendation, investment advice, or solicitation of any action by the Underwriters with respect to any entity or natural person. The Company and each Selling Shareholder waive to the full extent permitted by applicable law any claims it may have against the Underwriters arising from an alleged breach of fiduciary duty in connection with the offering of the Shares.</w:t>
      </w:r>
    </w:p>
    <w:p>
      <w:pPr>
        <w:spacing w:after="0" w:line="70" w:lineRule="exact"/>
        <w:rPr>
          <w:rFonts w:ascii="Times New Roman" w:cs="Times New Roman" w:eastAsia="Times New Roman" w:hAnsi="Times New Roman"/>
          <w:sz w:val="17"/>
          <w:szCs w:val="17"/>
          <w:color w:val="auto"/>
        </w:rPr>
      </w:pPr>
    </w:p>
    <w:p>
      <w:pPr>
        <w:ind w:left="420" w:firstLine="428"/>
        <w:spacing w:after="0" w:line="257" w:lineRule="auto"/>
        <w:tabs>
          <w:tab w:leader="none" w:pos="121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Selling Shareholder further acknowledges and agrees that, although the Underwriters may provide certain Selling Shareholders with certain Regulation Best Interest and Form CRS disclosures or other related documentation in connection with the offering, the Underwriters are not making a recommendation to any Selling Shareholder to participate in the offering or sell any Shares at the Purchase Price, and nothing set forth in such disclosures or documentation is intended to suggest that any Underwriter is making such a recommendation.</w:t>
      </w:r>
    </w:p>
    <w:p>
      <w:pPr>
        <w:spacing w:after="0" w:line="180" w:lineRule="exact"/>
        <w:rPr>
          <w:rFonts w:ascii="Times New Roman" w:cs="Times New Roman" w:eastAsia="Times New Roman" w:hAnsi="Times New Roman"/>
          <w:sz w:val="18"/>
          <w:szCs w:val="18"/>
          <w:color w:val="auto"/>
        </w:rPr>
      </w:pPr>
    </w:p>
    <w:p>
      <w:pPr>
        <w:ind w:right="100" w:firstLine="430"/>
        <w:spacing w:after="0" w:line="258" w:lineRule="auto"/>
        <w:tabs>
          <w:tab w:leader="none" w:pos="83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(a) In the event that any Underwriter that is a Covered Entity becomes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3" w:lineRule="exact"/>
        <w:rPr>
          <w:rFonts w:ascii="Times New Roman" w:cs="Times New Roman" w:eastAsia="Times New Roman" w:hAnsi="Times New Roman"/>
          <w:sz w:val="18"/>
          <w:szCs w:val="18"/>
          <w:color w:val="auto"/>
        </w:rPr>
      </w:pPr>
    </w:p>
    <w:p>
      <w:pPr>
        <w:jc w:val="both"/>
        <w:ind w:left="420" w:right="20" w:firstLine="428"/>
        <w:spacing w:after="0" w:line="257" w:lineRule="auto"/>
        <w:tabs>
          <w:tab w:leader="none" w:pos="1224"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8"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color w:val="auto"/>
        </w:rPr>
        <w:t>For purposes of this Section 16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860"/>
          </w:cols>
          <w:pgMar w:left="500" w:top="268" w:right="539" w:bottom="1440" w:gutter="0" w:footer="0" w:header="0"/>
        </w:sectPr>
      </w:pPr>
    </w:p>
    <w:bookmarkStart w:id="309" w:name="page310"/>
    <w:bookmarkEnd w:id="309"/>
    <w:p>
      <w:pPr>
        <w:jc w:val="both"/>
        <w:ind w:right="120"/>
        <w:spacing w:after="0" w:line="28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with, 12 C.F.R. § 382.2(b). “</w:t>
      </w:r>
      <w:r>
        <w:rPr>
          <w:rFonts w:ascii="Times New Roman" w:cs="Times New Roman" w:eastAsia="Times New Roman" w:hAnsi="Times New Roman"/>
          <w:sz w:val="17"/>
          <w:szCs w:val="17"/>
          <w:b w:val="1"/>
          <w:bCs w:val="1"/>
          <w:color w:val="auto"/>
        </w:rPr>
        <w:t>Default Right</w:t>
      </w:r>
      <w:r>
        <w:rPr>
          <w:rFonts w:ascii="Times New Roman" w:cs="Times New Roman" w:eastAsia="Times New Roman" w:hAnsi="Times New Roman"/>
          <w:sz w:val="17"/>
          <w:szCs w:val="17"/>
          <w:color w:val="auto"/>
        </w:rPr>
        <w:t>” has the meaning assigned to that term in, and shall be interpreted in accordance with, 12 C.F.R. §§ 252.81, 47.2 or 382.1, as applicable. “</w:t>
      </w:r>
      <w:r>
        <w:rPr>
          <w:rFonts w:ascii="Times New Roman" w:cs="Times New Roman" w:eastAsia="Times New Roman" w:hAnsi="Times New Roman"/>
          <w:sz w:val="17"/>
          <w:szCs w:val="17"/>
          <w:b w:val="1"/>
          <w:bCs w:val="1"/>
          <w:color w:val="auto"/>
        </w:rPr>
        <w:t>U.S. Special Resolution Regime</w:t>
      </w:r>
      <w:r>
        <w:rPr>
          <w:rFonts w:ascii="Times New Roman" w:cs="Times New Roman" w:eastAsia="Times New Roman" w:hAnsi="Times New Roman"/>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56" w:lineRule="exact"/>
        <w:rPr>
          <w:sz w:val="20"/>
          <w:szCs w:val="20"/>
          <w:color w:val="auto"/>
        </w:rPr>
      </w:pPr>
    </w:p>
    <w:p>
      <w:pPr>
        <w:ind w:firstLine="430"/>
        <w:spacing w:after="0" w:line="255" w:lineRule="auto"/>
        <w:tabs>
          <w:tab w:leader="none" w:pos="83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two or more counterparts, each of which shall be an original, with the same effect as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signatures thereto and hereto were upon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as delivery of a manually executed counterpart of this Agreement.</w:t>
      </w:r>
    </w:p>
    <w:p>
      <w:pPr>
        <w:spacing w:after="0" w:line="182" w:lineRule="exact"/>
        <w:rPr>
          <w:rFonts w:ascii="Times New Roman" w:cs="Times New Roman" w:eastAsia="Times New Roman" w:hAnsi="Times New Roman"/>
          <w:sz w:val="18"/>
          <w:szCs w:val="18"/>
          <w:color w:val="auto"/>
        </w:rPr>
      </w:pPr>
    </w:p>
    <w:p>
      <w:pPr>
        <w:ind w:left="840" w:hanging="410"/>
        <w:spacing w:after="0"/>
        <w:tabs>
          <w:tab w:leader="none" w:pos="8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 York.</w:t>
      </w:r>
    </w:p>
    <w:p>
      <w:pPr>
        <w:spacing w:after="0" w:line="220" w:lineRule="exact"/>
        <w:rPr>
          <w:rFonts w:ascii="Times New Roman" w:cs="Times New Roman" w:eastAsia="Times New Roman" w:hAnsi="Times New Roman"/>
          <w:sz w:val="18"/>
          <w:szCs w:val="18"/>
          <w:color w:val="auto"/>
        </w:rPr>
      </w:pPr>
    </w:p>
    <w:p>
      <w:pPr>
        <w:ind w:right="220" w:firstLine="430"/>
        <w:spacing w:after="0" w:line="279" w:lineRule="auto"/>
        <w:tabs>
          <w:tab w:leader="none" w:pos="83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this Agreement.</w:t>
      </w:r>
    </w:p>
    <w:p>
      <w:pPr>
        <w:spacing w:after="0" w:line="159" w:lineRule="exact"/>
        <w:rPr>
          <w:rFonts w:ascii="Times New Roman" w:cs="Times New Roman" w:eastAsia="Times New Roman" w:hAnsi="Times New Roman"/>
          <w:sz w:val="18"/>
          <w:szCs w:val="18"/>
          <w:color w:val="auto"/>
        </w:rPr>
      </w:pPr>
    </w:p>
    <w:p>
      <w:pPr>
        <w:ind w:right="80" w:firstLine="430"/>
        <w:spacing w:after="0" w:line="251" w:lineRule="auto"/>
        <w:tabs>
          <w:tab w:leader="none" w:pos="83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communications hereunder shall be in writing and effective only upon receipt and if to the Underwriters shall be delivered,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mailed or sent to the Representatives in care of Morgan Stanley &amp; Co. LLC, 1585 Broadway, New York, New York 10036, Attention: Equity Syndicate Desk, with a copy to the Legal Department; Goldman Sachs &amp; Co. LLC, 200 West Street, New York, New York 10282-2198, Attention: Equity Syndicate Desk, with a copy to the Legal Department; J.P. Morgan Securities LLC, 383 Madison Avenue, New York, New York, Attention: Equity Syndicate Desk, with a copy to the Legal Department; Barclays Capital Inc., 745 Seventh Avenue, New York, New York 10019, Attention: Equity Syndicate Desk, with a copy to the Legal Department; and if to the Company shall be delivered, mailed or sent to the address set forth on the cover of the Registration Statement, Attention: General Counsel, and if to the Selling Shareholders shall be delivered, mailed or sent to each of the Attorneys-in Fact named in the Power of Attorney, c/o the Company at the address set forth on the cover of the Registration Statement, Attention: General Counsel with a copy to Whalen LLP, 1601 Dove Street, Suite 270, Newport Beach, California 92660.</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880"/>
          </w:cols>
          <w:pgMar w:left="500" w:top="264" w:right="519" w:bottom="1440" w:gutter="0" w:footer="0" w:header="0"/>
        </w:sectPr>
      </w:pPr>
    </w:p>
    <w:bookmarkStart w:id="310" w:name="page311"/>
    <w:bookmarkEnd w:id="310"/>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5">
                      <a:extLst>
                        <a:ext uri="{28A0092B-C50C-407E-A947-70E740481C1C}"/>
                      </a:extLst>
                    </a:blip>
                    <a:srcRect/>
                    <a:stretch>
                      <a:fillRect/>
                    </a:stretch>
                  </pic:blipFill>
                  <pic:spPr bwMode="auto">
                    <a:xfrm>
                      <a:off x="0" y="0"/>
                      <a:ext cx="7150735" cy="24765"/>
                    </a:xfrm>
                    <a:prstGeom prst="rect">
                      <a:avLst/>
                    </a:prstGeom>
                    <a:noFill/>
                  </pic:spPr>
                </pic:pic>
              </a:graphicData>
            </a:graphic>
          </wp:anchor>
        </w:drawing>
        <w:t>Very truly yours,</w:t>
      </w:r>
    </w:p>
    <w:p>
      <w:pPr>
        <w:spacing w:after="0" w:line="24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GoodRx Holdings, Inc.</w:t>
      </w:r>
    </w:p>
    <w:p>
      <w:pPr>
        <w:spacing w:after="0" w:line="24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15875</wp:posOffset>
            </wp:positionV>
            <wp:extent cx="25361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6">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9019"/>
          </w:cols>
          <w:pgMar w:left="1440" w:top="267" w:right="1440" w:bottom="1440" w:gutter="0" w:footer="0" w:header="0"/>
        </w:sectPr>
      </w:pPr>
    </w:p>
    <w:bookmarkStart w:id="311" w:name="page312"/>
    <w:bookmarkEnd w:id="311"/>
    <w:p>
      <w:pPr>
        <w:ind w:left="56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7">
                      <a:extLst>
                        <a:ext uri="{28A0092B-C50C-407E-A947-70E740481C1C}"/>
                      </a:extLst>
                    </a:blip>
                    <a:srcRect/>
                    <a:stretch>
                      <a:fillRect/>
                    </a:stretch>
                  </pic:blipFill>
                  <pic:spPr bwMode="auto">
                    <a:xfrm>
                      <a:off x="0" y="0"/>
                      <a:ext cx="7150735" cy="24765"/>
                    </a:xfrm>
                    <a:prstGeom prst="rect">
                      <a:avLst/>
                    </a:prstGeom>
                    <a:noFill/>
                  </pic:spPr>
                </pic:pic>
              </a:graphicData>
            </a:graphic>
          </wp:anchor>
        </w:drawing>
        <w:t>Very truly yours,</w:t>
      </w:r>
    </w:p>
    <w:p>
      <w:pPr>
        <w:spacing w:after="0" w:line="24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The Selling Shareholders named in Schedule I hereto, acting</w:t>
      </w:r>
    </w:p>
    <w:p>
      <w:pPr>
        <w:spacing w:after="0" w:line="3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severally</w:t>
      </w:r>
    </w:p>
    <w:p>
      <w:pPr>
        <w:spacing w:after="0" w:line="21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15875</wp:posOffset>
            </wp:positionV>
            <wp:extent cx="25361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8">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596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Attorney-in-Fact</w:t>
      </w:r>
    </w:p>
    <w:p>
      <w:pPr>
        <w:spacing w:after="0" w:line="13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9920"/>
          </w:cols>
          <w:pgMar w:left="1440" w:top="268" w:right="5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Accepted as of the date hereof</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 and the several</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Underwriters named in Schedule II hereto.</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Morgan Stanley &amp; Co.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15875</wp:posOffset>
            </wp:positionV>
            <wp:extent cx="25361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0">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Goldman Sachs &amp; Co.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15875</wp:posOffset>
            </wp:positionV>
            <wp:extent cx="25361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1">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J.P. Morgan Securities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15875</wp:posOffset>
            </wp:positionV>
            <wp:extent cx="25361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2">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Barclays Capital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15875</wp:posOffset>
            </wp:positionV>
            <wp:extent cx="25361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3">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3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9959"/>
          </w:cols>
          <w:pgMar w:left="500" w:top="268" w:right="1440"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I</w:t>
      </w:r>
    </w:p>
    <w:p>
      <w:pPr>
        <w:spacing w:after="0" w:line="231"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Shareholder</w:t>
            </w:r>
          </w:p>
        </w:tc>
        <w:tc>
          <w:tcPr>
            <w:tcW w:w="6120" w:type="dxa"/>
            <w:vAlign w:val="bottom"/>
          </w:tcPr>
          <w:p>
            <w:pPr>
              <w:jc w:val="center"/>
              <w:ind w:left="4609"/>
              <w:spacing w:after="0"/>
              <w:rPr>
                <w:sz w:val="20"/>
                <w:szCs w:val="20"/>
                <w:color w:val="auto"/>
              </w:rPr>
            </w:pPr>
            <w:r>
              <w:rPr>
                <w:rFonts w:ascii="Times New Roman" w:cs="Times New Roman" w:eastAsia="Times New Roman" w:hAnsi="Times New Roman"/>
                <w:sz w:val="14"/>
                <w:szCs w:val="14"/>
                <w:b w:val="1"/>
                <w:bCs w:val="1"/>
                <w:color w:val="auto"/>
              </w:rPr>
              <w:t>Number of Firm Shares</w:t>
            </w:r>
          </w:p>
        </w:tc>
        <w:tc>
          <w:tcPr>
            <w:tcW w:w="0" w:type="dxa"/>
            <w:vAlign w:val="bottom"/>
          </w:tcPr>
          <w:p>
            <w:pPr>
              <w:spacing w:after="0"/>
              <w:rPr>
                <w:sz w:val="1"/>
                <w:szCs w:val="1"/>
                <w:color w:val="auto"/>
              </w:rPr>
            </w:pPr>
          </w:p>
        </w:tc>
      </w:tr>
      <w:tr>
        <w:trPr>
          <w:trHeight w:val="163"/>
        </w:trPr>
        <w:tc>
          <w:tcPr>
            <w:tcW w:w="1220" w:type="dxa"/>
            <w:vAlign w:val="bottom"/>
            <w:tcBorders>
              <w:bottom w:val="single" w:sz="8" w:color="auto"/>
            </w:tcBorders>
            <w:vMerge w:val="continue"/>
          </w:tcPr>
          <w:p>
            <w:pPr>
              <w:spacing w:after="0"/>
              <w:rPr>
                <w:sz w:val="13"/>
                <w:szCs w:val="13"/>
                <w:color w:val="auto"/>
              </w:rPr>
            </w:pPr>
          </w:p>
        </w:tc>
        <w:tc>
          <w:tcPr>
            <w:tcW w:w="6120" w:type="dxa"/>
            <w:vAlign w:val="bottom"/>
          </w:tcPr>
          <w:p>
            <w:pPr>
              <w:jc w:val="center"/>
              <w:ind w:left="4609"/>
              <w:spacing w:after="0" w:line="158" w:lineRule="exact"/>
              <w:rPr>
                <w:sz w:val="20"/>
                <w:szCs w:val="20"/>
                <w:color w:val="auto"/>
              </w:rPr>
            </w:pPr>
            <w:r>
              <w:rPr>
                <w:rFonts w:ascii="Times New Roman" w:cs="Times New Roman" w:eastAsia="Times New Roman" w:hAnsi="Times New Roman"/>
                <w:sz w:val="14"/>
                <w:szCs w:val="14"/>
                <w:b w:val="1"/>
                <w:bCs w:val="1"/>
                <w:color w:val="auto"/>
                <w:w w:val="97"/>
              </w:rPr>
              <w:t>To Be Sold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4255135</wp:posOffset>
            </wp:positionH>
            <wp:positionV relativeFrom="paragraph">
              <wp:posOffset>0</wp:posOffset>
            </wp:positionV>
            <wp:extent cx="9245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5">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8"/>
          <w:szCs w:val="18"/>
          <w:color w:val="auto"/>
        </w:rPr>
        <w:t>[NAMES OF SELLING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4255135</wp:posOffset>
            </wp:positionH>
            <wp:positionV relativeFrom="paragraph">
              <wp:posOffset>555625</wp:posOffset>
            </wp:positionV>
            <wp:extent cx="9245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6">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4255135</wp:posOffset>
            </wp:positionH>
            <wp:positionV relativeFrom="paragraph">
              <wp:posOffset>15875</wp:posOffset>
            </wp:positionV>
            <wp:extent cx="9245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7">
                      <a:extLst>
                        <a:ext uri="{28A0092B-C50C-407E-A947-70E740481C1C}"/>
                      </a:extLst>
                    </a:blip>
                    <a:srcRect/>
                    <a:stretch>
                      <a:fillRect/>
                    </a:stretch>
                  </pic:blipFill>
                  <pic:spPr bwMode="auto">
                    <a:xfrm>
                      <a:off x="0" y="0"/>
                      <a:ext cx="924560" cy="8255"/>
                    </a:xfrm>
                    <a:prstGeom prst="rect">
                      <a:avLst/>
                    </a:prstGeom>
                    <a:noFill/>
                  </pic:spPr>
                </pic:pic>
              </a:graphicData>
            </a:graphic>
          </wp:anchor>
        </w:drawing>
        <w:drawing>
          <wp:anchor simplePos="0" relativeHeight="251657728" behindDoc="1" locked="0" layoutInCell="0" allowOverlap="1">
            <wp:simplePos x="0" y="0"/>
            <wp:positionH relativeFrom="column">
              <wp:posOffset>4255135</wp:posOffset>
            </wp:positionH>
            <wp:positionV relativeFrom="paragraph">
              <wp:posOffset>33020</wp:posOffset>
            </wp:positionV>
            <wp:extent cx="9245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8">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spacing w:after="0" w:line="1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9960"/>
          </w:cols>
          <w:pgMar w:left="1440" w:top="264" w:right="49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II</w:t>
      </w:r>
    </w:p>
    <w:p>
      <w:pPr>
        <w:spacing w:after="0" w:line="231"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340" w:type="dxa"/>
            <w:vAlign w:val="bottom"/>
            <w:vMerge w:val="restart"/>
          </w:tcPr>
          <w:p>
            <w:pPr>
              <w:spacing w:after="0"/>
              <w:rPr>
                <w:sz w:val="13"/>
                <w:szCs w:val="13"/>
                <w:color w:val="auto"/>
              </w:rPr>
            </w:pPr>
          </w:p>
        </w:tc>
        <w:tc>
          <w:tcPr>
            <w:tcW w:w="4300" w:type="dxa"/>
            <w:vAlign w:val="bottom"/>
            <w:gridSpan w:val="2"/>
          </w:tcPr>
          <w:p>
            <w:pPr>
              <w:jc w:val="center"/>
              <w:ind w:left="2540"/>
              <w:spacing w:after="0"/>
              <w:rPr>
                <w:sz w:val="20"/>
                <w:szCs w:val="20"/>
                <w:color w:val="auto"/>
              </w:rPr>
            </w:pPr>
            <w:r>
              <w:rPr>
                <w:rFonts w:ascii="Times New Roman" w:cs="Times New Roman" w:eastAsia="Times New Roman" w:hAnsi="Times New Roman"/>
                <w:sz w:val="14"/>
                <w:szCs w:val="14"/>
                <w:b w:val="1"/>
                <w:bCs w:val="1"/>
                <w:color w:val="auto"/>
              </w:rPr>
              <w:t>Number of Firm Shares To</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2340" w:type="dxa"/>
            <w:vAlign w:val="bottom"/>
            <w:vMerge w:val="continue"/>
          </w:tcPr>
          <w:p>
            <w:pPr>
              <w:spacing w:after="0"/>
              <w:rPr>
                <w:sz w:val="15"/>
                <w:szCs w:val="15"/>
                <w:color w:val="auto"/>
              </w:rPr>
            </w:pPr>
          </w:p>
        </w:tc>
        <w:tc>
          <w:tcPr>
            <w:tcW w:w="2640" w:type="dxa"/>
            <w:vAlign w:val="bottom"/>
          </w:tcPr>
          <w:p>
            <w:pPr>
              <w:spacing w:after="0"/>
              <w:rPr>
                <w:sz w:val="15"/>
                <w:szCs w:val="15"/>
                <w:color w:val="auto"/>
              </w:rPr>
            </w:pPr>
          </w:p>
        </w:tc>
        <w:tc>
          <w:tcPr>
            <w:tcW w:w="166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82"/>
        </w:trPr>
        <w:tc>
          <w:tcPr>
            <w:tcW w:w="31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Morgan Stanley &amp; Co. LLC</w:t>
            </w:r>
          </w:p>
        </w:tc>
        <w:tc>
          <w:tcPr>
            <w:tcW w:w="2640" w:type="dxa"/>
            <w:vAlign w:val="bottom"/>
          </w:tcPr>
          <w:p>
            <w:pPr>
              <w:spacing w:after="0"/>
              <w:rPr>
                <w:sz w:val="15"/>
                <w:szCs w:val="15"/>
                <w:color w:val="auto"/>
              </w:rPr>
            </w:pPr>
          </w:p>
        </w:tc>
        <w:tc>
          <w:tcPr>
            <w:tcW w:w="16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6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6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6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26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Capital Markets, Inc.</w:t>
            </w:r>
          </w:p>
        </w:tc>
        <w:tc>
          <w:tcPr>
            <w:tcW w:w="26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26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26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26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Cowen and Company, LLC</w:t>
            </w:r>
          </w:p>
        </w:tc>
        <w:tc>
          <w:tcPr>
            <w:tcW w:w="26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26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Evercore Group LLC</w:t>
            </w:r>
          </w:p>
        </w:tc>
        <w:tc>
          <w:tcPr>
            <w:tcW w:w="26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Citizens Capital Markets, Inc.</w:t>
            </w:r>
          </w:p>
        </w:tc>
        <w:tc>
          <w:tcPr>
            <w:tcW w:w="26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KKR Capital Markets LLC</w:t>
            </w:r>
          </w:p>
        </w:tc>
        <w:tc>
          <w:tcPr>
            <w:tcW w:w="26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LionTree Advisors LLC</w:t>
            </w:r>
          </w:p>
        </w:tc>
        <w:tc>
          <w:tcPr>
            <w:tcW w:w="26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26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SVB Leerink LLC</w:t>
            </w:r>
          </w:p>
        </w:tc>
        <w:tc>
          <w:tcPr>
            <w:tcW w:w="26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26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26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Seelaus &amp; Co., LLC</w:t>
            </w:r>
          </w:p>
        </w:tc>
        <w:tc>
          <w:tcPr>
            <w:tcW w:w="26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A. Ramirez &amp; Company, Inc.</w:t>
            </w:r>
          </w:p>
        </w:tc>
        <w:tc>
          <w:tcPr>
            <w:tcW w:w="264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7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3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II-1</w:t>
            </w:r>
          </w:p>
        </w:tc>
        <w:tc>
          <w:tcPr>
            <w:tcW w:w="0" w:type="dxa"/>
            <w:vAlign w:val="bottom"/>
          </w:tcPr>
          <w:p>
            <w:pPr>
              <w:spacing w:after="0"/>
              <w:rPr>
                <w:sz w:val="1"/>
                <w:szCs w:val="1"/>
                <w:color w:val="auto"/>
              </w:rPr>
            </w:pPr>
          </w:p>
        </w:tc>
      </w:tr>
    </w:tbl>
    <w:p>
      <w:pPr>
        <w:sectPr>
          <w:pgSz w:w="11900" w:h="16838" w:orient="portrait"/>
          <w:cols w:equalWidth="0" w:num="1">
            <w:col w:w="9960"/>
          </w:cols>
          <w:pgMar w:left="1440" w:top="264" w:right="499"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SCHEDULE II</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131" w:lineRule="exact"/>
        <w:rPr>
          <w:sz w:val="20"/>
          <w:szCs w:val="20"/>
          <w:color w:val="auto"/>
        </w:rPr>
      </w:pPr>
    </w:p>
    <w:p>
      <w:pPr>
        <w:ind w:left="526" w:hanging="526"/>
        <w:spacing w:after="0"/>
        <w:tabs>
          <w:tab w:leader="none" w:pos="52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Prospectus issued [●], 2020</w:t>
      </w:r>
    </w:p>
    <w:p>
      <w:pPr>
        <w:spacing w:after="0" w:line="126" w:lineRule="exact"/>
        <w:rPr>
          <w:rFonts w:ascii="Times New Roman" w:cs="Times New Roman" w:eastAsia="Times New Roman" w:hAnsi="Times New Roman"/>
          <w:sz w:val="18"/>
          <w:szCs w:val="18"/>
          <w:color w:val="auto"/>
        </w:rPr>
      </w:pPr>
    </w:p>
    <w:p>
      <w:pPr>
        <w:ind w:left="526" w:hanging="526"/>
        <w:spacing w:after="0"/>
        <w:tabs>
          <w:tab w:leader="none" w:pos="52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all free writing prospectuses filed by the Company under Rule 433(d) of the Securities Act]</w:t>
      </w:r>
    </w:p>
    <w:p>
      <w:pPr>
        <w:spacing w:after="0" w:line="126" w:lineRule="exact"/>
        <w:rPr>
          <w:rFonts w:ascii="Times New Roman" w:cs="Times New Roman" w:eastAsia="Times New Roman" w:hAnsi="Times New Roman"/>
          <w:sz w:val="18"/>
          <w:szCs w:val="18"/>
          <w:color w:val="auto"/>
        </w:rPr>
      </w:pPr>
    </w:p>
    <w:p>
      <w:pPr>
        <w:ind w:left="526" w:right="80" w:hanging="526"/>
        <w:spacing w:after="0" w:line="277" w:lineRule="auto"/>
        <w:tabs>
          <w:tab w:leader="none" w:pos="52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writing prospectus containing a description of terms that does not reflect final terms, if the Time of Sale Prospectus does not include a final term sheet]</w:t>
      </w:r>
    </w:p>
    <w:p>
      <w:pPr>
        <w:spacing w:after="0" w:line="69" w:lineRule="exact"/>
        <w:rPr>
          <w:rFonts w:ascii="Times New Roman" w:cs="Times New Roman" w:eastAsia="Times New Roman" w:hAnsi="Times New Roman"/>
          <w:sz w:val="18"/>
          <w:szCs w:val="18"/>
          <w:color w:val="auto"/>
        </w:rPr>
      </w:pPr>
    </w:p>
    <w:p>
      <w:pPr>
        <w:ind w:left="526" w:right="140" w:hanging="526"/>
        <w:spacing w:after="0" w:line="277" w:lineRule="auto"/>
        <w:tabs>
          <w:tab w:leader="none" w:pos="52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[orally communicated pricing information such as price per share and size of offering if a Rule 134 pricing term sheet is used at the time of sale instead of a pricing term sheet filed by the Company under Rule 433(d) as a free writing prospectus]</w:t>
      </w:r>
    </w:p>
    <w:p>
      <w:pPr>
        <w:spacing w:after="0" w:line="9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10906"/>
          </w:cols>
          <w:pgMar w:left="494" w:top="264" w:right="499"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2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11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-8890</wp:posOffset>
            </wp:positionV>
            <wp:extent cx="79121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2">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1585 Broadway</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200 West Street</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ind w:right="60" w:firstLine="436"/>
        <w:spacing w:after="0" w:line="253" w:lineRule="auto"/>
        <w:rPr>
          <w:sz w:val="20"/>
          <w:szCs w:val="20"/>
          <w:color w:val="auto"/>
        </w:rPr>
      </w:pPr>
      <w:r>
        <w:rPr>
          <w:rFonts w:ascii="Times New Roman" w:cs="Times New Roman" w:eastAsia="Times New Roman" w:hAnsi="Times New Roman"/>
          <w:sz w:val="18"/>
          <w:szCs w:val="18"/>
          <w:color w:val="auto"/>
        </w:rPr>
        <w:t>The undersigned understands that Morgan Stanley &amp; Co. LLC, Goldman Sachs &amp; Co. LLC, J.P. Morgan Securities LLC and Barclays Capital Inc.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propose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GoodRx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public offering (the “</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by the several Underwriters, including the Representatives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of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Class A common stock of the Company. As used herein, the term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refers to the Company’s existing common stock, par value $0.002 per share, and to the Class A common stock and Class B common stock of the Company to be outstanding after the offering.</w:t>
      </w:r>
    </w:p>
    <w:p>
      <w:pPr>
        <w:spacing w:after="0" w:line="187" w:lineRule="exact"/>
        <w:rPr>
          <w:sz w:val="20"/>
          <w:szCs w:val="20"/>
          <w:color w:val="auto"/>
        </w:rPr>
      </w:pPr>
    </w:p>
    <w:p>
      <w:pPr>
        <w:ind w:right="100" w:firstLine="436"/>
        <w:spacing w:after="0" w:line="262" w:lineRule="auto"/>
        <w:rPr>
          <w:sz w:val="20"/>
          <w:szCs w:val="20"/>
          <w:color w:val="auto"/>
        </w:rPr>
      </w:pPr>
      <w:r>
        <w:rPr>
          <w:rFonts w:ascii="Times New Roman" w:cs="Times New Roman" w:eastAsia="Times New Roman" w:hAnsi="Times New Roman"/>
          <w:sz w:val="18"/>
          <w:szCs w:val="18"/>
          <w:color w:val="auto"/>
        </w:rPr>
        <w:t>To induce the Underwriters that may participate in the Public Offering to continue their efforts in connection with the Public Offering, the undersigned hereby agrees that, without the prior written consent of at least three of the Representatives (the “</w:t>
      </w:r>
      <w:r>
        <w:rPr>
          <w:rFonts w:ascii="Times New Roman" w:cs="Times New Roman" w:eastAsia="Times New Roman" w:hAnsi="Times New Roman"/>
          <w:sz w:val="18"/>
          <w:szCs w:val="18"/>
          <w:b w:val="1"/>
          <w:bCs w:val="1"/>
          <w:color w:val="auto"/>
        </w:rPr>
        <w:t>Consenting Representatives</w:t>
      </w:r>
      <w:r>
        <w:rPr>
          <w:rFonts w:ascii="Times New Roman" w:cs="Times New Roman" w:eastAsia="Times New Roman" w:hAnsi="Times New Roman"/>
          <w:sz w:val="18"/>
          <w:szCs w:val="18"/>
          <w:color w:val="auto"/>
        </w:rPr>
        <w:t>”) on behalf of the Underwriters, it will not, and will not publicly</w:t>
      </w:r>
    </w:p>
    <w:p>
      <w:pPr>
        <w:sectPr>
          <w:pgSz w:w="11900" w:h="16838" w:orient="portrait"/>
          <w:cols w:equalWidth="0" w:num="1">
            <w:col w:w="10900"/>
          </w:cols>
          <w:pgMar w:left="500" w:top="264" w:right="499" w:bottom="1440" w:gutter="0" w:footer="0" w:header="0"/>
        </w:sectPr>
      </w:pPr>
    </w:p>
    <w:bookmarkStart w:id="317" w:name="page318"/>
    <w:bookmarkEnd w:id="317"/>
    <w:p>
      <w:pPr>
        <w:ind w:right="1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disclose an intention to, during the period commencing on the date hereof and ending 180 days after the date of the final prospectus (the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relating to the Public Offering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(1) offer, pledge, sell, contract to sell, sell any option or contract to purchase, purchase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by the undersigned or any other securities so owned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w:t>
      </w:r>
    </w:p>
    <w:p>
      <w:pPr>
        <w:spacing w:after="0" w:line="95" w:lineRule="exact"/>
        <w:rPr>
          <w:sz w:val="20"/>
          <w:szCs w:val="20"/>
          <w:color w:val="auto"/>
        </w:rPr>
      </w:pPr>
    </w:p>
    <w:p>
      <w:pPr>
        <w:ind w:left="960" w:right="120" w:hanging="539"/>
        <w:spacing w:after="0" w:line="262" w:lineRule="auto"/>
        <w:tabs>
          <w:tab w:leader="none" w:pos="9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other securities acquired (1) in the Public Offering (subject to the restriction on shares purchased by officers or directors of the Company set forth below) or (2) in open market transactions after the completion of the Public Offering;</w:t>
      </w:r>
    </w:p>
    <w:p>
      <w:pPr>
        <w:spacing w:after="0" w:line="83" w:lineRule="exact"/>
        <w:rPr>
          <w:rFonts w:ascii="Times New Roman" w:cs="Times New Roman" w:eastAsia="Times New Roman" w:hAnsi="Times New Roman"/>
          <w:sz w:val="18"/>
          <w:szCs w:val="18"/>
          <w:color w:val="auto"/>
        </w:rPr>
      </w:pPr>
    </w:p>
    <w:p>
      <w:pPr>
        <w:ind w:left="960" w:right="240" w:hanging="539"/>
        <w:spacing w:after="0" w:line="277" w:lineRule="auto"/>
        <w:tabs>
          <w:tab w:leader="none" w:pos="9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Common Stock as a bona fide gift, or for bona fide estate planning purposes;</w:t>
      </w:r>
    </w:p>
    <w:p>
      <w:pPr>
        <w:spacing w:after="0" w:line="69" w:lineRule="exact"/>
        <w:rPr>
          <w:rFonts w:ascii="Times New Roman" w:cs="Times New Roman" w:eastAsia="Times New Roman" w:hAnsi="Times New Roman"/>
          <w:sz w:val="18"/>
          <w:szCs w:val="18"/>
          <w:color w:val="auto"/>
        </w:rPr>
      </w:pPr>
    </w:p>
    <w:p>
      <w:pPr>
        <w:ind w:left="960" w:right="20" w:hanging="539"/>
        <w:spacing w:after="0" w:line="255" w:lineRule="auto"/>
        <w:tabs>
          <w:tab w:leader="none" w:pos="9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or other business entity, (A) to another corporation, partnership, limited liability company or other business entity that is an affiliate (as defined in Rule 405 promulgated under the Securities Act of 1933, as amended) of the undersigned, or to any investment fund or other entity controlled or managed by the undersigned or affiliates of the undersigned, or (B) as part of a distribution by the undersigned to its stockholders, partners, members or other equityholders or to the estate of any such stockholders, partners, members or other equityholders;</w:t>
      </w:r>
    </w:p>
    <w:p>
      <w:pPr>
        <w:spacing w:after="0" w:line="89"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or intestacy;</w:t>
      </w:r>
    </w:p>
    <w:p>
      <w:pPr>
        <w:spacing w:after="0" w:line="126" w:lineRule="exact"/>
        <w:rPr>
          <w:rFonts w:ascii="Times New Roman" w:cs="Times New Roman" w:eastAsia="Times New Roman" w:hAnsi="Times New Roman"/>
          <w:sz w:val="18"/>
          <w:szCs w:val="18"/>
          <w:color w:val="auto"/>
        </w:rPr>
      </w:pPr>
    </w:p>
    <w:p>
      <w:pPr>
        <w:ind w:left="960" w:hanging="539"/>
        <w:spacing w:after="0" w:line="257" w:lineRule="auto"/>
        <w:tabs>
          <w:tab w:leader="none" w:pos="9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member of the undersigned’s immediate family or to any trust for the direct or indirect benefit of the undersigned or the immediate family of the undersigned, or if the undersigned is a trust, to a trustor or beneficiary of the trust or to the estate of a beneficiary of such trust (for purposes of this agreement, “immediate family” shall mean any relationship by blood, current or former marriage, domestic partnership or adoption, not more remote than first cousin);</w:t>
      </w:r>
    </w:p>
    <w:p>
      <w:pPr>
        <w:spacing w:after="0" w:line="88"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500" w:top="264" w:right="499" w:bottom="1440" w:gutter="0" w:footer="0" w:header="0"/>
        </w:sectPr>
      </w:pPr>
    </w:p>
    <w:bookmarkStart w:id="318" w:name="page319"/>
    <w:bookmarkEnd w:id="318"/>
    <w:p>
      <w:pPr>
        <w:ind w:left="966" w:hanging="539"/>
        <w:spacing w:after="0" w:line="251" w:lineRule="auto"/>
        <w:tabs>
          <w:tab w:leader="none" w:pos="96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facilitating the establishment of a trading plan on behalf of a shareholder, officer or director of the Company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Common Stock during the Restricted Period[, other than, in the case of a First Early Lock-Up Expiration Date or Second Early Lock-Up Expiration Date (each as defined below), the transfer of any shares of Common Stock released from the restrictions set forth herein]</w:t>
      </w:r>
      <w:r>
        <w:rPr>
          <w:rFonts w:ascii="Times New Roman" w:cs="Times New Roman" w:eastAsia="Times New Roman" w:hAnsi="Times New Roman"/>
          <w:sz w:val="15"/>
          <w:szCs w:val="15"/>
          <w:color w:val="auto"/>
        </w:rPr>
        <w:t>4</w:t>
      </w:r>
      <w:r>
        <w:rPr>
          <w:rFonts w:ascii="Times New Roman" w:cs="Times New Roman" w:eastAsia="Times New Roman" w:hAnsi="Times New Roman"/>
          <w:sz w:val="18"/>
          <w:szCs w:val="18"/>
          <w:color w:val="auto"/>
        </w:rPr>
        <w:t xml:space="preserve"> and (ii) to the extent a public announcement or filing under the Exchange Act, if any, is required of or voluntarily made by or on behalf of the undersigned or the Company regarding [(a)] the establishment of such plan, such announcement or filing shall include a statement to the effect that no transfer of Common Stock may be made under such plan during the Restricted Period [or (b) the transfer of shares of Common Stock in the case of a First Early Lock-Up Expiration Date or Second Early Lock-Up Expiration Date (each as defined below), any such filing under Section 16(a) of the Exchange Act shall clearly indicate in the footnotes thereto that the filing relates to the circumstances described in this clause (f)]</w:t>
      </w:r>
      <w:r>
        <w:rPr>
          <w:rFonts w:ascii="Times New Roman" w:cs="Times New Roman" w:eastAsia="Times New Roman" w:hAnsi="Times New Roman"/>
          <w:sz w:val="15"/>
          <w:szCs w:val="15"/>
          <w:color w:val="auto"/>
        </w:rPr>
        <w:t>5</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966" w:right="20" w:hanging="539"/>
        <w:spacing w:after="0" w:line="277" w:lineRule="auto"/>
        <w:tabs>
          <w:tab w:leader="none" w:pos="96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the Company from an employee of or service provider of the Company upon death, disability or termination of employment, in each case, of such employee or service provider;</w:t>
      </w:r>
    </w:p>
    <w:p>
      <w:pPr>
        <w:spacing w:after="0" w:line="69" w:lineRule="exact"/>
        <w:rPr>
          <w:rFonts w:ascii="Times New Roman" w:cs="Times New Roman" w:eastAsia="Times New Roman" w:hAnsi="Times New Roman"/>
          <w:sz w:val="18"/>
          <w:szCs w:val="18"/>
          <w:color w:val="auto"/>
        </w:rPr>
      </w:pPr>
    </w:p>
    <w:p>
      <w:pPr>
        <w:ind w:left="966" w:right="20" w:hanging="539"/>
        <w:spacing w:after="0" w:line="251" w:lineRule="auto"/>
        <w:tabs>
          <w:tab w:leader="none" w:pos="96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transfers 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or (B) transfers necessary (including transfers on the open market) to generate such amount of cash needed for the payment of taxes, including estimated taxes, due as a result of the vesting or settlement of restricted stock units whether by means of a “net settlement” or otherwise, and in all such cases described in subclauses (A) and (B), provided that any such shares of Common Stock received upon such exercise, vesting or settlement shall be subject to the terms of this agreement, and provided further that any such restricted stock units, options, warrants or rights are held by the undersigned pursuant to an agreement or equity awards granted under a stock incentive plan or other equity award plan, each such agreement or plan which is described in the Prospectus;</w:t>
      </w:r>
    </w:p>
    <w:p>
      <w:pPr>
        <w:spacing w:after="0" w:line="95" w:lineRule="exact"/>
        <w:rPr>
          <w:rFonts w:ascii="Times New Roman" w:cs="Times New Roman" w:eastAsia="Times New Roman" w:hAnsi="Times New Roman"/>
          <w:sz w:val="18"/>
          <w:szCs w:val="18"/>
          <w:color w:val="auto"/>
        </w:rPr>
      </w:pPr>
    </w:p>
    <w:p>
      <w:pPr>
        <w:ind w:left="966" w:right="120" w:hanging="539"/>
        <w:spacing w:after="0" w:line="277" w:lineRule="auto"/>
        <w:tabs>
          <w:tab w:leader="none" w:pos="96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the Company in connection with the repurchase of shares of Common Stock issued pursuant to equity awards granted under a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140970</wp:posOffset>
            </wp:positionV>
            <wp:extent cx="75501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5">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37" w:lineRule="exact"/>
        <w:rPr>
          <w:sz w:val="20"/>
          <w:szCs w:val="20"/>
          <w:color w:val="auto"/>
        </w:rPr>
      </w:pPr>
    </w:p>
    <w:p>
      <w:pPr>
        <w:ind w:left="426" w:hanging="426"/>
        <w:spacing w:after="0"/>
        <w:tabs>
          <w:tab w:leader="none" w:pos="426"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be included in employee lock-ups only.</w:t>
      </w:r>
    </w:p>
    <w:p>
      <w:pPr>
        <w:spacing w:after="0" w:line="24" w:lineRule="exact"/>
        <w:rPr>
          <w:sz w:val="20"/>
          <w:szCs w:val="20"/>
          <w:color w:val="auto"/>
        </w:rPr>
      </w:pPr>
    </w:p>
    <w:p>
      <w:pPr>
        <w:ind w:left="426" w:hanging="426"/>
        <w:spacing w:after="0"/>
        <w:tabs>
          <w:tab w:leader="none" w:pos="426"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be included in employee lock-ups only.</w:t>
      </w:r>
    </w:p>
    <w:p>
      <w:pPr>
        <w:spacing w:after="0" w:line="13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6"/>
          </w:cols>
          <w:pgMar w:left="494" w:top="268" w:right="519" w:bottom="1440" w:gutter="0" w:footer="0" w:header="0"/>
        </w:sectPr>
      </w:pPr>
    </w:p>
    <w:bookmarkStart w:id="319" w:name="page320"/>
    <w:bookmarkEnd w:id="319"/>
    <w:p>
      <w:pPr>
        <w:ind w:left="540" w:right="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incentive plan or other equity award plan, which plan is described in the Prospectus, or pursuant to the agreements pursuant to which such shares were issued, as described in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repurchase of shares of Common Stock is in connection with the termination of the undersigned’s service-provider relationship with the Company;</w:t>
      </w:r>
    </w:p>
    <w:p>
      <w:pPr>
        <w:spacing w:after="0" w:line="84" w:lineRule="exact"/>
        <w:rPr>
          <w:sz w:val="20"/>
          <w:szCs w:val="20"/>
          <w:color w:val="auto"/>
        </w:rPr>
      </w:pPr>
    </w:p>
    <w:p>
      <w:pPr>
        <w:ind w:left="540" w:hanging="539"/>
        <w:spacing w:after="0" w:line="257" w:lineRule="auto"/>
        <w:tabs>
          <w:tab w:leader="none" w:pos="5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pursuant to a bona fide third-party tender offer, merger, consolidation or other similar transaction that is approved by the Board of Directors of the Company and made to all holders of the Company’s capital stock involving a Change of Control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tender offer, merger, consolidation or other similar transaction is not completed, the undersigned’s Common Stock shall remain subject to the provisions of this agreement;</w:t>
      </w:r>
    </w:p>
    <w:p>
      <w:pPr>
        <w:spacing w:after="0" w:line="88" w:lineRule="exact"/>
        <w:rPr>
          <w:rFonts w:ascii="Times New Roman" w:cs="Times New Roman" w:eastAsia="Times New Roman" w:hAnsi="Times New Roman"/>
          <w:sz w:val="18"/>
          <w:szCs w:val="18"/>
          <w:color w:val="auto"/>
        </w:rPr>
      </w:pPr>
    </w:p>
    <w:p>
      <w:pPr>
        <w:ind w:left="540" w:right="80" w:hanging="539"/>
        <w:spacing w:after="0" w:line="285" w:lineRule="auto"/>
        <w:tabs>
          <w:tab w:leader="none" w:pos="540"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conversion or reclassification of the outstanding preferred stock or other classes of capital stock of the Company into shares of Common Stock in connection with the consummation of the Public Offering and (B) the conversion of Class B Common Stock to Class A Common Stock, in each case, in accordance with the Company’s certificate of incorporation, in each case as described in the Prospectus;</w:t>
      </w:r>
    </w:p>
    <w:p>
      <w:pPr>
        <w:spacing w:after="0" w:line="65" w:lineRule="exact"/>
        <w:rPr>
          <w:rFonts w:ascii="Times New Roman" w:cs="Times New Roman" w:eastAsia="Times New Roman" w:hAnsi="Times New Roman"/>
          <w:sz w:val="17"/>
          <w:szCs w:val="17"/>
          <w:color w:val="auto"/>
        </w:rPr>
      </w:pPr>
    </w:p>
    <w:p>
      <w:pPr>
        <w:ind w:left="540" w:hanging="539"/>
        <w:spacing w:after="0"/>
        <w:tabs>
          <w:tab w:leader="none" w:pos="5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 Class A Common Stock for Class B Common Stock in connection with offering as described in the Prospectus;</w:t>
      </w:r>
    </w:p>
    <w:p>
      <w:pPr>
        <w:spacing w:after="0" w:line="126" w:lineRule="exact"/>
        <w:rPr>
          <w:rFonts w:ascii="Times New Roman" w:cs="Times New Roman" w:eastAsia="Times New Roman" w:hAnsi="Times New Roman"/>
          <w:sz w:val="18"/>
          <w:szCs w:val="18"/>
          <w:color w:val="auto"/>
        </w:rPr>
      </w:pPr>
    </w:p>
    <w:p>
      <w:pPr>
        <w:ind w:left="540" w:right="140" w:hanging="539"/>
        <w:spacing w:after="0" w:line="262" w:lineRule="auto"/>
        <w:tabs>
          <w:tab w:leader="none" w:pos="5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any rights to purchase, exchange or convert any stock options granted to the undersigned pursuant to the Company’s equity incentive plans referred to in the Prospectus, or any warrants or other securities convertible into or exercisable or exchangeable for shares of Common Stock, which warrants or other securities are described in the Prospectus;</w:t>
      </w:r>
    </w:p>
    <w:p>
      <w:pPr>
        <w:spacing w:after="0" w:line="83" w:lineRule="exact"/>
        <w:rPr>
          <w:rFonts w:ascii="Times New Roman" w:cs="Times New Roman" w:eastAsia="Times New Roman" w:hAnsi="Times New Roman"/>
          <w:sz w:val="18"/>
          <w:szCs w:val="18"/>
          <w:color w:val="auto"/>
        </w:rPr>
      </w:pPr>
    </w:p>
    <w:p>
      <w:pPr>
        <w:ind w:left="540" w:right="80" w:hanging="539"/>
        <w:spacing w:after="0" w:line="265" w:lineRule="auto"/>
        <w:tabs>
          <w:tab w:leader="none" w:pos="540"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transfers in connection with distributions to certain officers or employees of the general partner, managing member or other controlling entity of, or investment advisor to, the undersigned and/or its affiliates,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such transferred Shares are promptly donated by such officers or employees to charitable organizations, (B) the aggregate number of such donated shares of Common Stock by all such officers and employees pursuant to this clause (o) shall not exceed a number of shares of Common Stock equal to 10% of the number of shares of Common Stock sold by the undersigned in the Public Offering, (C) if required under the Securities Act, the Exchange Act or other applicable law to make a filing or other public announcement in connection with such transfer or disposition prior to the expiration of the Lock-Up Period, such filing or public announcement shall include a statement that such transfer or disposition is not a transfer for value and there shall be no other voluntary filing or public announcement prior to the expiration of the Lock-Up Period, and</w:t>
      </w:r>
    </w:p>
    <w:p>
      <w:pPr>
        <w:spacing w:after="0" w:line="2" w:lineRule="exact"/>
        <w:rPr>
          <w:rFonts w:ascii="Times New Roman" w:cs="Times New Roman" w:eastAsia="Times New Roman" w:hAnsi="Times New Roman"/>
          <w:sz w:val="17"/>
          <w:szCs w:val="17"/>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 for the avoidance of doubt, donees pursuant to this clause (o) shall not be required to sign a lock-up agreement;</w:t>
      </w:r>
    </w:p>
    <w:p>
      <w:pPr>
        <w:spacing w:after="0" w:line="1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60"/>
          </w:cols>
          <w:pgMar w:left="920" w:top="268" w:right="519" w:bottom="1440" w:gutter="0" w:footer="0" w:header="0"/>
        </w:sectPr>
      </w:pPr>
    </w:p>
    <w:bookmarkStart w:id="320" w:name="page321"/>
    <w:bookmarkEnd w:id="320"/>
    <w:p>
      <w:pPr>
        <w:ind w:left="966" w:right="100" w:hanging="539"/>
        <w:spacing w:after="0" w:line="255" w:lineRule="auto"/>
        <w:tabs>
          <w:tab w:leader="none" w:pos="96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any transfer of Common Stock pledged in a bona fide transaction to third parties as collateral to secure obligations pursuant to lending or other arrangements between such third parties (or their affiliates or designees) and the undersigned and/or its affiliates or any similar arrangement relating to a financing arrangement for the benefit of the undersigned and/or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pledges or similar arrangements under this clause (p), any such pledgee or other party shall, upon foreclosure on the pledged securities, sign and deliver a lock-up letter substantially in the form of this letter agreement;]</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 xml:space="preserve"> and</w:t>
      </w:r>
    </w:p>
    <w:p>
      <w:pPr>
        <w:spacing w:after="0" w:line="89"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underwriters pursuant to the Underwriting Agreement;</w:t>
      </w:r>
    </w:p>
    <w:p>
      <w:pPr>
        <w:spacing w:after="0" w:line="218" w:lineRule="exact"/>
        <w:rPr>
          <w:sz w:val="20"/>
          <w:szCs w:val="20"/>
          <w:color w:val="auto"/>
        </w:rPr>
      </w:pPr>
    </w:p>
    <w:p>
      <w:pPr>
        <w:ind w:left="6" w:right="360" w:firstLine="436"/>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clauses (a), (b), [(c)], and (e) above no filing under Section 16(a) of the Exchange Act shall be required or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voluntarily made in connection with such transfer or distribution; (other than a filing on Form 5);</w:t>
      </w:r>
    </w:p>
    <w:p>
      <w:pPr>
        <w:spacing w:after="0" w:line="160" w:lineRule="exact"/>
        <w:rPr>
          <w:sz w:val="20"/>
          <w:szCs w:val="20"/>
          <w:color w:val="auto"/>
        </w:rPr>
      </w:pPr>
    </w:p>
    <w:p>
      <w:pPr>
        <w:ind w:left="6" w:right="40" w:firstLine="436"/>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in the case of clauses [(c)], (d), (f), (h), (i), (j), (l), (m) and (n), (1) any filing under Section 16 of the Exchange Act made during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Lock-Up Period shall clearly indicate in the footnotes thereto that (A) the filing relates to the circumstances described in the applicable clause and (B) to the extent applicable, the underlying shares of Common Stock continue to be subject to the restrictions on transfer set forth in this lock-up agreement and (2) the undersigned does not otherwise voluntarily effect any other public filings or reports regarding such exercise during the Lock-Up Period;</w:t>
      </w:r>
    </w:p>
    <w:p>
      <w:pPr>
        <w:spacing w:after="0" w:line="163" w:lineRule="exact"/>
        <w:rPr>
          <w:sz w:val="20"/>
          <w:szCs w:val="20"/>
          <w:color w:val="auto"/>
        </w:rPr>
      </w:pPr>
    </w:p>
    <w:p>
      <w:pPr>
        <w:ind w:left="6" w:right="40" w:firstLine="436"/>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any transfer or distribution pursuant to clause (b), (c), (d), (e) or (f), each transferee, donee or distributee shall sign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 a lock-up agreement substantially in the form of this agreement;</w:t>
      </w:r>
    </w:p>
    <w:p>
      <w:pPr>
        <w:spacing w:after="0" w:line="160" w:lineRule="exact"/>
        <w:rPr>
          <w:sz w:val="20"/>
          <w:szCs w:val="20"/>
          <w:color w:val="auto"/>
        </w:rPr>
      </w:pPr>
    </w:p>
    <w:p>
      <w:pPr>
        <w:ind w:left="6" w:right="200" w:firstLine="436"/>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any conversion, reclassification exchange or exercise pursuant to clause (l), (m) and (n) any such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received upon such shall remain subject to the provisions of this agreement; and</w:t>
      </w:r>
    </w:p>
    <w:p>
      <w:pPr>
        <w:spacing w:after="0" w:line="160"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clauses (b), (c), (d) and (e), such transfer shall not involve a disposition for value.</w:t>
      </w:r>
    </w:p>
    <w:p>
      <w:pPr>
        <w:spacing w:after="0" w:line="218" w:lineRule="exact"/>
        <w:rPr>
          <w:sz w:val="20"/>
          <w:szCs w:val="20"/>
          <w:color w:val="auto"/>
        </w:rPr>
      </w:pPr>
    </w:p>
    <w:p>
      <w:pPr>
        <w:ind w:left="6" w:right="160" w:firstLine="436"/>
        <w:spacing w:after="0" w:line="256" w:lineRule="auto"/>
        <w:rPr>
          <w:sz w:val="20"/>
          <w:szCs w:val="20"/>
          <w:color w:val="auto"/>
        </w:rPr>
      </w:pPr>
      <w:r>
        <w:rPr>
          <w:rFonts w:ascii="Times New Roman" w:cs="Times New Roman" w:eastAsia="Times New Roman" w:hAnsi="Times New Roman"/>
          <w:sz w:val="18"/>
          <w:szCs w:val="18"/>
          <w:color w:val="auto"/>
        </w:rPr>
        <w:t>For purposes of clause (j),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mean the transfer (whether by tender offer, merger, consolidation or other similar transaction), in one transaction or a series of related transactions, to a person or group of affiliated persons (as defined in Section 13(d)(3) of the Securities Exchange Act of 1934, as amended), of shares of capital stock if, after such transfer, such person or group of affiliated persons would beneficially own (as defined in Rules 13d-3 and 13d-5 under the Exchange Act) at least a majority of the outstanding voting securities of the Company (or the surviving entity).</w:t>
      </w:r>
    </w:p>
    <w:p>
      <w:pPr>
        <w:spacing w:after="0" w:line="182" w:lineRule="exact"/>
        <w:rPr>
          <w:sz w:val="20"/>
          <w:szCs w:val="20"/>
          <w:color w:val="auto"/>
        </w:rPr>
      </w:pPr>
    </w:p>
    <w:p>
      <w:pPr>
        <w:ind w:left="6" w:firstLine="436"/>
        <w:spacing w:after="0" w:line="277" w:lineRule="auto"/>
        <w:rPr>
          <w:sz w:val="20"/>
          <w:szCs w:val="20"/>
          <w:color w:val="auto"/>
        </w:rPr>
      </w:pPr>
      <w:r>
        <w:rPr>
          <w:rFonts w:ascii="Times New Roman" w:cs="Times New Roman" w:eastAsia="Times New Roman" w:hAnsi="Times New Roman"/>
          <w:sz w:val="18"/>
          <w:szCs w:val="18"/>
          <w:color w:val="auto"/>
        </w:rPr>
        <w:t>[In addition, and notwithstanding the provisions of the second paragraph of this agreement, if (A)(i) the Company has filed its first quarterly report on Form 10-Q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140970</wp:posOffset>
            </wp:positionV>
            <wp:extent cx="75501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8">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37" w:lineRule="exact"/>
        <w:rPr>
          <w:sz w:val="20"/>
          <w:szCs w:val="20"/>
          <w:color w:val="auto"/>
        </w:rPr>
      </w:pPr>
    </w:p>
    <w:p>
      <w:pPr>
        <w:ind w:left="426" w:hanging="426"/>
        <w:spacing w:after="0"/>
        <w:tabs>
          <w:tab w:leader="none" w:pos="426"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be included in the lockups of certain stockholders.</w:t>
      </w:r>
    </w:p>
    <w:p>
      <w:pPr>
        <w:spacing w:after="0" w:line="15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6"/>
          </w:cols>
          <w:pgMar w:left="494" w:top="268" w:right="499" w:bottom="1440" w:gutter="0" w:footer="0" w:header="0"/>
        </w:sectPr>
      </w:pPr>
    </w:p>
    <w:bookmarkStart w:id="321" w:name="page322"/>
    <w:bookmarkEnd w:id="321"/>
    <w:p>
      <w:pPr>
        <w:ind w:left="6"/>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date of such filing, the “</w:t>
      </w:r>
      <w:r>
        <w:rPr>
          <w:rFonts w:ascii="Times New Roman" w:cs="Times New Roman" w:eastAsia="Times New Roman" w:hAnsi="Times New Roman"/>
          <w:sz w:val="18"/>
          <w:szCs w:val="18"/>
          <w:b w:val="1"/>
          <w:bCs w:val="1"/>
          <w:color w:val="auto"/>
        </w:rPr>
        <w:t>First Filing Date</w:t>
      </w:r>
      <w:r>
        <w:rPr>
          <w:rFonts w:ascii="Times New Roman" w:cs="Times New Roman" w:eastAsia="Times New Roman" w:hAnsi="Times New Roman"/>
          <w:sz w:val="18"/>
          <w:szCs w:val="18"/>
          <w:color w:val="auto"/>
        </w:rPr>
        <w:t>”), and (ii) the last reported closing price of the Class A common stock on the exchange on which the Class A common stock is listed (the “</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is at least 33% greater than the initial public offering price per share set forth on the cover page of the Prospectus (the “</w:t>
      </w:r>
      <w:r>
        <w:rPr>
          <w:rFonts w:ascii="Times New Roman" w:cs="Times New Roman" w:eastAsia="Times New Roman" w:hAnsi="Times New Roman"/>
          <w:sz w:val="18"/>
          <w:szCs w:val="18"/>
          <w:b w:val="1"/>
          <w:bCs w:val="1"/>
          <w:color w:val="auto"/>
        </w:rPr>
        <w:t>IPO Price</w:t>
      </w:r>
      <w:r>
        <w:rPr>
          <w:rFonts w:ascii="Times New Roman" w:cs="Times New Roman" w:eastAsia="Times New Roman" w:hAnsi="Times New Roman"/>
          <w:sz w:val="18"/>
          <w:szCs w:val="18"/>
          <w:color w:val="auto"/>
        </w:rPr>
        <w:t>”) for 10 out of the 15 consecutive trading days ending on the First Filing Date (the “</w:t>
      </w:r>
      <w:r>
        <w:rPr>
          <w:rFonts w:ascii="Times New Roman" w:cs="Times New Roman" w:eastAsia="Times New Roman" w:hAnsi="Times New Roman"/>
          <w:sz w:val="18"/>
          <w:szCs w:val="18"/>
          <w:b w:val="1"/>
          <w:bCs w:val="1"/>
          <w:color w:val="auto"/>
        </w:rPr>
        <w:t>First Measurement Period</w:t>
      </w:r>
      <w:r>
        <w:rPr>
          <w:rFonts w:ascii="Times New Roman" w:cs="Times New Roman" w:eastAsia="Times New Roman" w:hAnsi="Times New Roman"/>
          <w:sz w:val="18"/>
          <w:szCs w:val="18"/>
          <w:color w:val="auto"/>
        </w:rPr>
        <w:t>”), then 20% of the undersigned’s Common Stock that are subject to the Restricted Period, which percentage shall be calculated based on the number of the undersigned’s Common Stock subject to the Restricted Period as of the last day of the First Measurement Period, will be automatically released from such restrictions (the “</w:t>
      </w:r>
      <w:r>
        <w:rPr>
          <w:rFonts w:ascii="Times New Roman" w:cs="Times New Roman" w:eastAsia="Times New Roman" w:hAnsi="Times New Roman"/>
          <w:sz w:val="18"/>
          <w:szCs w:val="18"/>
          <w:b w:val="1"/>
          <w:bCs w:val="1"/>
          <w:color w:val="auto"/>
        </w:rPr>
        <w:t>First Early Lock-Up Expiration</w:t>
      </w:r>
      <w:r>
        <w:rPr>
          <w:rFonts w:ascii="Times New Roman" w:cs="Times New Roman" w:eastAsia="Times New Roman" w:hAnsi="Times New Roman"/>
          <w:sz w:val="18"/>
          <w:szCs w:val="18"/>
          <w:color w:val="auto"/>
        </w:rPr>
        <w:t>”) immediately prior to the opening of trading on the exchange on which the Class A common stock is listed on the second trading day following the end of the First Measurement Period (the “</w:t>
      </w:r>
      <w:r>
        <w:rPr>
          <w:rFonts w:ascii="Times New Roman" w:cs="Times New Roman" w:eastAsia="Times New Roman" w:hAnsi="Times New Roman"/>
          <w:sz w:val="18"/>
          <w:szCs w:val="18"/>
          <w:b w:val="1"/>
          <w:bCs w:val="1"/>
          <w:color w:val="auto"/>
        </w:rPr>
        <w:t>First Early Lock-Up Expiration Date</w:t>
      </w:r>
      <w:r>
        <w:rPr>
          <w:rFonts w:ascii="Times New Roman" w:cs="Times New Roman" w:eastAsia="Times New Roman" w:hAnsi="Times New Roman"/>
          <w:sz w:val="18"/>
          <w:szCs w:val="18"/>
          <w:color w:val="auto"/>
        </w:rPr>
        <w:t>”); and/or (B)(i) the Company has filed its second quarterly report on Form 10-Q or its first annual report on Form 10-K (the date of such filing, the “</w:t>
      </w:r>
      <w:r>
        <w:rPr>
          <w:rFonts w:ascii="Times New Roman" w:cs="Times New Roman" w:eastAsia="Times New Roman" w:hAnsi="Times New Roman"/>
          <w:sz w:val="18"/>
          <w:szCs w:val="18"/>
          <w:b w:val="1"/>
          <w:bCs w:val="1"/>
          <w:color w:val="auto"/>
        </w:rPr>
        <w:t>Second Filing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and (ii) the last reported Closing Price is at least 33% greater than the IPO Price for 10 out of the 15 consecutive trading days ending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Filing Date (the “</w:t>
      </w:r>
      <w:r>
        <w:rPr>
          <w:rFonts w:ascii="Times New Roman" w:cs="Times New Roman" w:eastAsia="Times New Roman" w:hAnsi="Times New Roman"/>
          <w:sz w:val="18"/>
          <w:szCs w:val="18"/>
          <w:b w:val="1"/>
          <w:bCs w:val="1"/>
          <w:color w:val="auto"/>
        </w:rPr>
        <w:t>Second Measurement Period</w:t>
      </w:r>
      <w:r>
        <w:rPr>
          <w:rFonts w:ascii="Times New Roman" w:cs="Times New Roman" w:eastAsia="Times New Roman" w:hAnsi="Times New Roman"/>
          <w:sz w:val="18"/>
          <w:szCs w:val="18"/>
          <w:color w:val="auto"/>
        </w:rPr>
        <w:t>”), then 30% of the undersigned’s Common Stock that are subject to the Restricted Period, which percentage shall be calculated based on the number of the undersigned’s Common Stock subject to the Restricted Period as of the last day of the Second Measurement Period, will be automatically released from such restrictions (the “</w:t>
      </w:r>
      <w:r>
        <w:rPr>
          <w:rFonts w:ascii="Times New Roman" w:cs="Times New Roman" w:eastAsia="Times New Roman" w:hAnsi="Times New Roman"/>
          <w:sz w:val="18"/>
          <w:szCs w:val="18"/>
          <w:b w:val="1"/>
          <w:bCs w:val="1"/>
          <w:color w:val="auto"/>
        </w:rPr>
        <w:t>Second Early Lock-Up Expiration</w:t>
      </w:r>
      <w:r>
        <w:rPr>
          <w:rFonts w:ascii="Times New Roman" w:cs="Times New Roman" w:eastAsia="Times New Roman" w:hAnsi="Times New Roman"/>
          <w:sz w:val="18"/>
          <w:szCs w:val="18"/>
          <w:color w:val="auto"/>
        </w:rPr>
        <w:t>”) immediately prior to the opening of trading on the exchange on which the Class A common stock is listed on the second trading day following the end of the Second Measurement Period (the “</w:t>
      </w:r>
      <w:r>
        <w:rPr>
          <w:rFonts w:ascii="Times New Roman" w:cs="Times New Roman" w:eastAsia="Times New Roman" w:hAnsi="Times New Roman"/>
          <w:sz w:val="18"/>
          <w:szCs w:val="18"/>
          <w:b w:val="1"/>
          <w:bCs w:val="1"/>
          <w:color w:val="auto"/>
        </w:rPr>
        <w:t>Second Early Lock-Up Expiration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7</w:t>
      </w:r>
    </w:p>
    <w:p>
      <w:pPr>
        <w:spacing w:after="0" w:line="191" w:lineRule="exact"/>
        <w:rPr>
          <w:sz w:val="20"/>
          <w:szCs w:val="20"/>
          <w:color w:val="auto"/>
        </w:rPr>
      </w:pPr>
    </w:p>
    <w:p>
      <w:pPr>
        <w:ind w:left="6" w:right="20" w:firstLine="436"/>
        <w:spacing w:after="0" w:line="255" w:lineRule="auto"/>
        <w:rPr>
          <w:sz w:val="20"/>
          <w:szCs w:val="20"/>
          <w:color w:val="auto"/>
        </w:rPr>
      </w:pPr>
      <w:r>
        <w:rPr>
          <w:rFonts w:ascii="Times New Roman" w:cs="Times New Roman" w:eastAsia="Times New Roman" w:hAnsi="Times New Roman"/>
          <w:sz w:val="18"/>
          <w:szCs w:val="18"/>
          <w:color w:val="auto"/>
        </w:rPr>
        <w:t>In addition, the undersigned agrees that, without the prior written consent of [the Consenting Representatives]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83" w:lineRule="exact"/>
        <w:rPr>
          <w:sz w:val="20"/>
          <w:szCs w:val="20"/>
          <w:color w:val="auto"/>
        </w:rPr>
      </w:pPr>
    </w:p>
    <w:p>
      <w:pPr>
        <w:ind w:left="6" w:right="740" w:firstLine="436"/>
        <w:spacing w:after="0" w:line="277"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the undersigned further agrees that the foregoing restrictions shall be equally applicable to any issuer-directed Shares the undersigned may purchase in the offering.</w:t>
      </w:r>
    </w:p>
    <w:p>
      <w:pPr>
        <w:spacing w:after="0" w:line="163" w:lineRule="exact"/>
        <w:rPr>
          <w:sz w:val="20"/>
          <w:szCs w:val="20"/>
          <w:color w:val="auto"/>
        </w:rPr>
      </w:pPr>
    </w:p>
    <w:p>
      <w:pPr>
        <w:ind w:left="6" w:right="80" w:firstLine="436"/>
        <w:spacing w:after="0" w:line="257"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(i) the Representatives agree that, at least three business days before the effective date of any release or waiver of the foregoing restrictions in connection with a transfer of shares of Common Stock, [the Consenting Representatives] will notify the Company of the impending release or waiver, and (ii) the Company has agreed in the Underwriting Agreement to announce the impending release or waiver by press release through a major news service at least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153035</wp:posOffset>
            </wp:positionV>
            <wp:extent cx="75501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0">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56" w:lineRule="exact"/>
        <w:rPr>
          <w:sz w:val="20"/>
          <w:szCs w:val="20"/>
          <w:color w:val="auto"/>
        </w:rPr>
      </w:pPr>
    </w:p>
    <w:p>
      <w:pPr>
        <w:ind w:left="426" w:hanging="426"/>
        <w:spacing w:after="0"/>
        <w:tabs>
          <w:tab w:leader="none" w:pos="426"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be included in employee lock-ups only.</w:t>
      </w:r>
    </w:p>
    <w:p>
      <w:pPr>
        <w:spacing w:after="0" w:line="15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6"/>
          </w:cols>
          <w:pgMar w:left="494" w:top="264" w:right="519" w:bottom="1440" w:gutter="0" w:footer="0" w:header="0"/>
        </w:sectPr>
      </w:pPr>
    </w:p>
    <w:bookmarkStart w:id="322" w:name="page323"/>
    <w:bookmarkEnd w:id="322"/>
    <w:p>
      <w:pPr>
        <w:ind w:left="6" w:right="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business days before the effective date of the release or waiver (or such other method permitted by FINRA Rule 5131) . Any release or waiver granted by [the Consenting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w:t>
      </w:r>
    </w:p>
    <w:p>
      <w:pPr>
        <w:ind w:left="6" w:right="380" w:hanging="6"/>
        <w:spacing w:after="0" w:line="255" w:lineRule="auto"/>
        <w:tabs>
          <w:tab w:leader="none" w:pos="25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has agreed in writing to be bound by the same terms described in this agreement to the extent and for the duration that such terms remain in effect at the time of the transfer.</w:t>
      </w:r>
    </w:p>
    <w:p>
      <w:pPr>
        <w:spacing w:after="0" w:line="182" w:lineRule="exact"/>
        <w:rPr>
          <w:sz w:val="20"/>
          <w:szCs w:val="20"/>
          <w:color w:val="auto"/>
        </w:rPr>
      </w:pPr>
    </w:p>
    <w:p>
      <w:pPr>
        <w:ind w:left="6" w:right="80" w:firstLine="436"/>
        <w:spacing w:after="0" w:line="251"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 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w:t>
      </w:r>
    </w:p>
    <w:p>
      <w:pPr>
        <w:spacing w:after="0" w:line="189" w:lineRule="exact"/>
        <w:rPr>
          <w:sz w:val="20"/>
          <w:szCs w:val="20"/>
          <w:color w:val="auto"/>
        </w:rPr>
      </w:pPr>
    </w:p>
    <w:p>
      <w:pPr>
        <w:ind w:left="6" w:firstLine="436"/>
        <w:spacing w:after="0" w:line="277" w:lineRule="auto"/>
        <w:rPr>
          <w:sz w:val="20"/>
          <w:szCs w:val="20"/>
          <w:color w:val="auto"/>
        </w:rPr>
      </w:pPr>
      <w:r>
        <w:rPr>
          <w:rFonts w:ascii="Times New Roman" w:cs="Times New Roman" w:eastAsia="Times New Roman" w:hAnsi="Times New Roman"/>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63" w:lineRule="exact"/>
        <w:rPr>
          <w:sz w:val="20"/>
          <w:szCs w:val="20"/>
          <w:color w:val="auto"/>
        </w:rPr>
      </w:pPr>
    </w:p>
    <w:p>
      <w:pPr>
        <w:ind w:left="6" w:firstLine="436"/>
        <w:spacing w:after="0" w:line="251"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this agreement will automatically terminate and the undersigned shall be released from all obligations under this agreement upon the earliest to occur, if any, of (i) prior to the execution of the Underwriting Agreement, the Company advises the Consenting Representatives in writing that it has determined not to proceed with the Public Offering, (ii) prior to the execution of the Underwriting Agreement, the Company files an application with the SEC to withdraw the registration statement related to the Public Offering, (iii) the Underwriting Agreement is executed but is terminated (other than the provisions thereof which survive termination) prior to payment for and delivery of the Common Stock to be sold thereunder, or (iv) November 30, 2020, if the Underwriting Agreement does not become effective by such date; provided, however, that the Company may, by written notice to the undersigned prior to such date, extend such date for a period of up to three additional months. The undersigned understands that the Underwriters are entering into the Underwriting Agreement and proceeding with the Public Offering in reliance upon this agreement.</w:t>
      </w:r>
    </w:p>
    <w:p>
      <w:pPr>
        <w:spacing w:after="0" w:line="12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6"/>
          </w:cols>
          <w:pgMar w:left="494" w:top="268" w:right="539" w:bottom="1440" w:gutter="0" w:footer="0" w:header="0"/>
        </w:sectPr>
      </w:pPr>
    </w:p>
    <w:bookmarkStart w:id="323" w:name="page324"/>
    <w:bookmarkEnd w:id="323"/>
    <w:p>
      <w:pPr>
        <w:ind w:firstLine="43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This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00"/>
          </w:cols>
          <w:pgMar w:left="500" w:top="268" w:right="59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color w:val="auto"/>
        </w:rPr>
        <w:t>IF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187960</wp:posOffset>
            </wp:positionV>
            <wp:extent cx="324040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0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i w:val="1"/>
          <w:iCs w:val="1"/>
          <w:color w:val="auto"/>
        </w:rPr>
        <w:t>(duly authorized signature)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-635</wp:posOffset>
            </wp:positionV>
            <wp:extent cx="27654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4">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6"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7"/>
          <w:szCs w:val="17"/>
          <w:i w:val="1"/>
          <w:iCs w:val="1"/>
          <w:color w:val="auto"/>
        </w:rPr>
        <w:t>(please print full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287655</wp:posOffset>
            </wp:positionV>
            <wp:extent cx="324040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5">
                      <a:extLst>
                        <a:ext uri="{28A0092B-C50C-407E-A947-70E740481C1C}"/>
                      </a:extLst>
                    </a:blip>
                    <a:srcRect/>
                    <a:stretch>
                      <a:fillRect/>
                    </a:stretch>
                  </pic:blipFill>
                  <pic:spPr bwMode="auto">
                    <a:xfrm>
                      <a:off x="0" y="0"/>
                      <a:ext cx="32404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575945</wp:posOffset>
            </wp:positionV>
            <wp:extent cx="324040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-209550</wp:posOffset>
            </wp:positionV>
            <wp:extent cx="715073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187960</wp:posOffset>
            </wp:positionV>
            <wp:extent cx="324040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8">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(please print complete name of entity)</w:t>
      </w:r>
    </w:p>
    <w:p>
      <w:pPr>
        <w:spacing w:after="0" w:line="2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-635</wp:posOffset>
            </wp:positionV>
            <wp:extent cx="27654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9">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(duly authorized signature)</w:t>
      </w:r>
    </w:p>
    <w:p>
      <w:pPr>
        <w:spacing w:after="0" w:line="2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-635</wp:posOffset>
            </wp:positionV>
            <wp:extent cx="27654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0">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6" w:lineRule="exact"/>
        <w:rPr>
          <w:sz w:val="20"/>
          <w:szCs w:val="20"/>
          <w:color w:val="auto"/>
        </w:rPr>
      </w:pPr>
    </w:p>
    <w:p>
      <w:pPr>
        <w:jc w:val="right"/>
        <w:ind w:right="1379"/>
        <w:spacing w:after="0"/>
        <w:rPr>
          <w:sz w:val="20"/>
          <w:szCs w:val="20"/>
          <w:color w:val="auto"/>
        </w:rPr>
      </w:pPr>
      <w:r>
        <w:rPr>
          <w:rFonts w:ascii="Times New Roman" w:cs="Times New Roman" w:eastAsia="Times New Roman" w:hAnsi="Times New Roman"/>
          <w:sz w:val="18"/>
          <w:szCs w:val="18"/>
          <w:i w:val="1"/>
          <w:iCs w:val="1"/>
          <w:color w:val="auto"/>
        </w:rPr>
        <w:t>(please print full name)</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-635</wp:posOffset>
            </wp:positionV>
            <wp:extent cx="27654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1">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(please print full title)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287655</wp:posOffset>
            </wp:positionV>
            <wp:extent cx="324040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2">
                      <a:extLst>
                        <a:ext uri="{28A0092B-C50C-407E-A947-70E740481C1C}"/>
                      </a:extLst>
                    </a:blip>
                    <a:srcRect/>
                    <a:stretch>
                      <a:fillRect/>
                    </a:stretch>
                  </pic:blipFill>
                  <pic:spPr bwMode="auto">
                    <a:xfrm>
                      <a:off x="0" y="0"/>
                      <a:ext cx="32404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575945</wp:posOffset>
            </wp:positionV>
            <wp:extent cx="324040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720"/>
            <w:col w:w="4159"/>
          </w:cols>
          <w:pgMar w:left="500" w:top="2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5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-635</wp:posOffset>
            </wp:positionV>
            <wp:extent cx="27654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4">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13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9959"/>
          </w:cols>
          <w:pgMar w:left="500" w:top="264" w:right="1440" w:bottom="1440" w:gutter="0" w:footer="0" w:header="0"/>
          <w:type w:val="continuous"/>
        </w:sectPr>
      </w:pPr>
    </w:p>
    <w:bookmarkStart w:id="325" w:name="page326"/>
    <w:bookmarkEnd w:id="32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WAIVER OF LOCK-UP</w:t>
      </w:r>
    </w:p>
    <w:p>
      <w:pPr>
        <w:spacing w:after="0" w:line="118"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-8890</wp:posOffset>
            </wp:positionV>
            <wp:extent cx="3390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6">
                      <a:extLst>
                        <a:ext uri="{28A0092B-C50C-407E-A947-70E740481C1C}"/>
                      </a:extLst>
                    </a:blip>
                    <a:srcRect/>
                    <a:stretch>
                      <a:fillRect/>
                    </a:stretch>
                  </pic:blipFill>
                  <pic:spPr bwMode="auto">
                    <a:xfrm>
                      <a:off x="0" y="0"/>
                      <a:ext cx="339090" cy="8255"/>
                    </a:xfrm>
                    <a:prstGeom prst="rect">
                      <a:avLst/>
                    </a:prstGeom>
                    <a:noFill/>
                  </pic:spPr>
                </pic:pic>
              </a:graphicData>
            </a:graphic>
          </wp:anchor>
        </w:drawing>
        <w:drawing>
          <wp:anchor simplePos="0" relativeHeight="251657728" behindDoc="1" locked="0" layoutInCell="0" allowOverlap="1">
            <wp:simplePos x="0" y="0"/>
            <wp:positionH relativeFrom="column">
              <wp:posOffset>5732145</wp:posOffset>
            </wp:positionH>
            <wp:positionV relativeFrom="paragraph">
              <wp:posOffset>-8890</wp:posOffset>
            </wp:positionV>
            <wp:extent cx="11303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7">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Address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or Director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Requesting Waiver]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Mr./Ms. [Name]:</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This letter is being delivered by [Morgan Stanley &amp; Co. LLC, Goldman Sachs &amp; Co. LLC, J.P. Morgan Securities LLC and Barclays Capital Inc.]</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 connection with the offering by GoodRx Holdings, Inc. (the “</w:t>
            </w:r>
            <w:r>
              <w:rPr>
                <w:rFonts w:ascii="Times New Roman" w:cs="Times New Roman" w:eastAsia="Times New Roman" w:hAnsi="Times New Roman"/>
                <w:sz w:val="18"/>
                <w:szCs w:val="18"/>
                <w:b w:val="1"/>
                <w:bCs w:val="1"/>
                <w:color w:val="auto"/>
                <w:w w:val="99"/>
              </w:rPr>
              <w:t>Company</w:t>
            </w:r>
            <w:r>
              <w:rPr>
                <w:rFonts w:ascii="Times New Roman" w:cs="Times New Roman" w:eastAsia="Times New Roman" w:hAnsi="Times New Roman"/>
                <w:sz w:val="18"/>
                <w:szCs w:val="18"/>
                <w:color w:val="auto"/>
                <w:w w:val="99"/>
              </w:rPr>
              <w:t>”) of</w:t>
            </w:r>
          </w:p>
        </w:tc>
        <w:tc>
          <w:tcPr>
            <w:tcW w:w="520" w:type="dxa"/>
            <w:vAlign w:val="bottom"/>
            <w:gridSpan w:val="2"/>
          </w:tcPr>
          <w:p>
            <w:pPr>
              <w:spacing w:after="0"/>
              <w:rPr>
                <w:sz w:val="17"/>
                <w:szCs w:val="17"/>
                <w:color w:val="auto"/>
              </w:rPr>
            </w:pPr>
          </w:p>
        </w:tc>
        <w:tc>
          <w:tcPr>
            <w:tcW w:w="29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shares of Class A common stock, $</w:t>
            </w: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 value (the</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Common Stock</w:t>
            </w:r>
            <w:r>
              <w:rPr>
                <w:rFonts w:ascii="Times New Roman" w:cs="Times New Roman" w:eastAsia="Times New Roman" w:hAnsi="Times New Roman"/>
                <w:sz w:val="18"/>
                <w:szCs w:val="18"/>
                <w:color w:val="auto"/>
                <w:w w:val="99"/>
              </w:rPr>
              <w:t>”), of the Company and the lock-up agreement dated</w:t>
            </w: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040" w:type="dxa"/>
            <w:vAlign w:val="bottom"/>
            <w:gridSpan w:val="2"/>
            <w:vMerge w:val="continue"/>
          </w:tcPr>
          <w:p>
            <w:pPr>
              <w:spacing w:after="0"/>
              <w:rPr>
                <w:sz w:val="16"/>
                <w:szCs w:val="16"/>
                <w:color w:val="auto"/>
              </w:rPr>
            </w:pPr>
          </w:p>
        </w:tc>
        <w:tc>
          <w:tcPr>
            <w:tcW w:w="520" w:type="dxa"/>
            <w:vAlign w:val="bottom"/>
            <w:tcBorders>
              <w:bottom w:val="single" w:sz="8" w:color="auto"/>
            </w:tcBorders>
            <w:gridSpan w:val="2"/>
          </w:tcPr>
          <w:p>
            <w:pPr>
              <w:spacing w:after="0"/>
              <w:rPr>
                <w:sz w:val="16"/>
                <w:szCs w:val="16"/>
                <w:color w:val="auto"/>
              </w:rPr>
            </w:pPr>
          </w:p>
        </w:tc>
        <w:tc>
          <w:tcPr>
            <w:tcW w:w="500" w:type="dxa"/>
            <w:vAlign w:val="bottom"/>
            <w:gridSpan w:val="2"/>
          </w:tcPr>
          <w:p>
            <w:pPr>
              <w:jc w:val="right"/>
              <w:ind w:right="40"/>
              <w:spacing w:after="0" w:line="194" w:lineRule="exact"/>
              <w:rPr>
                <w:sz w:val="20"/>
                <w:szCs w:val="20"/>
                <w:color w:val="auto"/>
              </w:rPr>
            </w:pPr>
            <w:r>
              <w:rPr>
                <w:rFonts w:ascii="Times New Roman" w:cs="Times New Roman" w:eastAsia="Times New Roman" w:hAnsi="Times New Roman"/>
                <w:sz w:val="18"/>
                <w:szCs w:val="18"/>
                <w:color w:val="auto"/>
                <w:w w:val="97"/>
              </w:rPr>
              <w:t>, 2020</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80" w:type="dxa"/>
            <w:vAlign w:val="bottom"/>
            <w:gridSpan w:val="5"/>
          </w:tcPr>
          <w:p>
            <w:pPr>
              <w:ind w:left="40"/>
              <w:spacing w:after="0" w:line="194" w:lineRule="exact"/>
              <w:rPr>
                <w:sz w:val="20"/>
                <w:szCs w:val="20"/>
                <w:color w:val="auto"/>
              </w:rPr>
            </w:pPr>
            <w:r>
              <w:rPr>
                <w:rFonts w:ascii="Times New Roman" w:cs="Times New Roman" w:eastAsia="Times New Roman" w:hAnsi="Times New Roman"/>
                <w:sz w:val="18"/>
                <w:szCs w:val="18"/>
                <w:color w:val="auto"/>
                <w:w w:val="98"/>
              </w:rPr>
              <w:t>(the “Lock-up Agreement”), executed by you in connection</w:t>
            </w:r>
          </w:p>
        </w:tc>
        <w:tc>
          <w:tcPr>
            <w:tcW w:w="0" w:type="dxa"/>
            <w:vAlign w:val="bottom"/>
          </w:tcPr>
          <w:p>
            <w:pPr>
              <w:spacing w:after="0"/>
              <w:rPr>
                <w:sz w:val="1"/>
                <w:szCs w:val="1"/>
                <w:color w:val="auto"/>
              </w:rPr>
            </w:pPr>
          </w:p>
        </w:tc>
      </w:tr>
      <w:tr>
        <w:trPr>
          <w:trHeight w:val="194"/>
        </w:trPr>
        <w:tc>
          <w:tcPr>
            <w:tcW w:w="4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with such offering, and your request for a [waiver] [release] dated</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 20  , with respect to</w:t>
            </w:r>
          </w:p>
        </w:tc>
        <w:tc>
          <w:tcPr>
            <w:tcW w:w="540" w:type="dxa"/>
            <w:vAlign w:val="bottom"/>
          </w:tcPr>
          <w:p>
            <w:pPr>
              <w:spacing w:after="0"/>
              <w:rPr>
                <w:sz w:val="16"/>
                <w:szCs w:val="16"/>
                <w:color w:val="auto"/>
              </w:rPr>
            </w:pPr>
          </w:p>
        </w:tc>
        <w:tc>
          <w:tcPr>
            <w:tcW w:w="328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color w:val="auto"/>
              </w:rPr>
              <w:t>shares of Common Stock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 Goldman Sachs &amp; Co. LLC, J.P. Morgan Securities LLC and Barclays Capital Inc.] hereby agree to [waive] [release] the</w:t>
      </w:r>
    </w:p>
    <w:p>
      <w:pPr>
        <w:spacing w:after="0" w:line="26"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8"/>
          <w:szCs w:val="18"/>
          <w:color w:val="auto"/>
        </w:rPr>
        <w:t>transfer restrictions set forth in the Lock-up Agreement, but only with respect to the Shares, effective , 20 ; provided, however,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4589780</wp:posOffset>
            </wp:positionH>
            <wp:positionV relativeFrom="paragraph">
              <wp:posOffset>-301625</wp:posOffset>
            </wp:positionV>
            <wp:extent cx="3390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8">
                      <a:extLst>
                        <a:ext uri="{28A0092B-C50C-407E-A947-70E740481C1C}"/>
                      </a:extLst>
                    </a:blip>
                    <a:srcRect/>
                    <a:stretch>
                      <a:fillRect/>
                    </a:stretch>
                  </pic:blipFill>
                  <pic:spPr bwMode="auto">
                    <a:xfrm>
                      <a:off x="0" y="0"/>
                      <a:ext cx="339090" cy="8255"/>
                    </a:xfrm>
                    <a:prstGeom prst="rect">
                      <a:avLst/>
                    </a:prstGeom>
                    <a:noFill/>
                  </pic:spPr>
                </pic:pic>
              </a:graphicData>
            </a:graphic>
          </wp:anchor>
        </w:drawing>
        <w:drawing>
          <wp:anchor simplePos="0" relativeHeight="251657728" behindDoc="1" locked="0" layoutInCell="0" allowOverlap="1">
            <wp:simplePos x="0" y="0"/>
            <wp:positionH relativeFrom="column">
              <wp:posOffset>5098415</wp:posOffset>
            </wp:positionH>
            <wp:positionV relativeFrom="paragraph">
              <wp:posOffset>-301625</wp:posOffset>
            </wp:positionV>
            <wp:extent cx="11303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9">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Except as expressly [waived] [released] hereby, the Lock-up Agreement shall remain in full force and effect.</w:t>
      </w:r>
    </w:p>
    <w:p>
      <w:pPr>
        <w:spacing w:after="0" w:line="24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4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Acting severally on behalf of themselves and the several</w:t>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Underwriters named in Schedule I hereto</w:t>
      </w:r>
    </w:p>
    <w:p>
      <w:pPr>
        <w:spacing w:after="0" w:line="21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0">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Title: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500" w:top="264" w:right="499" w:bottom="1440" w:gutter="0" w:footer="0" w:header="0"/>
        </w:sectPr>
      </w:pPr>
    </w:p>
    <w:bookmarkStart w:id="326" w:name="page327"/>
    <w:bookmarkEnd w:id="326"/>
    <w:p>
      <w:pPr>
        <w:ind w:left="654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GOLDMAN SACHS &amp; CO. LLC</w:t>
      </w:r>
    </w:p>
    <w:p>
      <w:pPr>
        <w:spacing w:after="0" w:line="220" w:lineRule="exact"/>
        <w:rPr>
          <w:sz w:val="20"/>
          <w:szCs w:val="20"/>
          <w:color w:val="auto"/>
        </w:rPr>
      </w:pPr>
    </w:p>
    <w:p>
      <w:pPr>
        <w:ind w:left="6546"/>
        <w:spacing w:after="0"/>
        <w:rPr>
          <w:sz w:val="20"/>
          <w:szCs w:val="20"/>
          <w:color w:val="auto"/>
        </w:rPr>
      </w:pPr>
      <w:r>
        <w:rPr>
          <w:rFonts w:ascii="Times New Roman" w:cs="Times New Roman" w:eastAsia="Times New Roman" w:hAnsi="Times New Roman"/>
          <w:sz w:val="18"/>
          <w:szCs w:val="18"/>
          <w:color w:val="auto"/>
        </w:rPr>
        <w:t>By:</w:t>
      </w:r>
    </w:p>
    <w:p>
      <w:pPr>
        <w:spacing w:after="0" w:line="26" w:lineRule="exact"/>
        <w:rPr>
          <w:sz w:val="20"/>
          <w:szCs w:val="20"/>
          <w:color w:val="auto"/>
        </w:rPr>
      </w:pPr>
    </w:p>
    <w:p>
      <w:pPr>
        <w:ind w:left="6906"/>
        <w:spacing w:after="0"/>
        <w:rPr>
          <w:sz w:val="20"/>
          <w:szCs w:val="20"/>
          <w:color w:val="auto"/>
        </w:rPr>
      </w:pPr>
      <w:r>
        <w:rPr>
          <w:rFonts w:ascii="Times New Roman" w:cs="Times New Roman" w:eastAsia="Times New Roman" w:hAnsi="Times New Roman"/>
          <w:sz w:val="18"/>
          <w:szCs w:val="18"/>
          <w:color w:val="auto"/>
        </w:rPr>
        <w:t>Name:</w:t>
      </w:r>
    </w:p>
    <w:p>
      <w:pPr>
        <w:spacing w:after="0" w:line="7" w:lineRule="exact"/>
        <w:rPr>
          <w:sz w:val="20"/>
          <w:szCs w:val="20"/>
          <w:color w:val="auto"/>
        </w:rPr>
      </w:pPr>
    </w:p>
    <w:p>
      <w:pPr>
        <w:ind w:left="6906"/>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ind w:left="6546"/>
        <w:spacing w:after="0"/>
        <w:rPr>
          <w:sz w:val="20"/>
          <w:szCs w:val="20"/>
          <w:color w:val="auto"/>
        </w:rPr>
      </w:pPr>
      <w:r>
        <w:rPr>
          <w:rFonts w:ascii="Times New Roman" w:cs="Times New Roman" w:eastAsia="Times New Roman" w:hAnsi="Times New Roman"/>
          <w:sz w:val="17"/>
          <w:szCs w:val="17"/>
          <w:color w:val="auto"/>
        </w:rPr>
        <w:t>J.P. MORGAN SECURITIES LLC</w:t>
      </w:r>
    </w:p>
    <w:p>
      <w:pPr>
        <w:spacing w:after="0" w:line="232" w:lineRule="exact"/>
        <w:rPr>
          <w:sz w:val="20"/>
          <w:szCs w:val="20"/>
          <w:color w:val="auto"/>
        </w:rPr>
      </w:pPr>
    </w:p>
    <w:p>
      <w:pPr>
        <w:ind w:left="6546"/>
        <w:spacing w:after="0"/>
        <w:rPr>
          <w:sz w:val="20"/>
          <w:szCs w:val="20"/>
          <w:color w:val="auto"/>
        </w:rPr>
      </w:pPr>
      <w:r>
        <w:rPr>
          <w:rFonts w:ascii="Times New Roman" w:cs="Times New Roman" w:eastAsia="Times New Roman" w:hAnsi="Times New Roman"/>
          <w:sz w:val="18"/>
          <w:szCs w:val="18"/>
          <w:color w:val="auto"/>
        </w:rPr>
        <w:t>By:</w:t>
      </w:r>
    </w:p>
    <w:p>
      <w:pPr>
        <w:spacing w:after="0" w:line="26" w:lineRule="exact"/>
        <w:rPr>
          <w:sz w:val="20"/>
          <w:szCs w:val="20"/>
          <w:color w:val="auto"/>
        </w:rPr>
      </w:pPr>
    </w:p>
    <w:p>
      <w:pPr>
        <w:ind w:left="6906"/>
        <w:spacing w:after="0"/>
        <w:rPr>
          <w:sz w:val="20"/>
          <w:szCs w:val="20"/>
          <w:color w:val="auto"/>
        </w:rPr>
      </w:pPr>
      <w:r>
        <w:rPr>
          <w:rFonts w:ascii="Times New Roman" w:cs="Times New Roman" w:eastAsia="Times New Roman" w:hAnsi="Times New Roman"/>
          <w:sz w:val="18"/>
          <w:szCs w:val="18"/>
          <w:color w:val="auto"/>
        </w:rPr>
        <w:t>Name:</w:t>
      </w:r>
    </w:p>
    <w:p>
      <w:pPr>
        <w:spacing w:after="0" w:line="7" w:lineRule="exact"/>
        <w:rPr>
          <w:sz w:val="20"/>
          <w:szCs w:val="20"/>
          <w:color w:val="auto"/>
        </w:rPr>
      </w:pPr>
    </w:p>
    <w:p>
      <w:pPr>
        <w:ind w:left="6906"/>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ind w:left="6546"/>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20" w:lineRule="exact"/>
        <w:rPr>
          <w:sz w:val="20"/>
          <w:szCs w:val="20"/>
          <w:color w:val="auto"/>
        </w:rPr>
      </w:pPr>
    </w:p>
    <w:p>
      <w:pPr>
        <w:ind w:left="6546"/>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4389755</wp:posOffset>
            </wp:positionH>
            <wp:positionV relativeFrom="paragraph">
              <wp:posOffset>15875</wp:posOffset>
            </wp:positionV>
            <wp:extent cx="25361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2">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906"/>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6906"/>
        <w:spacing w:after="0"/>
        <w:rPr>
          <w:sz w:val="20"/>
          <w:szCs w:val="20"/>
          <w:color w:val="auto"/>
        </w:rPr>
      </w:pPr>
      <w:r>
        <w:rPr>
          <w:rFonts w:ascii="Times New Roman" w:cs="Times New Roman" w:eastAsia="Times New Roman" w:hAnsi="Times New Roman"/>
          <w:sz w:val="18"/>
          <w:szCs w:val="18"/>
          <w:color w:val="auto"/>
        </w:rPr>
        <w:t>Title:]</w:t>
      </w:r>
    </w:p>
    <w:p>
      <w:pPr>
        <w:spacing w:after="0" w:line="228" w:lineRule="exact"/>
        <w:rPr>
          <w:sz w:val="20"/>
          <w:szCs w:val="20"/>
          <w:color w:val="auto"/>
        </w:rPr>
      </w:pPr>
    </w:p>
    <w:p>
      <w:pPr>
        <w:ind w:left="426" w:hanging="426"/>
        <w:spacing w:after="0"/>
        <w:tabs>
          <w:tab w:leader="none" w:pos="42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54" w:lineRule="exact"/>
        <w:rPr>
          <w:sz w:val="20"/>
          <w:szCs w:val="20"/>
          <w:color w:val="auto"/>
        </w:rPr>
      </w:pPr>
    </w:p>
    <w:p>
      <w:pPr>
        <w:ind w:left="5406"/>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965"/>
          </w:cols>
          <w:pgMar w:left="494" w:top="268" w:right="1440" w:bottom="1440" w:gutter="0" w:footer="0" w:header="0"/>
        </w:sectPr>
      </w:pPr>
    </w:p>
    <w:bookmarkStart w:id="327" w:name="page328"/>
    <w:bookmarkEnd w:id="32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FORM OF PRESS RELEASE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GoodRx Holdings,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GoodRx Holdings,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announced today that [Morgan Stanley &amp; Co. LLC, Goldman Sachs &amp; Co. LLC, J.P. Morgan Securities LLC</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8"/>
              </w:rPr>
              <w:t>and Barclays Capital Inc.], the lead book-running managers in the Company’s recent public sale of</w:t>
            </w:r>
          </w:p>
        </w:tc>
        <w:tc>
          <w:tcPr>
            <w:tcW w:w="540" w:type="dxa"/>
            <w:vAlign w:val="bottom"/>
            <w:tcBorders>
              <w:bottom w:val="single" w:sz="8" w:color="auto"/>
            </w:tcBorders>
          </w:tcPr>
          <w:p>
            <w:pPr>
              <w:spacing w:after="0"/>
              <w:rPr>
                <w:sz w:val="17"/>
                <w:szCs w:val="17"/>
                <w:color w:val="auto"/>
              </w:rPr>
            </w:pPr>
          </w:p>
        </w:tc>
        <w:tc>
          <w:tcPr>
            <w:tcW w:w="28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shares of its Class A common stock are</w:t>
            </w:r>
          </w:p>
        </w:tc>
      </w:tr>
      <w:tr>
        <w:trPr>
          <w:trHeight w:val="194"/>
        </w:trPr>
        <w:tc>
          <w:tcPr>
            <w:tcW w:w="40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[waiving][releasing] a lock-up restriction with respect to</w:t>
            </w:r>
          </w:p>
        </w:tc>
        <w:tc>
          <w:tcPr>
            <w:tcW w:w="540" w:type="dxa"/>
            <w:vAlign w:val="bottom"/>
            <w:tcBorders>
              <w:bottom w:val="single" w:sz="8" w:color="auto"/>
            </w:tcBorders>
          </w:tcPr>
          <w:p>
            <w:pPr>
              <w:spacing w:after="0"/>
              <w:rPr>
                <w:sz w:val="16"/>
                <w:szCs w:val="16"/>
                <w:color w:val="auto"/>
              </w:rPr>
            </w:pPr>
          </w:p>
        </w:tc>
        <w:tc>
          <w:tcPr>
            <w:tcW w:w="5840" w:type="dxa"/>
            <w:vAlign w:val="bottom"/>
            <w:gridSpan w:val="7"/>
          </w:tcPr>
          <w:p>
            <w:pPr>
              <w:ind w:left="40"/>
              <w:spacing w:after="0" w:line="194" w:lineRule="exact"/>
              <w:rPr>
                <w:sz w:val="20"/>
                <w:szCs w:val="20"/>
                <w:color w:val="auto"/>
              </w:rPr>
            </w:pPr>
            <w:r>
              <w:rPr>
                <w:rFonts w:ascii="Times New Roman" w:cs="Times New Roman" w:eastAsia="Times New Roman" w:hAnsi="Times New Roman"/>
                <w:sz w:val="18"/>
                <w:szCs w:val="18"/>
                <w:color w:val="auto"/>
                <w:w w:val="98"/>
              </w:rPr>
              <w:t>shares of the Company’s common stock held by [certain officers or directors] [an</w:t>
            </w:r>
          </w:p>
        </w:tc>
      </w:tr>
      <w:tr>
        <w:trPr>
          <w:trHeight w:val="194"/>
        </w:trPr>
        <w:tc>
          <w:tcPr>
            <w:tcW w:w="55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w w:val="98"/>
              </w:rPr>
              <w:t>officer or director] of the Company. The [waiver][release] will take effect on</w:t>
            </w:r>
          </w:p>
        </w:tc>
        <w:tc>
          <w:tcPr>
            <w:tcW w:w="540" w:type="dxa"/>
            <w:vAlign w:val="bottom"/>
          </w:tcPr>
          <w:p>
            <w:pPr>
              <w:spacing w:after="0"/>
              <w:rPr>
                <w:sz w:val="16"/>
                <w:szCs w:val="16"/>
                <w:color w:val="auto"/>
              </w:rPr>
            </w:pPr>
          </w:p>
        </w:tc>
        <w:tc>
          <w:tcPr>
            <w:tcW w:w="44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 20   , and the shares may be sold on or after such date.</w:t>
            </w:r>
          </w:p>
        </w:tc>
      </w:tr>
      <w:tr>
        <w:trPr>
          <w:trHeight w:val="20"/>
        </w:trPr>
        <w:tc>
          <w:tcPr>
            <w:tcW w:w="4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80"/>
          </w:cols>
          <w:pgMar w:left="500" w:top="264" w:right="61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202" w:lineRule="exact"/>
        <w:rPr>
          <w:sz w:val="20"/>
          <w:szCs w:val="20"/>
          <w:color w:val="auto"/>
        </w:rPr>
      </w:pPr>
    </w:p>
    <w:p>
      <w:pPr>
        <w:ind w:right="320" w:firstLine="436"/>
        <w:spacing w:after="0" w:line="277" w:lineRule="auto"/>
        <w:rPr>
          <w:sz w:val="20"/>
          <w:szCs w:val="20"/>
          <w:color w:val="auto"/>
        </w:rPr>
      </w:pPr>
      <w:r>
        <w:rPr>
          <w:rFonts w:ascii="Times New Roman" w:cs="Times New Roman" w:eastAsia="Times New Roman" w:hAnsi="Times New Roman"/>
          <w:sz w:val="18"/>
          <w:szCs w:val="18"/>
          <w:color w:val="auto"/>
        </w:rPr>
        <w:t>GoodRx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does hereby certify as follows:</w:t>
      </w:r>
    </w:p>
    <w:p>
      <w:pPr>
        <w:spacing w:after="0" w:line="163" w:lineRule="exact"/>
        <w:rPr>
          <w:sz w:val="20"/>
          <w:szCs w:val="20"/>
          <w:color w:val="auto"/>
        </w:rPr>
      </w:pPr>
    </w:p>
    <w:p>
      <w:pPr>
        <w:ind w:right="820" w:firstLine="430"/>
        <w:spacing w:after="0" w:line="277" w:lineRule="auto"/>
        <w:tabs>
          <w:tab w:leader="none" w:pos="74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GoodRx Holdings, Inc. The Corporation was incorporated by the filing of its original Certificate of Incorporation with the Secretary of State of the State of Delaware on September 3, 2015 under the name GoodRx Holdings, Inc.</w:t>
      </w:r>
    </w:p>
    <w:p>
      <w:pPr>
        <w:spacing w:after="0" w:line="163" w:lineRule="exact"/>
        <w:rPr>
          <w:rFonts w:ascii="Times New Roman" w:cs="Times New Roman" w:eastAsia="Times New Roman" w:hAnsi="Times New Roman"/>
          <w:sz w:val="18"/>
          <w:szCs w:val="18"/>
          <w:color w:val="auto"/>
        </w:rPr>
      </w:pPr>
    </w:p>
    <w:p>
      <w:pPr>
        <w:ind w:right="40" w:firstLine="430"/>
        <w:spacing w:after="0" w:line="262" w:lineRule="auto"/>
        <w:tabs>
          <w:tab w:leader="none" w:pos="74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which amends, restates and further integrates the certificate of incorporation of the Corporation as heretofore in effect, has been adopted by the Corporation in accordance with Sections 242 and 245 of the DGCL, and has been adopted by the written consent of the stockholders of the Corporation in accordance with Section 228 of the DGCL.</w:t>
      </w:r>
    </w:p>
    <w:p>
      <w:pPr>
        <w:spacing w:after="0" w:line="177" w:lineRule="exact"/>
        <w:rPr>
          <w:rFonts w:ascii="Times New Roman" w:cs="Times New Roman" w:eastAsia="Times New Roman" w:hAnsi="Times New Roman"/>
          <w:sz w:val="18"/>
          <w:szCs w:val="18"/>
          <w:color w:val="auto"/>
        </w:rPr>
      </w:pPr>
    </w:p>
    <w:p>
      <w:pPr>
        <w:ind w:right="260" w:firstLine="430"/>
        <w:spacing w:after="0" w:line="277" w:lineRule="auto"/>
        <w:tabs>
          <w:tab w:leader="none" w:pos="74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text of the certificate of incorporation of the Corporation, as heretofore amended, is hereby amended and restated by this Certificate of Incorporation to read in its entirety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63" w:lineRule="exact"/>
        <w:rPr>
          <w:sz w:val="20"/>
          <w:szCs w:val="20"/>
          <w:color w:val="auto"/>
        </w:rPr>
      </w:pPr>
    </w:p>
    <w:p>
      <w:pPr>
        <w:ind w:right="820"/>
        <w:spacing w:after="0" w:line="277" w:lineRule="auto"/>
        <w:rPr>
          <w:sz w:val="20"/>
          <w:szCs w:val="20"/>
          <w:color w:val="auto"/>
        </w:rPr>
      </w:pPr>
      <w:r>
        <w:rPr>
          <w:rFonts w:ascii="Times New Roman" w:cs="Times New Roman" w:eastAsia="Times New Roman" w:hAnsi="Times New Roman"/>
          <w:sz w:val="18"/>
          <w:szCs w:val="18"/>
          <w:color w:val="auto"/>
        </w:rPr>
        <w:t>IN WITNESS WHEREOF, GoodRx Holdings, Inc. has caused this Certificate of Incorporation to be signed by a duly authorized office of the Corporation, on September [●], 2020.</w:t>
      </w:r>
    </w:p>
    <w:p>
      <w:pPr>
        <w:spacing w:after="0" w:line="18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 xml:space="preserve">GoodRx Holdings, Inc., </w:t>
      </w:r>
      <w:r>
        <w:rPr>
          <w:rFonts w:ascii="Times New Roman" w:cs="Times New Roman" w:eastAsia="Times New Roman" w:hAnsi="Times New Roman"/>
          <w:sz w:val="18"/>
          <w:szCs w:val="18"/>
          <w:color w:val="auto"/>
        </w:rPr>
        <w:t>a Delaware corporation</w:t>
      </w:r>
    </w:p>
    <w:p>
      <w:pPr>
        <w:spacing w:after="0" w:line="224"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4631690</wp:posOffset>
            </wp:positionH>
            <wp:positionV relativeFrom="paragraph">
              <wp:posOffset>15875</wp:posOffset>
            </wp:positionV>
            <wp:extent cx="229044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4">
                      <a:extLst>
                        <a:ext uri="{28A0092B-C50C-407E-A947-70E740481C1C}"/>
                      </a:extLst>
                    </a:blip>
                    <a:srcRect/>
                    <a:stretch>
                      <a:fillRect/>
                    </a:stretch>
                  </pic:blipFill>
                  <pic:spPr bwMode="auto">
                    <a:xfrm>
                      <a:off x="0" y="0"/>
                      <a:ext cx="2290445" cy="8255"/>
                    </a:xfrm>
                    <a:prstGeom prst="rect">
                      <a:avLst/>
                    </a:prstGeom>
                    <a:noFill/>
                  </pic:spPr>
                </pic:pic>
              </a:graphicData>
            </a:graphic>
          </wp:anchor>
        </w:drawing>
      </w:r>
    </w:p>
    <w:p>
      <w:pPr>
        <w:spacing w:after="0" w:line="1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GoodRx Holdings, Inc. Certificate of Incorporation]</w:t>
      </w:r>
    </w:p>
    <w:p>
      <w:pPr>
        <w:sectPr>
          <w:pgSz w:w="11900" w:h="16838" w:orient="portrait"/>
          <w:cols w:equalWidth="0" w:num="1">
            <w:col w:w="10900"/>
          </w:cols>
          <w:pgMar w:left="500" w:top="117" w:right="499" w:bottom="1440" w:gutter="0" w:footer="0" w:header="0"/>
        </w:sectPr>
      </w:pPr>
    </w:p>
    <w:bookmarkStart w:id="329" w:name="page330"/>
    <w:bookmarkEnd w:id="32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5">
                      <a:extLst>
                        <a:ext uri="{28A0092B-C50C-407E-A947-70E740481C1C}"/>
                      </a:extLst>
                    </a:blip>
                    <a:srcRect/>
                    <a:stretch>
                      <a:fillRect/>
                    </a:stretch>
                  </pic:blipFill>
                  <pic:spPr bwMode="auto">
                    <a:xfrm>
                      <a:off x="0" y="0"/>
                      <a:ext cx="7150735" cy="24765"/>
                    </a:xfrm>
                    <a:prstGeom prst="rect">
                      <a:avLst/>
                    </a:prstGeom>
                    <a:noFill/>
                  </pic:spPr>
                </pic:pic>
              </a:graphicData>
            </a:graphic>
          </wp:anchor>
        </w:drawing>
        <w:t>EXHIBIT A</w:t>
      </w:r>
    </w:p>
    <w:p>
      <w:pPr>
        <w:spacing w:after="0" w:line="2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name of the corporation is GoodRx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8" w:lineRule="exact"/>
        <w:rPr>
          <w:sz w:val="20"/>
          <w:szCs w:val="20"/>
          <w:color w:val="auto"/>
        </w:rPr>
      </w:pPr>
    </w:p>
    <w:p>
      <w:pPr>
        <w:ind w:right="280" w:firstLine="436"/>
        <w:spacing w:after="0" w:line="277"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251 Little Falls Drive, in the City of Wilmington, County of New Castle, Delaware, 19808. The name of its registered agent at such address is Corporation Service Company.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8" w:lineRule="exact"/>
        <w:rPr>
          <w:sz w:val="20"/>
          <w:szCs w:val="20"/>
          <w:color w:val="auto"/>
        </w:rPr>
      </w:pPr>
    </w:p>
    <w:p>
      <w:pPr>
        <w:ind w:right="100" w:firstLine="436"/>
        <w:spacing w:after="0" w:line="277"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as it now exists or may hereafter be amended and supplemented.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8" w:lineRule="exact"/>
        <w:rPr>
          <w:sz w:val="20"/>
          <w:szCs w:val="20"/>
          <w:color w:val="auto"/>
        </w:rPr>
      </w:pPr>
    </w:p>
    <w:p>
      <w:pPr>
        <w:ind w:right="60" w:firstLine="436"/>
        <w:spacing w:after="0" w:line="257" w:lineRule="auto"/>
        <w:rPr>
          <w:sz w:val="20"/>
          <w:szCs w:val="20"/>
          <w:color w:val="auto"/>
        </w:rPr>
      </w:pPr>
      <w:r>
        <w:rPr>
          <w:rFonts w:ascii="Times New Roman" w:cs="Times New Roman" w:eastAsia="Times New Roman" w:hAnsi="Times New Roman"/>
          <w:sz w:val="18"/>
          <w:szCs w:val="18"/>
          <w:color w:val="auto"/>
        </w:rPr>
        <w:t>The total number of shares of all classes of capital stock which the Corporation shall have authority to issue is 3,050,000,000 shares, consisting of 2,000,000,000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1,000,000,000 shares of Class B Common Stock, par value $0.0001 per share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50,000,000 shares of Preferred Stock, par value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The number of authorized shares of Class A Common Stock, Class B Common Stock or Preferred Stock may be increased or decreased (but not below (i) the number of shares thereof then outstanding and (ii) with respect to the Class A Common Stock, the number of shares of Class A Common Stock reserved pursuant to Section 8 of Part A of Article V) by the affirmative vote of the holders of capital stock representing a majority of the voting power of all of the then-outstanding shares of capital stock of the Corporation entitled to vote thereon, irrespective of the provisions of Section 242(b)(2) of the DGCL.</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Immediately upon the filing and effectiveness of this Certificate of Incorporation with the Secretary of State of the State of Delaware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automatically and without further action on the part of holders of capital stock of the Corporation, each share of the common stock,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value $0.002 per share, of the Corporation outstanding or held by the Corporation as treasury stock as of immediately prior to the Effective Time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Old Common Stock</w:t>
      </w:r>
      <w:r>
        <w:rPr>
          <w:rFonts w:ascii="Times New Roman" w:cs="Times New Roman" w:eastAsia="Times New Roman" w:hAnsi="Times New Roman"/>
          <w:sz w:val="18"/>
          <w:szCs w:val="18"/>
          <w:color w:val="auto"/>
        </w:rPr>
        <w:t>”) shall be reclassified as, and become, one (1) validly issued, fully paid and non-assessable share of Class B Common Stock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Reclassification</w:t>
      </w:r>
      <w:r>
        <w:rPr>
          <w:rFonts w:ascii="Times New Roman" w:cs="Times New Roman" w:eastAsia="Times New Roman" w:hAnsi="Times New Roman"/>
          <w:sz w:val="18"/>
          <w:szCs w:val="18"/>
          <w:color w:val="auto"/>
        </w:rPr>
        <w:t>”). The Reclassification shall occur automatically as of the Effective Time without any further action by the Corporation or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of the shares affected thereby and whether or not any certificates representing such shares are surrendered to the Corporation. Upon the Effective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each certificate that as of immediately prior to the Effective Time represented shares of Old Common Stock shall be deemed to represent 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equivalent number of shares of Class B Common Stock.</w:t>
      </w:r>
    </w:p>
    <w:p>
      <w:pPr>
        <w:sectPr>
          <w:pgSz w:w="11900" w:h="16838" w:orient="portrait"/>
          <w:cols w:equalWidth="0" w:num="1">
            <w:col w:w="10880"/>
          </w:cols>
          <w:pgMar w:left="500" w:top="263" w:right="519" w:bottom="1440" w:gutter="0" w:footer="0" w:header="0"/>
        </w:sectPr>
      </w:pPr>
    </w:p>
    <w:bookmarkStart w:id="330" w:name="page331"/>
    <w:bookmarkEnd w:id="3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6">
                      <a:extLst>
                        <a:ext uri="{28A0092B-C50C-407E-A947-70E740481C1C}"/>
                      </a:extLst>
                    </a:blip>
                    <a:srcRect/>
                    <a:stretch>
                      <a:fillRect/>
                    </a:stretch>
                  </pic:blipFill>
                  <pic:spPr bwMode="auto">
                    <a:xfrm>
                      <a:off x="0" y="0"/>
                      <a:ext cx="7150735" cy="24765"/>
                    </a:xfrm>
                    <a:prstGeom prst="rect">
                      <a:avLst/>
                    </a:prstGeom>
                    <a:noFill/>
                  </pic:spPr>
                </pic:pic>
              </a:graphicData>
            </a:graphic>
          </wp:anchor>
        </w:drawing>
        <w:t>ARTICLE V</w:t>
      </w:r>
    </w:p>
    <w:p>
      <w:pPr>
        <w:spacing w:after="0" w:line="118" w:lineRule="exact"/>
        <w:rPr>
          <w:sz w:val="20"/>
          <w:szCs w:val="20"/>
          <w:color w:val="auto"/>
        </w:rPr>
      </w:pPr>
    </w:p>
    <w:p>
      <w:pPr>
        <w:ind w:right="320" w:firstLine="436"/>
        <w:spacing w:after="0" w:line="277" w:lineRule="auto"/>
        <w:rPr>
          <w:sz w:val="20"/>
          <w:szCs w:val="20"/>
          <w:color w:val="auto"/>
        </w:rPr>
      </w:pPr>
      <w:r>
        <w:rPr>
          <w:rFonts w:ascii="Times New Roman" w:cs="Times New Roman" w:eastAsia="Times New Roman" w:hAnsi="Times New Roman"/>
          <w:sz w:val="18"/>
          <w:szCs w:val="18"/>
          <w:color w:val="auto"/>
        </w:rPr>
        <w:t>The designations and the powers, preferences, privileges and rights, and the qualifications, limitations or restrictions thereof in respect of each class of capital stock of the Corporation are as follows:</w:t>
      </w:r>
    </w:p>
    <w:p>
      <w:pPr>
        <w:spacing w:after="0" w:line="2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Class A Common Stock and Class B Common Stock</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00" w:firstLine="975"/>
        <w:spacing w:after="0" w:line="253" w:lineRule="auto"/>
        <w:tabs>
          <w:tab w:leader="none" w:pos="129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Equal Status; General</w:t>
      </w:r>
      <w:r>
        <w:rPr>
          <w:rFonts w:ascii="Times New Roman" w:cs="Times New Roman" w:eastAsia="Times New Roman" w:hAnsi="Times New Roman"/>
          <w:sz w:val="18"/>
          <w:szCs w:val="18"/>
          <w:color w:val="auto"/>
        </w:rPr>
        <w:t>. Except as otherwise provided herein or required by law, shares of Class A Common Stock and Class B Common Stock shall have the same rights, privileges, preferences and powers, rank equally (including as to dividends and distributions, and upon any liquidation, dissolution, distribution of assets or winding up of the Corporation), share ratably and be identical in all respects and as to all matters. The voting, dividend, liquidation and other rights, preferences and powers of the holders of Class A Common Stock and Class B Common Stock are subject to and qualified by the rights, powers and preferences of any series of Preferred Stock as may be designated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and outstanding from time to time.</w:t>
      </w:r>
    </w:p>
    <w:p>
      <w:pPr>
        <w:spacing w:after="0" w:line="186" w:lineRule="exact"/>
        <w:rPr>
          <w:rFonts w:ascii="Times New Roman" w:cs="Times New Roman" w:eastAsia="Times New Roman" w:hAnsi="Times New Roman"/>
          <w:sz w:val="18"/>
          <w:szCs w:val="18"/>
          <w:color w:val="auto"/>
        </w:rPr>
      </w:pPr>
    </w:p>
    <w:p>
      <w:pPr>
        <w:ind w:right="60" w:firstLine="975"/>
        <w:spacing w:after="0" w:line="250" w:lineRule="auto"/>
        <w:tabs>
          <w:tab w:leader="none" w:pos="129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provided herein or expressly required by law, at all meetings of stockholders and on all matters submitted to a vote of stockholders of the Corporation generally, each holder of Class A Common Stock, as such, shall have the right to one (1) vote per share of Class A Common Stock held of record by such holder and each holder of Class B Common Stock, as such, shall have the right to ten (10) votes per share of Class B Common Stock held of record by such holder. Except as otherwise provided herein or required by law, the holders of shares of Class A Common Stock and Class B Common Stock, as such, shall (a) at all times vote together as a single class on all matters (including the election of directors) submitted to a vote of the stockholders of the Corporation generally, (b) be entitled to notice of any stockholders’ meeting in accordance with the Amended and Restated Bylaws of the Corporation (as the same may be amended and/or restated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xml:space="preserve">”), and (c) be entitled to vote upon such matters and in such manner as may be provided by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as otherwise required by law, holders of Class A Common Stock and Class B Common Stock, as such, shall not be entitled to vote on any amendment to this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 (as defined herein)) or pursuant to the DGCL. There shall be no cumulative voting.</w:t>
      </w:r>
    </w:p>
    <w:p>
      <w:pPr>
        <w:spacing w:after="0" w:line="191" w:lineRule="exact"/>
        <w:rPr>
          <w:rFonts w:ascii="Times New Roman" w:cs="Times New Roman" w:eastAsia="Times New Roman" w:hAnsi="Times New Roman"/>
          <w:sz w:val="18"/>
          <w:szCs w:val="18"/>
          <w:color w:val="auto"/>
        </w:rPr>
      </w:pPr>
    </w:p>
    <w:p>
      <w:pPr>
        <w:ind w:firstLine="975"/>
        <w:spacing w:after="0" w:line="253" w:lineRule="auto"/>
        <w:tabs>
          <w:tab w:leader="none" w:pos="129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Rights</w:t>
      </w:r>
      <w:r>
        <w:rPr>
          <w:rFonts w:ascii="Times New Roman" w:cs="Times New Roman" w:eastAsia="Times New Roman" w:hAnsi="Times New Roman"/>
          <w:sz w:val="18"/>
          <w:szCs w:val="18"/>
          <w:color w:val="auto"/>
        </w:rPr>
        <w:t xml:space="preserve">. Shares of Class A Common Stock and Class B Common Stock shall be treated equally, identically and ratably, on a per share basis, with respect to any dividends as may be declared and paid from time to time by the Board of Directors out of any assets of the Corporation legally available therefor;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a dividend is paid in the form of shares of Class A Common Stock or Class B Common Stock (or rights to acquire, or securities convertible into or exchangeable for, such shares), then holders of Class A Common Stock shall be entitled to receive shares of Class A Common Stock (or rights to acquire, or securities convertible into or exchangeable for, such shares, as the case may be), and holders of Class B Common Stock shall be entitled to receive shares of Class B Common</w:t>
      </w:r>
    </w:p>
    <w:p>
      <w:pPr>
        <w:sectPr>
          <w:pgSz w:w="11900" w:h="16838" w:orient="portrait"/>
          <w:cols w:equalWidth="0" w:num="1">
            <w:col w:w="10880"/>
          </w:cols>
          <w:pgMar w:left="500" w:top="263" w:right="519" w:bottom="1440" w:gutter="0" w:footer="0" w:header="0"/>
        </w:sectPr>
      </w:pPr>
    </w:p>
    <w:bookmarkStart w:id="331" w:name="page332"/>
    <w:bookmarkEnd w:id="331"/>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Stock (or rights to acquire, or securities convertible into or exchangeable for, such shares, as the case may be), with holders of shares of Class A Common Stock and Class B Common Stock receiving, on a per share basis, an identical number of shares of Class A Common Stock or Class B Common Stock (or rights to acquire, or securities convertible into or exchangeable for, such shares, as the case may be), as applicable. Notwithstanding the foregoing, the Board of Directors may pay or make a disparate dividend per share of Class A Common Stock or Class B Common Stock (whether in the amount of such dividend payable per share, the form in which such dividend is payable, the timing of the payment, or otherwise) if such disparate dividend is approved by the affirmative vote of the holders of a majority of the outstanding shares of Class A Common Stock and Class B Common Stock, each voting separately as a class.</w:t>
      </w:r>
    </w:p>
    <w:p>
      <w:pPr>
        <w:spacing w:after="0" w:line="189" w:lineRule="exact"/>
        <w:rPr>
          <w:sz w:val="20"/>
          <w:szCs w:val="20"/>
          <w:color w:val="auto"/>
        </w:rPr>
      </w:pPr>
    </w:p>
    <w:p>
      <w:pPr>
        <w:ind w:right="80" w:firstLine="975"/>
        <w:spacing w:after="0" w:line="252" w:lineRule="auto"/>
        <w:tabs>
          <w:tab w:leader="none" w:pos="129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Subdivisions, Combinations or Reclassifications</w:t>
      </w:r>
      <w:r>
        <w:rPr>
          <w:rFonts w:ascii="Times New Roman" w:cs="Times New Roman" w:eastAsia="Times New Roman" w:hAnsi="Times New Roman"/>
          <w:sz w:val="18"/>
          <w:szCs w:val="18"/>
          <w:color w:val="auto"/>
        </w:rPr>
        <w:t xml:space="preserve">. Shares of Class A Common Stock or Class B Common Stock may not be subdivided, combined or reclassified unless the shares of the other class is concurrently therewith proportionately subdivided, combined or reclassified in a manner that maintains the same proportionate equity ownership between the holders of the outstanding Class A Common Stock and Class B Common Stock on the record date for such subdivision, combination or reclassification;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shares of one such class may be subdivided, combined or reclassified in a different or disproportionate manner if such subdivision, combination or reclassification is approved by the affirmative vote of the holders of a majority of the outstanding shares of Class A Common Stock and Class B Common Stock, each voting separately as a class.</w:t>
      </w:r>
    </w:p>
    <w:p>
      <w:pPr>
        <w:spacing w:after="0" w:line="188" w:lineRule="exact"/>
        <w:rPr>
          <w:rFonts w:ascii="Times New Roman" w:cs="Times New Roman" w:eastAsia="Times New Roman" w:hAnsi="Times New Roman"/>
          <w:sz w:val="18"/>
          <w:szCs w:val="18"/>
          <w:color w:val="auto"/>
        </w:rPr>
      </w:pPr>
    </w:p>
    <w:p>
      <w:pPr>
        <w:ind w:firstLine="975"/>
        <w:spacing w:after="0" w:line="253" w:lineRule="auto"/>
        <w:tabs>
          <w:tab w:leader="none" w:pos="129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Dissolution or Winding Up</w:t>
      </w:r>
      <w:r>
        <w:rPr>
          <w:rFonts w:ascii="Times New Roman" w:cs="Times New Roman" w:eastAsia="Times New Roman" w:hAnsi="Times New Roman"/>
          <w:sz w:val="18"/>
          <w:szCs w:val="18"/>
          <w:color w:val="auto"/>
        </w:rPr>
        <w:t>. Subject to the preferential or other rights of any holders of Preferred Stock then outstanding, upon the dissolution, distribution of assets, liquidation or winding up of the Corporation, whether voluntary or involuntary, holders of Class A Common Stock and Class B Common Stock will be entitled to receive ratably all assets of the Corporation available for distribution to its stockholders unless disparate or different treatment of the shares of each such class with respect to distributions upon any such liquidation, dissolution, distribution of assets or winding up is approved by the affirmative vote of the holders of a majority of the outstanding shares of Class A Common Stock and Class B Common Stock, each voting separately as a class.</w:t>
      </w:r>
    </w:p>
    <w:p>
      <w:pPr>
        <w:spacing w:after="0" w:line="186" w:lineRule="exact"/>
        <w:rPr>
          <w:rFonts w:ascii="Times New Roman" w:cs="Times New Roman" w:eastAsia="Times New Roman" w:hAnsi="Times New Roman"/>
          <w:sz w:val="18"/>
          <w:szCs w:val="18"/>
          <w:color w:val="auto"/>
        </w:rPr>
      </w:pPr>
    </w:p>
    <w:p>
      <w:pPr>
        <w:ind w:right="40" w:firstLine="975"/>
        <w:spacing w:after="0" w:line="251" w:lineRule="auto"/>
        <w:tabs>
          <w:tab w:leader="none" w:pos="129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or Consolidation</w:t>
      </w:r>
      <w:r>
        <w:rPr>
          <w:rFonts w:ascii="Times New Roman" w:cs="Times New Roman" w:eastAsia="Times New Roman" w:hAnsi="Times New Roman"/>
          <w:sz w:val="18"/>
          <w:szCs w:val="18"/>
          <w:color w:val="auto"/>
        </w:rPr>
        <w:t xml:space="preserve">. In the case of any distribution or payment in respect of the shares of Class A Common Stock or Class B Common Stock, or any consideration into which such shares are converted, upon the consolidation or merger of the Corporation with or into any other entity, such distribution, payment or consideration that the holders of shares of Class A Common Stock or Class B Common Stock have the right to receive, or the right to elect to receive, shall be made ratably on a per share basis among the holders of the Class A Common Stock and Class B Common Stock as a single class;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shares of such classes may receive, or have the right to elect to receive, different or disproportionate consideration in connection with such consolidation, merger or other transaction if the only difference in the per share consideration to the holders of the Class A Common Stock and Class B Common Stock is that any securities distributed to the holder of, or issuable upon the conversion of, a share of Class B Common Stock have ten (10) times the voting power of any securities distributed to the holder of, or issuable upon the conversion of, a share of Class A Common Stock.</w:t>
      </w:r>
    </w:p>
    <w:p>
      <w:pPr>
        <w:sectPr>
          <w:pgSz w:w="11900" w:h="16838" w:orient="portrait"/>
          <w:cols w:equalWidth="0" w:num="1">
            <w:col w:w="10880"/>
          </w:cols>
          <w:pgMar w:left="500" w:top="268" w:right="519" w:bottom="1440" w:gutter="0" w:footer="0" w:header="0"/>
        </w:sectPr>
      </w:pPr>
    </w:p>
    <w:bookmarkStart w:id="332" w:name="page333"/>
    <w:bookmarkEnd w:id="332"/>
    <w:p>
      <w:pPr>
        <w:ind w:left="1286" w:hanging="305"/>
        <w:spacing w:after="0"/>
        <w:tabs>
          <w:tab w:leader="none" w:pos="128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Conversion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426"/>
        <w:spacing w:after="0"/>
        <w:tabs>
          <w:tab w:leader="none" w:pos="1846"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u w:val="single" w:color="auto"/>
          <w:color w:val="auto"/>
        </w:rPr>
        <w:t>Optional Conversion of Class B Common Stock</w:t>
      </w:r>
      <w:r>
        <w:rPr>
          <w:rFonts w:ascii="Times New Roman" w:cs="Times New Roman" w:eastAsia="Times New Roman" w:hAnsi="Times New Roman"/>
          <w:sz w:val="17"/>
          <w:szCs w:val="17"/>
          <w:color w:val="auto"/>
        </w:rPr>
        <w:t>. Each share of Class B Common Stock shall be convertible into one (1) fully</w:t>
      </w:r>
    </w:p>
    <w:p>
      <w:pPr>
        <w:spacing w:after="0" w:line="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paid and nonassessable share of Class A Common Stock at the option of the holder thereof at any time upon written notice to the Corporation (an</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Optional Class B Conversion Event</w:t>
      </w:r>
      <w:r>
        <w:rPr>
          <w:rFonts w:ascii="Times New Roman" w:cs="Times New Roman" w:eastAsia="Times New Roman" w:hAnsi="Times New Roman"/>
          <w:sz w:val="17"/>
          <w:szCs w:val="17"/>
          <w:color w:val="auto"/>
        </w:rPr>
        <w:t>”). Before any holder of Class B Common Stock shall be entitled to convert any shares of Class B Common Stock</w:t>
      </w:r>
    </w:p>
    <w:p>
      <w:pPr>
        <w:spacing w:after="0" w:line="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into shares of Class A Common Stock, such holder shall surrender the certificate or certificates therefor (if any), duly endorsed, at the principal</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corporate office of the Corporation or of any transfer agent for the Class B Common Stock, and shall provide written notice to the Corporation at its</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principal corporate office, of such conversion election and shall state therein the name or names (i) in which the certificate or certificates representing</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shares of Class A Common Stock into which the shares of Class B Common Stock are so converted are to be issued (if such shares of Class A</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Common Stock are certificated) or (ii) in which such shares of Class A Common Stock are to be registered in book-entry form (if such shares of Class A</w:t>
      </w:r>
    </w:p>
    <w:p>
      <w:pPr>
        <w:spacing w:after="0" w:line="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Common Stock are uncertificated). If the shares of Class A Common Stock into which the shares of Class B Common Stock are to be converted are to</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be issued in a name or names other than the name of the holder of the shares of Class B Common Stock being converted, such notice shall be</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accompanied by a written instrument or instruments of transfer, in form satisfactory to the Corporation, duly executed by the holder. The Corporation</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shall, as soon as practicable thereafter, issue and deliver at such office to such holder, or to the nominee or nominees of such holder, a certificate or</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certificates representing the number of shares of Class A Common Stock to which such holder shall be entitled upon such conversion (if such shares of</w:t>
      </w:r>
    </w:p>
    <w:p>
      <w:pPr>
        <w:spacing w:after="0" w:line="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Class A Common Stock are certificated) or shall register such shares of Class A Common Stock in book-entry form (if such shares of Class A Common</w:t>
      </w:r>
    </w:p>
    <w:p>
      <w:pPr>
        <w:spacing w:after="0" w:line="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Stock are uncertificated). Such conversion shall be deemed to be effective immediately prior to the close of business on the date of such surrender of the</w:t>
      </w:r>
    </w:p>
    <w:p>
      <w:pPr>
        <w:spacing w:after="0" w:line="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shares of Class B Common Stock to be converted following or contemporaneously with the provision of written notice of such conversion election as</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required by this Subsection 7.1, the shares of Class A Common Stock issuable upon such conversion shall be deemed to be outstanding as of such time,</w:t>
      </w:r>
    </w:p>
    <w:p>
      <w:pPr>
        <w:spacing w:after="0" w:line="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and the Person or Persons entitled to receive the shares of Class A Common Stock issuable upon such conversion shall be deemed to be the record</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holder or holders of such shares of Class A Common Stock as of such time. Notwithstanding anything herein to the contrary, shares of Class B Common</w:t>
      </w:r>
    </w:p>
    <w:p>
      <w:pPr>
        <w:spacing w:after="0" w:line="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Stock represented by a lost, stolen or destroyed stock certificate may be converted pursuant to an Optional Class B Conversion Event if the holder</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thereof notifies the Corporation or its transfer agent that such certificate has been lost, stolen or destroyed and makes an affidavit of that fact acceptable</w:t>
      </w:r>
    </w:p>
    <w:p>
      <w:pPr>
        <w:spacing w:after="0" w:line="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to the Corporation and executes an agreement acceptable to the Corporation to indemnify the Corporation from any loss incurred by it in connection</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with such certificate.</w:t>
      </w:r>
    </w:p>
    <w:p>
      <w:pPr>
        <w:spacing w:after="0" w:line="202" w:lineRule="exact"/>
        <w:rPr>
          <w:sz w:val="20"/>
          <w:szCs w:val="20"/>
          <w:color w:val="auto"/>
        </w:rPr>
      </w:pPr>
    </w:p>
    <w:p>
      <w:pPr>
        <w:ind w:left="1426"/>
        <w:spacing w:after="0"/>
        <w:tabs>
          <w:tab w:leader="none" w:pos="1846"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u w:val="single" w:color="auto"/>
          <w:color w:val="auto"/>
        </w:rPr>
        <w:t>Automatic Conversion of Class B Common Stock</w:t>
      </w:r>
      <w:r>
        <w:rPr>
          <w:rFonts w:ascii="Times New Roman" w:cs="Times New Roman" w:eastAsia="Times New Roman" w:hAnsi="Times New Roman"/>
          <w:sz w:val="17"/>
          <w:szCs w:val="17"/>
          <w:color w:val="auto"/>
        </w:rPr>
        <w:t>. Each share of Class B Common Stock shall automatically convert into one</w:t>
      </w:r>
    </w:p>
    <w:p>
      <w:pPr>
        <w:spacing w:after="0" w:line="26" w:lineRule="exact"/>
        <w:rPr>
          <w:sz w:val="20"/>
          <w:szCs w:val="20"/>
          <w:color w:val="auto"/>
        </w:rPr>
      </w:pPr>
    </w:p>
    <w:p>
      <w:pPr>
        <w:ind w:left="6" w:right="140" w:hanging="6"/>
        <w:spacing w:after="0" w:line="255" w:lineRule="auto"/>
        <w:tabs>
          <w:tab w:leader="none" w:pos="25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paid and nonassessable share of Class A Common Stock upon the occurrence of an event described below (a “</w:t>
      </w:r>
      <w:r>
        <w:rPr>
          <w:rFonts w:ascii="Times New Roman" w:cs="Times New Roman" w:eastAsia="Times New Roman" w:hAnsi="Times New Roman"/>
          <w:sz w:val="18"/>
          <w:szCs w:val="18"/>
          <w:u w:val="single" w:color="auto"/>
          <w:color w:val="auto"/>
        </w:rPr>
        <w:t>Mandatory Class B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2386" w:right="320" w:hanging="436"/>
        <w:spacing w:after="0" w:line="277" w:lineRule="auto"/>
        <w:tabs>
          <w:tab w:leader="none" w:pos="2386"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Reduction in Voting Power</w:t>
      </w:r>
      <w:r>
        <w:rPr>
          <w:rFonts w:ascii="Times New Roman" w:cs="Times New Roman" w:eastAsia="Times New Roman" w:hAnsi="Times New Roman"/>
          <w:sz w:val="18"/>
          <w:szCs w:val="18"/>
          <w:color w:val="auto"/>
        </w:rPr>
        <w:t>. Each outstanding share of Class B Common Stock shall automatically, without further action by the Corporation or the holder thereof, convert into one (1) fully paid</w:t>
      </w:r>
    </w:p>
    <w:p>
      <w:pPr>
        <w:sectPr>
          <w:pgSz w:w="11900" w:h="16838" w:orient="portrait"/>
          <w:cols w:equalWidth="0" w:num="1">
            <w:col w:w="10866"/>
          </w:cols>
          <w:pgMar w:left="494" w:top="268" w:right="539" w:bottom="1440" w:gutter="0" w:footer="0" w:header="0"/>
        </w:sectPr>
      </w:pPr>
    </w:p>
    <w:bookmarkStart w:id="333" w:name="page334"/>
    <w:bookmarkEnd w:id="333"/>
    <w:p>
      <w:pPr>
        <w:ind w:left="2380" w:right="140"/>
        <w:spacing w:after="0" w:line="30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and nonassessable share of Class A Common Stock upon the first date on which the aggregate number of outstanding shares of Class B Common Stock ceases to represent at least 10% of the then-outstanding shares of Common Stock.</w:t>
      </w:r>
    </w:p>
    <w:p>
      <w:pPr>
        <w:spacing w:after="0" w:line="46" w:lineRule="exact"/>
        <w:rPr>
          <w:sz w:val="20"/>
          <w:szCs w:val="20"/>
          <w:color w:val="auto"/>
        </w:rPr>
      </w:pPr>
    </w:p>
    <w:p>
      <w:pPr>
        <w:ind w:left="2380" w:right="80" w:hanging="436"/>
        <w:spacing w:after="0" w:line="257" w:lineRule="auto"/>
        <w:tabs>
          <w:tab w:leader="none" w:pos="23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Each share of Class B Common Stock shall automatically, without further action by the Corporation or the holder thereof, convert into one (1) fully paid and nonassessable share of Class A Common Stock upon the occurrence of a Transfer (as defined in Section 9), other than a Permitted Transfer (as defined in Section 9), of such share of Class B Common Stock.</w:t>
      </w:r>
    </w:p>
    <w:p>
      <w:pPr>
        <w:spacing w:after="0" w:line="88" w:lineRule="exact"/>
        <w:rPr>
          <w:rFonts w:ascii="Times New Roman" w:cs="Times New Roman" w:eastAsia="Times New Roman" w:hAnsi="Times New Roman"/>
          <w:sz w:val="18"/>
          <w:szCs w:val="18"/>
          <w:color w:val="auto"/>
        </w:rPr>
      </w:pPr>
    </w:p>
    <w:p>
      <w:pPr>
        <w:ind w:left="2380" w:hanging="436"/>
        <w:spacing w:after="0" w:line="257" w:lineRule="auto"/>
        <w:tabs>
          <w:tab w:leader="none" w:pos="23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Conversion of Class B Common Stock</w:t>
      </w:r>
      <w:r>
        <w:rPr>
          <w:rFonts w:ascii="Times New Roman" w:cs="Times New Roman" w:eastAsia="Times New Roman" w:hAnsi="Times New Roman"/>
          <w:sz w:val="18"/>
          <w:szCs w:val="18"/>
          <w:color w:val="auto"/>
        </w:rPr>
        <w:t>. Each outstanding share of Class B Common Stock shall automatically, without further action by the Corporation or the holder thereof, convert into one (1) fully paid and nonassessable share of Class A Common Stock on the date that is seven (7) years following the filing and effectiveness of this Certificate of Incorporation.</w:t>
      </w:r>
    </w:p>
    <w:p>
      <w:pPr>
        <w:spacing w:after="0" w:line="182" w:lineRule="exact"/>
        <w:rPr>
          <w:sz w:val="20"/>
          <w:szCs w:val="20"/>
          <w:color w:val="auto"/>
        </w:rPr>
      </w:pPr>
    </w:p>
    <w:p>
      <w:pPr>
        <w:ind w:firstLine="1417"/>
        <w:spacing w:after="0" w:line="266"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Certificates</w:t>
      </w:r>
      <w:r>
        <w:rPr>
          <w:rFonts w:ascii="Times New Roman" w:cs="Times New Roman" w:eastAsia="Times New Roman" w:hAnsi="Times New Roman"/>
          <w:sz w:val="17"/>
          <w:szCs w:val="17"/>
          <w:color w:val="auto"/>
        </w:rPr>
        <w:t>. Each outstanding stock certificate (if shares are in certificated form) that, immediately prior to the occurrence of a Mandatory Class B Conversion Event, represented one or more shares of Class B Common Stock subject to such Mandatory Class B Conversion Event shall, upon such Mandatory Class B Conversion Event, be deemed to represent an equal number of shares of Class A Common Stock, without the need for surrender or exchange thereof. The Corporation shall, upon the request of any holder whose shares of Class B Common Stock have been converted into shares of Class A Common Stock as a result of an Optional Class B Conversion Event or a Mandatory Class B Conversion Event (either of the foregoing, a “</w:t>
      </w:r>
      <w:r>
        <w:rPr>
          <w:rFonts w:ascii="Times New Roman" w:cs="Times New Roman" w:eastAsia="Times New Roman" w:hAnsi="Times New Roman"/>
          <w:sz w:val="17"/>
          <w:szCs w:val="17"/>
          <w:u w:val="single" w:color="auto"/>
          <w:color w:val="auto"/>
        </w:rPr>
        <w:t>Conversion Event</w:t>
      </w:r>
      <w:r>
        <w:rPr>
          <w:rFonts w:ascii="Times New Roman" w:cs="Times New Roman" w:eastAsia="Times New Roman" w:hAnsi="Times New Roman"/>
          <w:sz w:val="17"/>
          <w:szCs w:val="17"/>
          <w:color w:val="auto"/>
        </w:rPr>
        <w:t>”) and upon surrender by such holder to the Corporation of the outstanding certificate(s) formerly representing such holder’s shares of Class B Common Stock, if any (or, in the case of any lost, stolen or destroyed certificate, upon such holder providing an affidavit of that fact acceptable to the Corporation and executing an agreement acceptable to the Corporation to indemnify the Corporation from any loss incurred by it in connection with such certificate), issue and deliver to such holder (or such other Person specified pursuant to Subsection 7.1) certificate(s) representing the shares of Class A Common Stock into which such holder’s shares of Class B Common Stock were converted as a result of such Conversion Event (if such shares are certificated) or, if such shares are uncertificated, register such shares in book-entry form. Each share of Class B Common Stock that is converted pursuant to Subsection 7.1 or 7.2 shall thereupon automatically be retired and shall not be available for reissuance.</w:t>
      </w:r>
    </w:p>
    <w:p>
      <w:pPr>
        <w:spacing w:after="0" w:line="179" w:lineRule="exact"/>
        <w:rPr>
          <w:sz w:val="20"/>
          <w:szCs w:val="20"/>
          <w:color w:val="auto"/>
        </w:rPr>
      </w:pPr>
    </w:p>
    <w:p>
      <w:pPr>
        <w:ind w:right="80" w:firstLine="1417"/>
        <w:spacing w:after="0" w:line="255"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Policies and Procedures</w:t>
      </w:r>
      <w:r>
        <w:rPr>
          <w:rFonts w:ascii="Times New Roman" w:cs="Times New Roman" w:eastAsia="Times New Roman" w:hAnsi="Times New Roman"/>
          <w:sz w:val="18"/>
          <w:szCs w:val="18"/>
          <w:color w:val="auto"/>
        </w:rPr>
        <w:t>. The Corporation may, from time to time, establish such policies and procedures, not in violation of applicable law or the other provisions of this Certificate of Incorporation or Bylaws of the Corporation, relating to the conversion of the Class B Common Stock into Class A Common Stock, as it may deem necessary or advisable in connection therewith. If the Corporation has reason to believe that a Transfer or other Conversion Event giving rise to a conversion of shares of Class B Common Stock into Class A Common Stock has occurred but has not theretofore been reflected on the books of the</w:t>
      </w:r>
    </w:p>
    <w:p>
      <w:pPr>
        <w:sectPr>
          <w:pgSz w:w="11900" w:h="16838" w:orient="portrait"/>
          <w:cols w:equalWidth="0" w:num="1">
            <w:col w:w="10880"/>
          </w:cols>
          <w:pgMar w:left="500" w:top="267" w:right="519" w:bottom="1440" w:gutter="0" w:footer="0" w:header="0"/>
        </w:sectPr>
      </w:pPr>
    </w:p>
    <w:bookmarkStart w:id="334" w:name="page335"/>
    <w:bookmarkEnd w:id="334"/>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Corporation (or in book-entry as maintained by the transfer agent of the Corporation), the Corporation may request that the holder of such shares furnish affidavits or other evidence to the Corporation as the Corporation deems necessary to determine whether a conversion of shares of Class B Common Stock to Class A Common Stock has occurred, and if such holder does not within ten (10) days after the date of such request furnish sufficient evidence to the Corporation (in the manner provided in the request) to enable the Corporation to determine that no such conversion has occurred, any such shares of Class B Common Stock, to the extent not previously converted, shall be automatically converted into shares of Class A Common Stock and the same shall thereupon be registered on the books and records of the Corporation (or in book-entry as maintained by the transfer agent of the Corporation). In connection with any action of stockholders taken at a meeting, the stock ledger of the Corporation (or in book-entry as maintained by the transfer agent of the Corporation) shall be presumptive evidence as to who are the stockholders entitled to vote in person or by proxy at any meeting of stockholders and the class or classes or series of shares held by each such stockholder and the number of shares of each class or classes or series held by such stockholder.</w:t>
      </w:r>
    </w:p>
    <w:p>
      <w:pPr>
        <w:spacing w:after="0" w:line="186" w:lineRule="exact"/>
        <w:rPr>
          <w:sz w:val="20"/>
          <w:szCs w:val="20"/>
          <w:color w:val="auto"/>
        </w:rPr>
      </w:pPr>
    </w:p>
    <w:p>
      <w:pPr>
        <w:ind w:firstLine="975"/>
        <w:spacing w:after="0" w:line="257" w:lineRule="auto"/>
        <w:tabs>
          <w:tab w:leader="none" w:pos="129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The Corporation shall at all times reserve and keep available out of its authorized but unissued shares of Class A Common Stock, solely for the purpose of effecting the conversion of the shares of Class B Common Stock, such number of shares of Class A Common Stock as shall from time to time be sufficient to effect the conversion of all outstanding shares of Class B Common Stock into shares of Class A Common Stock.</w:t>
      </w:r>
    </w:p>
    <w:p>
      <w:pPr>
        <w:spacing w:after="0" w:line="288" w:lineRule="exact"/>
        <w:rPr>
          <w:rFonts w:ascii="Times New Roman" w:cs="Times New Roman" w:eastAsia="Times New Roman" w:hAnsi="Times New Roman"/>
          <w:sz w:val="18"/>
          <w:szCs w:val="18"/>
          <w:color w:val="auto"/>
        </w:rPr>
      </w:pPr>
    </w:p>
    <w:p>
      <w:pPr>
        <w:ind w:left="1280" w:hanging="305"/>
        <w:spacing w:after="0"/>
        <w:tabs>
          <w:tab w:leader="none" w:pos="12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43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person that directly, or indirectly through one or more intermediaries, controls, or is controlled by, or is under common control with, another person.</w:t>
      </w:r>
    </w:p>
    <w:p>
      <w:pPr>
        <w:spacing w:after="0" w:line="163" w:lineRule="exact"/>
        <w:rPr>
          <w:sz w:val="20"/>
          <w:szCs w:val="20"/>
          <w:color w:val="auto"/>
        </w:rPr>
      </w:pPr>
    </w:p>
    <w:p>
      <w:pPr>
        <w:ind w:right="500" w:firstLine="436"/>
        <w:spacing w:after="0" w:line="30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Convertible Security</w:t>
      </w:r>
      <w:r>
        <w:rPr>
          <w:rFonts w:ascii="Times New Roman" w:cs="Times New Roman" w:eastAsia="Times New Roman" w:hAnsi="Times New Roman"/>
          <w:sz w:val="17"/>
          <w:szCs w:val="17"/>
          <w:color w:val="auto"/>
        </w:rPr>
        <w:t>” shall mean any evidences of indebtedness, shares of Preferred Stock or other securities (other than shares of Class B Common Stock) convertible into or exchangeable for shares of Class A Common Stock or Class B Common Stock, either directly or indirectly.</w:t>
      </w:r>
    </w:p>
    <w:p>
      <w:pPr>
        <w:spacing w:after="0" w:line="139" w:lineRule="exact"/>
        <w:rPr>
          <w:sz w:val="20"/>
          <w:szCs w:val="20"/>
          <w:color w:val="auto"/>
        </w:rPr>
      </w:pPr>
    </w:p>
    <w:p>
      <w:pPr>
        <w:ind w:right="60" w:firstLine="43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means with respect to any natural person who is a Qualified Stockholder (a) the spouse of such Qualified Stockholder, (b) the parents, grandparents, lineal descendants, siblings or lineal descendants of siblings of such Qualified Stockholder or (c) the parents, grandparents, lineal descendants, siblings or lineal descendants of siblings of the spouse of such Qualified Stockholder. Lineal descendants shall include adopted persons, but only so long as they are adopted while a minor.</w:t>
      </w:r>
    </w:p>
    <w:p>
      <w:pPr>
        <w:spacing w:after="0" w:line="182"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Healthcare Entity</w:t>
      </w:r>
      <w:r>
        <w:rPr>
          <w:rFonts w:ascii="Times New Roman" w:cs="Times New Roman" w:eastAsia="Times New Roman" w:hAnsi="Times New Roman"/>
          <w:sz w:val="18"/>
          <w:szCs w:val="18"/>
          <w:color w:val="auto"/>
        </w:rPr>
        <w:t>” means any person or entity engaged, directly or indirectly, in a business that operates in the healthcare industry and any plan, endowment, association or other person or entity operated or managed by or affiliated with a healthcare provider (including, without limitation, health systems or health plans); provided that for purposes hereof, a person or entity shall not be deemed to be a Healthcare Entity as a result of direct or indirect passive equity investment or if it is an investment fund affiliated with any party to the Stockholders Agreement (as defined herein) or advised by any affiliated investment advisor of such party.</w:t>
      </w:r>
    </w:p>
    <w:p>
      <w:pPr>
        <w:sectPr>
          <w:pgSz w:w="11900" w:h="16838" w:orient="portrait"/>
          <w:cols w:equalWidth="0" w:num="1">
            <w:col w:w="10880"/>
          </w:cols>
          <w:pgMar w:left="500" w:top="267" w:right="519" w:bottom="1440" w:gutter="0" w:footer="0" w:header="0"/>
        </w:sectPr>
      </w:pPr>
    </w:p>
    <w:bookmarkStart w:id="335" w:name="page336"/>
    <w:bookmarkEnd w:id="335"/>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IPO Date</w:t>
      </w:r>
      <w:r>
        <w:rPr>
          <w:rFonts w:ascii="Times New Roman" w:cs="Times New Roman" w:eastAsia="Times New Roman" w:hAnsi="Times New Roman"/>
          <w:sz w:val="18"/>
          <w:szCs w:val="18"/>
          <w:color w:val="auto"/>
        </w:rPr>
        <w:t>” means [ ● ], 2020.</w:t>
      </w:r>
    </w:p>
    <w:p>
      <w:pPr>
        <w:spacing w:after="0" w:line="220" w:lineRule="exact"/>
        <w:rPr>
          <w:sz w:val="20"/>
          <w:szCs w:val="20"/>
          <w:color w:val="auto"/>
        </w:rPr>
      </w:pPr>
    </w:p>
    <w:p>
      <w:pPr>
        <w:ind w:right="180" w:firstLine="43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shall mean rights, options, restricted stock units or warrants to subscribe for, purchase or otherwise acquire shares of Class A Common Stock, Class B Common Stock or Convertible Securities (as defined above).</w:t>
      </w:r>
    </w:p>
    <w:p>
      <w:pPr>
        <w:spacing w:after="0" w:line="163"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Entity</w:t>
      </w:r>
      <w:r>
        <w:rPr>
          <w:rFonts w:ascii="Times New Roman" w:cs="Times New Roman" w:eastAsia="Times New Roman" w:hAnsi="Times New Roman"/>
          <w:sz w:val="18"/>
          <w:szCs w:val="18"/>
          <w:color w:val="auto"/>
        </w:rPr>
        <w:t>” shall mean with respect to a Qualified Stockholder: (a) a Permitted Trust solely for the benefit of (1) such Qualified Stockholder, (2) one or more Family Members of such Qualified Stockholder, or (3) any other Permitted Entity of such Qualified Stockholder; or (b) any Affiliate of, or general partnership, limited partnership, limited liability company, corporation or other entity exclusively owned by, (1) such Qualified Stockholder, (2) one or more Family Members of such Qualified Stockholder, or (3) any other Permitted Entity of such Qualified Stockholder; provided that, as to any Qualified Stockholder that is not a natural person, “Permitted Entity” shall not include (A) any portfolio company of such Qualified Stockholder or (B) any Healthcare Entity.</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shall mean, and be restricted to, any Transfer of a share of Class B Common Stock:</w:t>
      </w:r>
    </w:p>
    <w:p>
      <w:pPr>
        <w:spacing w:after="0" w:line="220" w:lineRule="exact"/>
        <w:rPr>
          <w:sz w:val="20"/>
          <w:szCs w:val="20"/>
          <w:color w:val="auto"/>
        </w:rPr>
      </w:pPr>
    </w:p>
    <w:p>
      <w:pPr>
        <w:ind w:right="260" w:firstLine="975"/>
        <w:spacing w:after="0" w:line="262" w:lineRule="auto"/>
        <w:tabs>
          <w:tab w:leader="none" w:pos="119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Qualified Stockholder to (A) one or more Family Members of such Qualified Stockholder, (B) any Permitted Entity of such Qualified Stockholder, or (C) to such Qualified Stockholder’s revocable living trust, which revocable living trust is itself both a Permitted Trust and a Qualified Stockholder; or</w:t>
      </w:r>
    </w:p>
    <w:p>
      <w:pPr>
        <w:spacing w:after="0" w:line="177" w:lineRule="exact"/>
        <w:rPr>
          <w:rFonts w:ascii="Times New Roman" w:cs="Times New Roman" w:eastAsia="Times New Roman" w:hAnsi="Times New Roman"/>
          <w:sz w:val="18"/>
          <w:szCs w:val="18"/>
          <w:color w:val="auto"/>
        </w:rPr>
      </w:pPr>
    </w:p>
    <w:p>
      <w:pPr>
        <w:ind w:right="100" w:firstLine="975"/>
        <w:spacing w:after="0" w:line="277" w:lineRule="auto"/>
        <w:tabs>
          <w:tab w:leader="none" w:pos="1243"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Permitted Entity of a Qualified Stockholder to (A) such Qualified Stockholder or one or more Family Members of such Qualified Stockholder, or (B) any other Permitted Entity of such Qualified Stockholder.</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shall mean a transferee of shares of Class B Common Stock received in a Permitted Transfer.</w:t>
      </w:r>
    </w:p>
    <w:p>
      <w:pPr>
        <w:spacing w:after="0" w:line="220" w:lineRule="exact"/>
        <w:rPr>
          <w:sz w:val="20"/>
          <w:szCs w:val="20"/>
          <w:color w:val="auto"/>
        </w:rPr>
      </w:pPr>
    </w:p>
    <w:p>
      <w:pPr>
        <w:ind w:right="60" w:firstLine="43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Trust</w:t>
      </w:r>
      <w:r>
        <w:rPr>
          <w:rFonts w:ascii="Times New Roman" w:cs="Times New Roman" w:eastAsia="Times New Roman" w:hAnsi="Times New Roman"/>
          <w:sz w:val="18"/>
          <w:szCs w:val="18"/>
          <w:color w:val="auto"/>
        </w:rPr>
        <w:t>” shall mean a bona fide trust where each trustee is (i) a Qualified Stockholder, (ii) a Family Member, or (iii) a professional in the business of providing trustee services, including private professional fiduciaries, trust companies and bank trust departments.</w:t>
      </w:r>
    </w:p>
    <w:p>
      <w:pPr>
        <w:spacing w:after="0" w:line="163" w:lineRule="exact"/>
        <w:rPr>
          <w:sz w:val="20"/>
          <w:szCs w:val="20"/>
          <w:color w:val="auto"/>
        </w:rPr>
      </w:pPr>
    </w:p>
    <w:p>
      <w:pPr>
        <w:ind w:right="120"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Stockholder</w:t>
      </w:r>
      <w:r>
        <w:rPr>
          <w:rFonts w:ascii="Times New Roman" w:cs="Times New Roman" w:eastAsia="Times New Roman" w:hAnsi="Times New Roman"/>
          <w:sz w:val="18"/>
          <w:szCs w:val="18"/>
          <w:color w:val="auto"/>
        </w:rPr>
        <w:t>” shall mean: (a) the record holder of a share of Class B Common Stock as of the IPO Date; (b) the initial record holder of any shares of Class B Common Stock that are originally issued by the Corporation after the IPO Date pursuant to the exercise or conversion of any Option or Convertible Security that, in each case, was outstanding as of the IPO Date; (c) each natural person who, prior to the IPO Date, Transferred shares of capital stock of the Corporation to a Permitted Entity that is or becomes a Qualified Stockholder; (d) each natural person who Transferred shares of, or equity awards for, Class B Common Stock (including any Option exercisable or Convertible Security exchangeable for or convertible into shares of Class B Common Stock) to a Permitted Entity that is or becomes a Qualified Stockholder; and (e) a Permitted Transferee.</w:t>
      </w:r>
    </w:p>
    <w:p>
      <w:pPr>
        <w:spacing w:after="0" w:line="187" w:lineRule="exact"/>
        <w:rPr>
          <w:sz w:val="20"/>
          <w:szCs w:val="20"/>
          <w:color w:val="auto"/>
        </w:rPr>
      </w:pPr>
    </w:p>
    <w:p>
      <w:pPr>
        <w:ind w:right="680" w:firstLine="43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of a share of Class B Common Stock shall mean any sale, assignment, transfer, conveyance, hypothecation or other transfer or disposition of such share or any legal or</w:t>
      </w:r>
    </w:p>
    <w:p>
      <w:pPr>
        <w:sectPr>
          <w:pgSz w:w="11900" w:h="16838" w:orient="portrait"/>
          <w:cols w:equalWidth="0" w:num="1">
            <w:col w:w="10900"/>
          </w:cols>
          <w:pgMar w:left="500" w:top="268" w:right="499" w:bottom="1440" w:gutter="0" w:footer="0" w:header="0"/>
        </w:sectPr>
      </w:pPr>
    </w:p>
    <w:bookmarkStart w:id="336" w:name="page337"/>
    <w:bookmarkEnd w:id="336"/>
    <w:p>
      <w:pPr>
        <w:ind w:right="2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over such share by proxy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following shall not be considered a “Transfer” within the meaning of this Section 9 of Article V:</w:t>
      </w:r>
    </w:p>
    <w:p>
      <w:pPr>
        <w:spacing w:after="0" w:line="182" w:lineRule="exact"/>
        <w:rPr>
          <w:sz w:val="20"/>
          <w:szCs w:val="20"/>
          <w:color w:val="auto"/>
        </w:rPr>
      </w:pPr>
    </w:p>
    <w:p>
      <w:pPr>
        <w:ind w:right="140" w:firstLine="975"/>
        <w:spacing w:after="0" w:line="277" w:lineRule="auto"/>
        <w:tabs>
          <w:tab w:leader="none" w:pos="119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a revocable proxy to officers or directors of the Corporation at the request of the Board of Directors in connection with actions to be taken at an annual or special meeting of stockholders;</w:t>
      </w:r>
    </w:p>
    <w:p>
      <w:pPr>
        <w:spacing w:after="0" w:line="163" w:lineRule="exact"/>
        <w:rPr>
          <w:rFonts w:ascii="Times New Roman" w:cs="Times New Roman" w:eastAsia="Times New Roman" w:hAnsi="Times New Roman"/>
          <w:sz w:val="18"/>
          <w:szCs w:val="18"/>
          <w:color w:val="auto"/>
        </w:rPr>
      </w:pPr>
    </w:p>
    <w:p>
      <w:pPr>
        <w:jc w:val="both"/>
        <w:ind w:firstLine="975"/>
        <w:spacing w:after="0" w:line="257" w:lineRule="auto"/>
        <w:tabs>
          <w:tab w:leader="none" w:pos="124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voting trust, agreement or arrangement (with or without granting a proxy) solely with stockholders who are holders of Class B Common Stock, which voting trust, agreement or arrangement does not involve any payment of cash, securities or other property to the holder of the shares subject thereto other than the mutual promise to vote shares in a designated manner; for the avoidance of doubt, any voting trust, agreement or arrangement entered into prior to the IPO Date shall not constitute a Transfer;</w:t>
      </w:r>
    </w:p>
    <w:p>
      <w:pPr>
        <w:spacing w:after="0" w:line="182" w:lineRule="exact"/>
        <w:rPr>
          <w:rFonts w:ascii="Times New Roman" w:cs="Times New Roman" w:eastAsia="Times New Roman" w:hAnsi="Times New Roman"/>
          <w:sz w:val="18"/>
          <w:szCs w:val="18"/>
          <w:color w:val="auto"/>
        </w:rPr>
      </w:pPr>
    </w:p>
    <w:p>
      <w:pPr>
        <w:ind w:right="40" w:firstLine="975"/>
        <w:spacing w:after="0" w:line="277" w:lineRule="auto"/>
        <w:tabs>
          <w:tab w:leader="none" w:pos="129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voting trust, agreement or arrangement (with or without granting a proxy) pursuant to a written agreement to which the Corporation is a party;</w:t>
      </w:r>
    </w:p>
    <w:p>
      <w:pPr>
        <w:spacing w:after="0" w:line="163" w:lineRule="exact"/>
        <w:rPr>
          <w:rFonts w:ascii="Times New Roman" w:cs="Times New Roman" w:eastAsia="Times New Roman" w:hAnsi="Times New Roman"/>
          <w:sz w:val="18"/>
          <w:szCs w:val="18"/>
          <w:color w:val="auto"/>
        </w:rPr>
      </w:pPr>
    </w:p>
    <w:p>
      <w:pPr>
        <w:jc w:val="both"/>
        <w:ind w:right="80" w:firstLine="975"/>
        <w:spacing w:after="0" w:line="257" w:lineRule="auto"/>
        <w:tabs>
          <w:tab w:leader="none" w:pos="128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pledge of shares of Class B Common Stock by a stockholder that creates a mere security interest in such shares pursuant to a bona fide loan or indebtedness transaction for so long as such stockholder continues to exercise Voting Control over such pledged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foreclosure on such shares or other similar action by the pledgee shall constitute a Transfer unless such foreclosure or similar action otherwise qualifies as a Permitted Transfer;</w:t>
      </w:r>
    </w:p>
    <w:p>
      <w:pPr>
        <w:spacing w:after="0" w:line="182" w:lineRule="exact"/>
        <w:rPr>
          <w:rFonts w:ascii="Times New Roman" w:cs="Times New Roman" w:eastAsia="Times New Roman" w:hAnsi="Times New Roman"/>
          <w:sz w:val="18"/>
          <w:szCs w:val="18"/>
          <w:color w:val="auto"/>
        </w:rPr>
      </w:pPr>
    </w:p>
    <w:p>
      <w:pPr>
        <w:ind w:right="40" w:firstLine="975"/>
        <w:spacing w:after="0" w:line="253" w:lineRule="auto"/>
        <w:tabs>
          <w:tab w:leader="none" w:pos="123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as of the IPO Date or at any time after the IPO Date, the spouse of any holder of Class B Common Stock possesses or obtains an interest in such holder’s shares of Class B Common Stock arising solely by reason of the application of the community property laws of any jurisdiction, so long as no other event or circumstance shall exist or have occurred that constitutes a Transfer of such shares of Class B Common Stock; provided that any transfer of shares by any holder of shares of Class B Common Stock to such holder’s spouse, including a transfer in connection with a divorce proceeding, domestic relations order or similar legal requirement, shall constitute a “Transfer” of such shares of Class B Common Stock unless otherwise exempt from the definition of Transfer;</w:t>
      </w:r>
    </w:p>
    <w:p>
      <w:pPr>
        <w:spacing w:after="0" w:line="186" w:lineRule="exact"/>
        <w:rPr>
          <w:rFonts w:ascii="Times New Roman" w:cs="Times New Roman" w:eastAsia="Times New Roman" w:hAnsi="Times New Roman"/>
          <w:sz w:val="18"/>
          <w:szCs w:val="18"/>
          <w:color w:val="auto"/>
        </w:rPr>
      </w:pPr>
    </w:p>
    <w:p>
      <w:pPr>
        <w:ind w:right="240" w:firstLine="975"/>
        <w:spacing w:after="0" w:line="262" w:lineRule="auto"/>
        <w:tabs>
          <w:tab w:leader="none" w:pos="128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trading plan pursuant to Rule 10b5-1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with a broker or other nominee;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sale of such shares of Class B Common Stock pursuant to such plan shall constitute a “Transfer” at the time of such sale; and</w:t>
      </w:r>
    </w:p>
    <w:p>
      <w:pPr>
        <w:spacing w:after="0" w:line="177" w:lineRule="exact"/>
        <w:rPr>
          <w:rFonts w:ascii="Times New Roman" w:cs="Times New Roman" w:eastAsia="Times New Roman" w:hAnsi="Times New Roman"/>
          <w:sz w:val="18"/>
          <w:szCs w:val="18"/>
          <w:color w:val="auto"/>
        </w:rPr>
      </w:pPr>
    </w:p>
    <w:p>
      <w:pPr>
        <w:ind w:right="220" w:firstLine="975"/>
        <w:spacing w:after="0" w:line="262" w:lineRule="auto"/>
        <w:tabs>
          <w:tab w:leader="none" w:pos="133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merger or consolidation of the Corporation with or into any other entity, or in the case of any other transaction having an effect on stockholders substantially similar to that resulting from a merger or consolidation, such as the sale, lease, exchange, or other disposition (other than liens and encumbrances created in the ordinary course</w:t>
      </w:r>
    </w:p>
    <w:p>
      <w:pPr>
        <w:sectPr>
          <w:pgSz w:w="11900" w:h="16838" w:orient="portrait"/>
          <w:cols w:equalWidth="0" w:num="1">
            <w:col w:w="10880"/>
          </w:cols>
          <w:pgMar w:left="500" w:top="268" w:right="519" w:bottom="1440" w:gutter="0" w:footer="0" w:header="0"/>
        </w:sectPr>
      </w:pPr>
    </w:p>
    <w:bookmarkStart w:id="337" w:name="page338"/>
    <w:bookmarkEnd w:id="337"/>
    <w:p>
      <w:pPr>
        <w:ind w:right="20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of business, including liens or encumbrances to secure indebtedness for borrowed money that are approved by the Board, so long as no foreclosure occurs in respect of any such lien or encumbrance) of all or substantially all of the Corporation’s property and assets, that has been approved by the Board of Directors, the entering into a support, voting, tender or similar agreement or arrangement (in each case, with or without the grant of a proxy) that has also been approved by the Board of Directors.</w:t>
      </w:r>
    </w:p>
    <w:p>
      <w:pPr>
        <w:spacing w:after="0" w:line="182" w:lineRule="exact"/>
        <w:rPr>
          <w:sz w:val="20"/>
          <w:szCs w:val="20"/>
          <w:color w:val="auto"/>
        </w:rPr>
      </w:pPr>
    </w:p>
    <w:p>
      <w:pPr>
        <w:ind w:firstLine="43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Control</w:t>
      </w:r>
      <w:r>
        <w:rPr>
          <w:rFonts w:ascii="Times New Roman" w:cs="Times New Roman" w:eastAsia="Times New Roman" w:hAnsi="Times New Roman"/>
          <w:sz w:val="18"/>
          <w:szCs w:val="18"/>
          <w:color w:val="auto"/>
        </w:rPr>
        <w:t>” means, with respect to a share of Class B Common Stock, the power (whether exclusive or shared) to vote or direct the voting of such share by proxy, voting agreement or otherwise.</w:t>
      </w:r>
    </w:p>
    <w:p>
      <w:pPr>
        <w:spacing w:after="0" w:line="2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320" w:firstLine="436"/>
        <w:spacing w:after="0" w:line="257" w:lineRule="auto"/>
        <w:rPr>
          <w:sz w:val="20"/>
          <w:szCs w:val="20"/>
          <w:color w:val="auto"/>
        </w:rPr>
      </w:pPr>
      <w:r>
        <w:rPr>
          <w:rFonts w:ascii="Times New Roman" w:cs="Times New Roman" w:eastAsia="Times New Roman" w:hAnsi="Times New Roman"/>
          <w:sz w:val="18"/>
          <w:szCs w:val="18"/>
          <w:color w:val="auto"/>
        </w:rPr>
        <w:t>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 Any shares of Preferred Stock which may be redeemed, purchased or acquired by the Corporation may be reissued except as otherwise provided by law.</w:t>
      </w:r>
    </w:p>
    <w:p>
      <w:pPr>
        <w:spacing w:after="0" w:line="182"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Certificate of Incorporation (including any Certificate of Designation).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Corporation it is further provided that:</w:t>
      </w:r>
    </w:p>
    <w:p>
      <w:pPr>
        <w:spacing w:after="0" w:line="220" w:lineRule="exact"/>
        <w:rPr>
          <w:sz w:val="20"/>
          <w:szCs w:val="20"/>
          <w:color w:val="auto"/>
        </w:rPr>
      </w:pPr>
    </w:p>
    <w:p>
      <w:pPr>
        <w:ind w:right="320" w:firstLine="430"/>
        <w:spacing w:after="0" w:line="277" w:lineRule="auto"/>
        <w:tabs>
          <w:tab w:leader="none" w:pos="787"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Except as otherwise expressly provided by the DGCL or this Certificate of Incorporation, the business and affairs of the Corporation shall be managed by or under the direction of the Board of Directors.</w:t>
      </w:r>
    </w:p>
    <w:p>
      <w:pPr>
        <w:spacing w:after="0" w:line="163" w:lineRule="exact"/>
        <w:rPr>
          <w:rFonts w:ascii="Times New Roman" w:cs="Times New Roman" w:eastAsia="Times New Roman" w:hAnsi="Times New Roman"/>
          <w:sz w:val="18"/>
          <w:szCs w:val="18"/>
          <w:color w:val="auto"/>
        </w:rPr>
      </w:pPr>
    </w:p>
    <w:p>
      <w:pPr>
        <w:ind w:right="100" w:firstLine="430"/>
        <w:spacing w:after="0" w:line="255" w:lineRule="auto"/>
        <w:tabs>
          <w:tab w:leader="none" w:pos="777"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 Election of Directors</w:t>
      </w:r>
      <w:r>
        <w:rPr>
          <w:rFonts w:ascii="Times New Roman" w:cs="Times New Roman" w:eastAsia="Times New Roman" w:hAnsi="Times New Roman"/>
          <w:sz w:val="18"/>
          <w:szCs w:val="18"/>
          <w:color w:val="auto"/>
        </w:rPr>
        <w:t>. Subject to the rights of the holders of any series of Preferred Stock to elect directors and subject to the terms of the Stockholders Agreement, dated [ ● ], 2020, by and among the Corporation and certain stockholders of the Corporation from time to time party thereto (as the same may be amended, restated, supplemented and/or otherwise modified from time to time in accordance with its terms,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the number of directors which shall constitute the whole Board of Directors shall be fixed exclusively by one or more resolutions adopted from time to time by the Board of Directors.</w:t>
      </w:r>
    </w:p>
    <w:p>
      <w:pPr>
        <w:sectPr>
          <w:pgSz w:w="11900" w:h="16838" w:orient="portrait"/>
          <w:cols w:equalWidth="0" w:num="1">
            <w:col w:w="10860"/>
          </w:cols>
          <w:pgMar w:left="500" w:top="268" w:right="539" w:bottom="1440" w:gutter="0" w:footer="0" w:header="0"/>
        </w:sectPr>
      </w:pPr>
    </w:p>
    <w:bookmarkStart w:id="338" w:name="page339"/>
    <w:bookmarkEnd w:id="338"/>
    <w:p>
      <w:pPr>
        <w:ind w:left="-430" w:right="20" w:firstLine="430"/>
        <w:spacing w:after="0" w:line="250" w:lineRule="auto"/>
        <w:tabs>
          <w:tab w:leader="none" w:pos="34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Classes of Directors</w:t>
      </w:r>
      <w:r>
        <w:rPr>
          <w:rFonts w:ascii="Times New Roman" w:cs="Times New Roman" w:eastAsia="Times New Roman" w:hAnsi="Times New Roman"/>
          <w:sz w:val="18"/>
          <w:szCs w:val="18"/>
          <w:color w:val="auto"/>
        </w:rPr>
        <w:t>. Subject to the rights of the holders of any series of Preferred Stock to elect directors, the directors of the Corporation shall be classified with respect to the time for which they severally hold office into three classes, designated as Class I, Class II and Class III. Each class shall consist, as nearly as possible, of one-third of the total number of such directors. The initial Class I directors shall serve for a term expiring at the first annual meeting of the stockholders following the time at which the initial classification of the Board of Directors becomes effective; the initial Class II directors shall serve for a term expiring at the second annual meeting of the stockholders following the time at which the initial classification of the Board of Directors becomes effective; and the initial Class III directors shall serve for a term expiring at the third annual meeting following the time at which the initial classification of the Board of Directors becomes effective. At each annual meeting of stockholders of the Corporation following the time at which the initial classification of the Board of Directors becomes effective, the successors of the class of directors whose term expires at that meeting shall be elected to hold office for a term expiring at the annual meeting of stockholders held in the third year following the year of their election. The Board of Directors is authorized to assign members of the Board of Directors already in office to a class at the time such classification becomes effective.</w:t>
      </w:r>
    </w:p>
    <w:p>
      <w:pPr>
        <w:spacing w:after="0" w:line="193" w:lineRule="exact"/>
        <w:rPr>
          <w:rFonts w:ascii="Times New Roman" w:cs="Times New Roman" w:eastAsia="Times New Roman" w:hAnsi="Times New Roman"/>
          <w:sz w:val="18"/>
          <w:szCs w:val="18"/>
          <w:color w:val="auto"/>
        </w:rPr>
      </w:pPr>
    </w:p>
    <w:p>
      <w:pPr>
        <w:ind w:left="-430" w:firstLine="430"/>
        <w:spacing w:after="0" w:line="250" w:lineRule="auto"/>
        <w:tabs>
          <w:tab w:leader="none" w:pos="357"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Removal</w:t>
      </w:r>
      <w:r>
        <w:rPr>
          <w:rFonts w:ascii="Times New Roman" w:cs="Times New Roman" w:eastAsia="Times New Roman" w:hAnsi="Times New Roman"/>
          <w:sz w:val="18"/>
          <w:szCs w:val="18"/>
          <w:color w:val="auto"/>
        </w:rPr>
        <w:t xml:space="preserve">. Subject to the rights of the holders of any series of Preferred Stock to elect directors and the rights granted pursuant to the Stockholders Agreement, each director shall hold office until the annual meeting at which such director’s term expires and until his or her successor is duly elected and qualified, or until his or her earlier death, resignation, disqualification or removal. No decrease in the number of directors shall shorten the term of any incumbent director. Subject to the rights of the holders of any series of Preferred Stock to elect directors, the Board of Directors or any individual director may be removed from office at any time either with or without cause by the affirmative vote of the holders of capital stock representing a majority of the voting power of all of the then outstanding shares of capital stock of the Corporation entitled to vote thereon, voting together as a single class;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at any time when the holders of Class B Common Stock beneficially own, in the aggregate, less than the majority of the voting power of all of the then outstanding shares of capital stock of the Corporation entitled to vote generally in the election of directors, the Board of Directors or any individual director may be removed from office only for cause and only by the affirmative vote of the holders of capital stock representing a majority of the voting power of all of the then outstanding shares of capital stock of the Corporation entitled to vote thereon, voting together as a single class.</w:t>
      </w:r>
    </w:p>
    <w:p>
      <w:pPr>
        <w:spacing w:after="0" w:line="193" w:lineRule="exact"/>
        <w:rPr>
          <w:rFonts w:ascii="Times New Roman" w:cs="Times New Roman" w:eastAsia="Times New Roman" w:hAnsi="Times New Roman"/>
          <w:sz w:val="18"/>
          <w:szCs w:val="18"/>
          <w:color w:val="auto"/>
        </w:rPr>
      </w:pPr>
    </w:p>
    <w:p>
      <w:pPr>
        <w:ind w:left="-430" w:right="40" w:firstLine="430"/>
        <w:spacing w:after="0" w:line="253" w:lineRule="auto"/>
        <w:tabs>
          <w:tab w:leader="none" w:pos="337"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 and Newly Created Directorships</w:t>
      </w:r>
      <w:r>
        <w:rPr>
          <w:rFonts w:ascii="Times New Roman" w:cs="Times New Roman" w:eastAsia="Times New Roman" w:hAnsi="Times New Roman"/>
          <w:sz w:val="18"/>
          <w:szCs w:val="18"/>
          <w:color w:val="auto"/>
        </w:rPr>
        <w:t>. Subject to the rights of the holders of any series of Preferred Stock to elect directors and the rights granted pursuant to the Stockholders Agreement, any newly created directorship that results from an increase in the number of directors or any vacancy on the Board of Directors that results from the death, disability, resignation, disqualification or removal of any director or from any other cause shall be filled solely by the affirmative vote of a majority of the total number of directors then in office, even if less than a quorum, or by a sole remaining director, and shall not be filled by the stockholders unless the Board of Directors determines by resolution that any such vacancy or newly created directorship shall be filled by the stockholders. Any director elected to fill a newly</w:t>
      </w:r>
    </w:p>
    <w:p>
      <w:pPr>
        <w:sectPr>
          <w:pgSz w:w="11900" w:h="16838" w:orient="portrait"/>
          <w:cols w:equalWidth="0" w:num="1">
            <w:col w:w="10410"/>
          </w:cols>
          <w:pgMar w:left="930" w:top="268" w:right="559" w:bottom="1440" w:gutter="0" w:footer="0" w:header="0"/>
        </w:sectPr>
      </w:pPr>
    </w:p>
    <w:bookmarkStart w:id="339" w:name="page340"/>
    <w:bookmarkEnd w:id="339"/>
    <w:p>
      <w:pPr>
        <w:ind w:right="2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created directorship or vacancy in accordance with the preceding sentence shall hold office until the next annual meeting of stockholders held to elect the class of directors to which such director is elected and until his or her successor is duly elected and qualified or until his or her earlier death, resignation, retirement, disqualification, or removal.</w:t>
      </w:r>
    </w:p>
    <w:p>
      <w:pPr>
        <w:spacing w:after="0" w:line="177" w:lineRule="exact"/>
        <w:rPr>
          <w:sz w:val="20"/>
          <w:szCs w:val="20"/>
          <w:color w:val="auto"/>
        </w:rPr>
      </w:pPr>
    </w:p>
    <w:p>
      <w:pPr>
        <w:ind w:firstLine="430"/>
        <w:spacing w:after="0" w:line="249" w:lineRule="auto"/>
        <w:tabs>
          <w:tab w:leader="none" w:pos="74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 Directors</w:t>
      </w:r>
      <w:r>
        <w:rPr>
          <w:rFonts w:ascii="Times New Roman" w:cs="Times New Roman" w:eastAsia="Times New Roman" w:hAnsi="Times New Roman"/>
          <w:sz w:val="18"/>
          <w:szCs w:val="18"/>
          <w:color w:val="auto"/>
        </w:rPr>
        <w:t>. Whenever the holders of any series of Preferred Stock issued by the Corporation shall have the right as provided for herein (including any Certificate of Designation), voting separately as a series or separately as a class with one or more such other series, to elect directors, the election, term of office, removal and other features of such directorships shall be governed by the terms of this Certificate of Incorporation (including any Certificate of Designation). Notwithstanding anything to the contrary in this Article VI, during the period when the holders of any series of Preferred Stock issued by the Corporation shall have the right to elect additional directors, the number of directors to be elected by the holders of any such series of Preferred Stock shall be in addition to the number fixed pursuant to paragraph B of this Article VI, and the total number of directors constituting the whole Board of Directors shall be automatically increased by such number of directors to be elected by the holders of any such series of Preferred Stock and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in the Certificate of Designation(s) in respect of any series of Preferred Stock, whenever the holders of any series of Preferred Stock having such right to elect additional directors are divested of such right pursuant to the provisions of this Certificate of Incorporation (including any Certificate of Designation),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98" w:lineRule="exact"/>
        <w:rPr>
          <w:rFonts w:ascii="Times New Roman" w:cs="Times New Roman" w:eastAsia="Times New Roman" w:hAnsi="Times New Roman"/>
          <w:sz w:val="18"/>
          <w:szCs w:val="18"/>
          <w:color w:val="auto"/>
        </w:rPr>
      </w:pPr>
    </w:p>
    <w:p>
      <w:pPr>
        <w:ind w:left="780" w:hanging="350"/>
        <w:spacing w:after="0"/>
        <w:tabs>
          <w:tab w:leader="none" w:pos="7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Vote by Ballot</w:t>
      </w:r>
      <w:r>
        <w:rPr>
          <w:rFonts w:ascii="Times New Roman" w:cs="Times New Roman" w:eastAsia="Times New Roman" w:hAnsi="Times New Roman"/>
          <w:sz w:val="18"/>
          <w:szCs w:val="18"/>
          <w:color w:val="auto"/>
        </w:rPr>
        <w:t>. The directors of the Corporation need not be elected by written ballot unless the Bylaws so provide.</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4" w:lineRule="exact"/>
        <w:rPr>
          <w:sz w:val="20"/>
          <w:szCs w:val="20"/>
          <w:color w:val="auto"/>
        </w:rPr>
      </w:pPr>
    </w:p>
    <w:p>
      <w:pPr>
        <w:ind w:right="20" w:firstLine="430"/>
        <w:spacing w:after="0" w:line="252" w:lineRule="auto"/>
        <w:tabs>
          <w:tab w:leader="none" w:pos="787"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of Stockholders In Lieu of Meeting</w:t>
      </w:r>
      <w:r>
        <w:rPr>
          <w:rFonts w:ascii="Times New Roman" w:cs="Times New Roman" w:eastAsia="Times New Roman" w:hAnsi="Times New Roman"/>
          <w:sz w:val="18"/>
          <w:szCs w:val="18"/>
          <w:color w:val="auto"/>
        </w:rPr>
        <w:t>. Subject to the rights of the holders of any series of Preferred Stock, at any time when the holders of Class B Common Stock beneficially own, in the aggregate, at least a majority of the voting power of all of the then outstanding shares of capital stock of the Corporation, any action required or permitted to be taken by the stockholders of the Corporation may be taken without a meeting, without prior notice and without a vote, if a consent or consents, setting forth the action so taken, are (1) signed by the holders of outstanding shares of the relevant class(es) or series of stock of the Corporation representing not less than the minimum number of votes that would be necessary to authorize or take such action at a meeting at which all shares of stock of the Corporation then issued and outstanding (other than treasury stock) entitled to vote thereon were present and voted, and (2) delivered to the Corporation in accordance with applicable law. Subject to the rights of the holders of any series of Preferred Stock, at any time when the holders of Class B</w:t>
      </w:r>
    </w:p>
    <w:p>
      <w:pPr>
        <w:sectPr>
          <w:pgSz w:w="11900" w:h="16838" w:orient="portrait"/>
          <w:cols w:equalWidth="0" w:num="1">
            <w:col w:w="10840"/>
          </w:cols>
          <w:pgMar w:left="500" w:top="268" w:right="559" w:bottom="1440" w:gutter="0" w:footer="0" w:header="0"/>
        </w:sectPr>
      </w:pPr>
    </w:p>
    <w:bookmarkStart w:id="340" w:name="page341"/>
    <w:bookmarkEnd w:id="340"/>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Common Stock beneficially own, in the aggregate, less than the majority of the voting power of all of the then outstanding shares of capital stock of the Corporation, any action required or permitted to be taken by the stockholders of the Corporation must be effected at an annual or special meeting of the stockholders of the Corporation, and shall not be taken by consent in lieu of a meeting.</w:t>
      </w:r>
    </w:p>
    <w:p>
      <w:pPr>
        <w:spacing w:after="0" w:line="177" w:lineRule="exact"/>
        <w:rPr>
          <w:sz w:val="20"/>
          <w:szCs w:val="20"/>
          <w:color w:val="auto"/>
        </w:rPr>
      </w:pPr>
    </w:p>
    <w:p>
      <w:pPr>
        <w:jc w:val="both"/>
        <w:ind w:firstLine="430"/>
        <w:spacing w:after="0" w:line="257" w:lineRule="auto"/>
        <w:tabs>
          <w:tab w:leader="none" w:pos="777"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Special meetings of the stockholders of the Corporation may be called, for any purpose or purposes, at any time only by or at the direction of (i) the Chairperson of the Board of Directors (if any), (ii) the Chief Executive Officer or a Co-Chief Executive Officer or (iii) the Board of Directors pursuant to a resolution adopted by a majority of the Board of Directors, and shall not be called by any other person or persons.</w:t>
      </w:r>
    </w:p>
    <w:p>
      <w:pPr>
        <w:spacing w:after="0" w:line="182" w:lineRule="exact"/>
        <w:rPr>
          <w:sz w:val="20"/>
          <w:szCs w:val="20"/>
          <w:color w:val="auto"/>
        </w:rPr>
      </w:pPr>
    </w:p>
    <w:p>
      <w:pPr>
        <w:ind w:right="200" w:firstLine="430"/>
        <w:spacing w:after="0" w:line="308" w:lineRule="auto"/>
        <w:tabs>
          <w:tab w:leader="none" w:pos="787"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 Nominations and Introduction of Business, Etc</w:t>
      </w:r>
      <w:r>
        <w:rPr>
          <w:rFonts w:ascii="Times New Roman" w:cs="Times New Roman" w:eastAsia="Times New Roman" w:hAnsi="Times New Roman"/>
          <w:sz w:val="17"/>
          <w:szCs w:val="17"/>
          <w:color w:val="auto"/>
        </w:rPr>
        <w:t>. Advance notice of stockholder nominations for election of directors and other business to be brought by stockholders before a meeting of stockholders shall be given in the manner provided by the Bylaws of the Corporation.</w:t>
      </w: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4" w:lineRule="exact"/>
        <w:rPr>
          <w:sz w:val="20"/>
          <w:szCs w:val="20"/>
          <w:color w:val="auto"/>
        </w:rPr>
      </w:pPr>
    </w:p>
    <w:p>
      <w:pPr>
        <w:ind w:right="20" w:firstLine="436"/>
        <w:spacing w:after="0" w:line="252" w:lineRule="auto"/>
        <w:rPr>
          <w:sz w:val="20"/>
          <w:szCs w:val="20"/>
          <w:color w:val="auto"/>
        </w:rPr>
      </w:pPr>
      <w:r>
        <w:rPr>
          <w:rFonts w:ascii="Times New Roman" w:cs="Times New Roman" w:eastAsia="Times New Roman" w:hAnsi="Times New Roman"/>
          <w:sz w:val="18"/>
          <w:szCs w:val="18"/>
          <w:color w:val="auto"/>
        </w:rPr>
        <w:t>No director of the Corporation shall have any personal liability to the Corporation or its stockholders for monetary damages for any breach of fiduciary duty as a director, except to the extent such exemption from liability or limitation thereof is not permitted under the DGCL as the same exists or hereafter may be amended. Any amendment, repeal or modification of this Article VIII, or the adoption of any provision of the Certificate of Incorporation inconsistent with this Article VIII, shall not adversely affect any right or protection of a director of the Corporation with respect to any act or omission occurring prior to such amendment, repeal, modification or adoption. If the DGCL is amended after approval by the stockholders of this Article VIII to authorize corporate action further eliminating or limiting the personal liability of directors, then the liability of a director of the Corporation shall be eliminated or limited to the fullest extent permitted by the DGCL as so amended.</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4" w:lineRule="exact"/>
        <w:rPr>
          <w:sz w:val="20"/>
          <w:szCs w:val="20"/>
          <w:color w:val="auto"/>
        </w:rPr>
      </w:pPr>
    </w:p>
    <w:p>
      <w:pPr>
        <w:ind w:right="280" w:firstLine="436"/>
        <w:spacing w:after="0" w:line="262" w:lineRule="auto"/>
        <w:rPr>
          <w:sz w:val="20"/>
          <w:szCs w:val="20"/>
          <w:color w:val="auto"/>
        </w:rPr>
      </w:pPr>
      <w:r>
        <w:rPr>
          <w:rFonts w:ascii="Times New Roman" w:cs="Times New Roman" w:eastAsia="Times New Roman" w:hAnsi="Times New Roman"/>
          <w:sz w:val="18"/>
          <w:szCs w:val="18"/>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4" w:lineRule="exact"/>
        <w:rPr>
          <w:sz w:val="20"/>
          <w:szCs w:val="20"/>
          <w:color w:val="auto"/>
        </w:rPr>
      </w:pPr>
    </w:p>
    <w:p>
      <w:pPr>
        <w:ind w:firstLine="436"/>
        <w:spacing w:after="0" w:line="273" w:lineRule="auto"/>
        <w:rPr>
          <w:sz w:val="20"/>
          <w:szCs w:val="20"/>
          <w:color w:val="auto"/>
        </w:rPr>
      </w:pPr>
      <w:r>
        <w:rPr>
          <w:rFonts w:ascii="Times New Roman" w:cs="Times New Roman" w:eastAsia="Times New Roman" w:hAnsi="Times New Roman"/>
          <w:sz w:val="17"/>
          <w:szCs w:val="17"/>
          <w:color w:val="auto"/>
        </w:rPr>
        <w:t>Unless the Corporation consents in writing to the selection of an alternative forum, (a) (i) any derivative action or proceeding brought on behalf of the Corporation, (ii) any action asserting a claim of breach of a fiduciary duty owed by any current or former director, officer, other employee or stockholder of the Company to the Company or the Company’s stockholders (iii) any action asserting a claim arising pursuant to any provision of the DGCL, this Certificate of Incorporation, the Bylaws or as to which the DGCL confers exclusive jurisdiction on the Court of Chancery of the State of Delaware (the “</w:t>
      </w:r>
      <w:r>
        <w:rPr>
          <w:rFonts w:ascii="Times New Roman" w:cs="Times New Roman" w:eastAsia="Times New Roman" w:hAnsi="Times New Roman"/>
          <w:sz w:val="17"/>
          <w:szCs w:val="17"/>
          <w:u w:val="single" w:color="auto"/>
          <w:color w:val="auto"/>
        </w:rPr>
        <w:t>Court of Chancery</w:t>
      </w:r>
      <w:r>
        <w:rPr>
          <w:rFonts w:ascii="Times New Roman" w:cs="Times New Roman" w:eastAsia="Times New Roman" w:hAnsi="Times New Roman"/>
          <w:sz w:val="17"/>
          <w:szCs w:val="17"/>
          <w:color w:val="auto"/>
        </w:rPr>
        <w:t>”), or (iv) any action asserting a claim governed by the internal affairs doctrine, be exclusively brought in the Court of</w:t>
      </w:r>
    </w:p>
    <w:p>
      <w:pPr>
        <w:sectPr>
          <w:pgSz w:w="11900" w:h="16838" w:orient="portrait"/>
          <w:cols w:equalWidth="0" w:num="1">
            <w:col w:w="10860"/>
          </w:cols>
          <w:pgMar w:left="500" w:top="268" w:right="539" w:bottom="1440" w:gutter="0" w:footer="0" w:header="0"/>
        </w:sectPr>
      </w:pPr>
    </w:p>
    <w:bookmarkStart w:id="341" w:name="page342"/>
    <w:bookmarkEnd w:id="341"/>
    <w:p>
      <w:pPr>
        <w:ind w:left="6"/>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Chancery of the State of Delaware or, if such court does not have subject matter jurisdiction thereof, the federal district court of the State of Delaware; and (b) the federal district courts of the United States (the “</w:t>
      </w:r>
      <w:r>
        <w:rPr>
          <w:rFonts w:ascii="Times New Roman" w:cs="Times New Roman" w:eastAsia="Times New Roman" w:hAnsi="Times New Roman"/>
          <w:sz w:val="17"/>
          <w:szCs w:val="17"/>
          <w:u w:val="single" w:color="auto"/>
          <w:color w:val="auto"/>
        </w:rPr>
        <w:t>Federal Courts</w:t>
      </w:r>
      <w:r>
        <w:rPr>
          <w:rFonts w:ascii="Times New Roman" w:cs="Times New Roman" w:eastAsia="Times New Roman" w:hAnsi="Times New Roman"/>
          <w:sz w:val="17"/>
          <w:szCs w:val="17"/>
          <w:color w:val="auto"/>
        </w:rPr>
        <w:t>”) shall be the exclusive forum for the resolution of any complaint asserting a cause of action arising under the Securities Act of 1933, as amended. If any action, the subject matter of which is within the scope of the first sentence of this Article X, is filed in a court other than the Court of Chancery or the Federal Courts, as applicable, (a “</w:t>
      </w:r>
      <w:r>
        <w:rPr>
          <w:rFonts w:ascii="Times New Roman" w:cs="Times New Roman" w:eastAsia="Times New Roman" w:hAnsi="Times New Roman"/>
          <w:sz w:val="17"/>
          <w:szCs w:val="17"/>
          <w:u w:val="single" w:color="auto"/>
          <w:color w:val="auto"/>
        </w:rPr>
        <w:t>Foreign Action</w:t>
      </w:r>
      <w:r>
        <w:rPr>
          <w:rFonts w:ascii="Times New Roman" w:cs="Times New Roman" w:eastAsia="Times New Roman" w:hAnsi="Times New Roman"/>
          <w:sz w:val="17"/>
          <w:szCs w:val="17"/>
          <w:color w:val="auto"/>
        </w:rPr>
        <w:t>”) in the name of any stockholder, such stockholder shall be deemed to have consented to (i) the personal jurisdiction of the Court of Chancery or the Federal Courts, as applicable, in connection with any action brought in any such court to enforce the first sentence of this Article X and (ii) having service of process made upon such stockholder in any such action by service upon such stockholder’s counsel in the Foreign Action as agent for such stockholder. To the fullest extent permitted by law, any Person purchasing or otherwise acquiring or holding any interest in shares of capital stock of the Corporation shall be deemed to have notice of and consented to the provisions of this Article X. Notwithstanding the foregoing, this Article X shall not apply to claims seeking to enforce any liability or duty created by the Exchange Act, or any other claim for which the U.S. federal courts have exclusive jurisdiction.</w:t>
      </w:r>
    </w:p>
    <w:p>
      <w:pPr>
        <w:spacing w:after="0" w:line="386"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4" w:lineRule="exact"/>
        <w:rPr>
          <w:sz w:val="20"/>
          <w:szCs w:val="20"/>
          <w:color w:val="auto"/>
        </w:rPr>
      </w:pPr>
    </w:p>
    <w:p>
      <w:pPr>
        <w:ind w:left="6" w:right="20" w:firstLine="430"/>
        <w:spacing w:after="0" w:line="266" w:lineRule="auto"/>
        <w:tabs>
          <w:tab w:leader="none" w:pos="790" w:val="left"/>
        </w:tabs>
        <w:numPr>
          <w:ilvl w:val="1"/>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fullest extent permitted by law and in accordance with Section 122(17) of the DGCL, (i) the Corporation hereby renounces all interest and expectancy that it otherwise would be entitled to have in, and all rights to be offered an opportunity to participate in, any business opportunity that from time to time may be presented to each stockholder of the Corporation that is a party to the Stockholders Agreement, or its affiliates (other than the Corporation and its subsidiaries), and any of its or their respective principals, members, directors, partners, stockholders, officers, employees or other representatives (other than any such person who is also an employee of the Corporation or its subsidiaries), or any director or stockholder who is not employed by the Corporation or its subsidiaries (each such person, an “</w:t>
      </w:r>
      <w:r>
        <w:rPr>
          <w:rFonts w:ascii="Times New Roman" w:cs="Times New Roman" w:eastAsia="Times New Roman" w:hAnsi="Times New Roman"/>
          <w:sz w:val="17"/>
          <w:szCs w:val="17"/>
          <w:u w:val="single" w:color="auto"/>
          <w:color w:val="auto"/>
        </w:rPr>
        <w:t>Exempt Person</w:t>
      </w:r>
      <w:r>
        <w:rPr>
          <w:rFonts w:ascii="Times New Roman" w:cs="Times New Roman" w:eastAsia="Times New Roman" w:hAnsi="Times New Roman"/>
          <w:sz w:val="17"/>
          <w:szCs w:val="17"/>
          <w:color w:val="auto"/>
        </w:rPr>
        <w:t>”); (ii) no Exempt Person will have any duty to refrain from</w:t>
      </w:r>
    </w:p>
    <w:p>
      <w:pPr>
        <w:spacing w:after="0" w:line="1" w:lineRule="exact"/>
        <w:rPr>
          <w:rFonts w:ascii="Times New Roman" w:cs="Times New Roman" w:eastAsia="Times New Roman" w:hAnsi="Times New Roman"/>
          <w:sz w:val="17"/>
          <w:szCs w:val="17"/>
          <w:color w:val="auto"/>
        </w:rPr>
      </w:pPr>
    </w:p>
    <w:p>
      <w:pPr>
        <w:ind w:left="6" w:right="20" w:hanging="6"/>
        <w:spacing w:after="0" w:line="249" w:lineRule="auto"/>
        <w:tabs>
          <w:tab w:leader="none" w:pos="25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 corporate opportunity in the same or similar lines of business in which the Corporation or its subsidiaries from time to time is engaged or proposes to engage or (2) otherwise competing, directly or indirectly, with the Corporation or any of its subsidiaries; and (iii) if any Exempt Person acquires knowledge of a potential transaction or other business opportunity which may be a corporate opportunity both for such Exempt Person or any of his or her respective affiliates, on the one hand, and for the Corporation or its subsidiaries, on the other hand, such Exempt Person shall have no duty to communicate or offer such transaction or business opportunity to the Corporation or its subsidiaries and such Exempt Person may take any and all such transactions or opportunities for itself or offer such transactions or opportunities to any other Person.</w:t>
      </w:r>
    </w:p>
    <w:p>
      <w:pPr>
        <w:spacing w:after="0" w:line="188" w:lineRule="exact"/>
        <w:rPr>
          <w:rFonts w:ascii="Times New Roman" w:cs="Times New Roman" w:eastAsia="Times New Roman" w:hAnsi="Times New Roman"/>
          <w:sz w:val="18"/>
          <w:szCs w:val="18"/>
          <w:color w:val="auto"/>
        </w:rPr>
      </w:pPr>
    </w:p>
    <w:p>
      <w:pPr>
        <w:ind w:left="6" w:right="200" w:firstLine="430"/>
        <w:spacing w:after="0" w:line="253" w:lineRule="auto"/>
        <w:tabs>
          <w:tab w:leader="none" w:pos="78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no potential transaction or business opportunity may be deemed to be a corporate opportunity of the Corporation or its subsidiaries unless (i) the Corporation or its subsidiaries would be permitted to undertake such transaction or opportunity in accordance with this Certificate of Incorporation, (ii) the Corporation or its subsidiaries at such time have sufficient financial resources to undertake such transaction or opportunity, (iii) the Corporation or its subsidiaries have an interest or expectancy in such transaction or opportunity and (iv) such transaction or opportunity would be in the same or similar line of business in which the Corporation or its subsidiaries are then engaged or a line of business that is reasonably related to, or a reasonable extension of, such line of business.</w:t>
      </w:r>
    </w:p>
    <w:p>
      <w:pPr>
        <w:sectPr>
          <w:pgSz w:w="11900" w:h="16838" w:orient="portrait"/>
          <w:cols w:equalWidth="0" w:num="1">
            <w:col w:w="10846"/>
          </w:cols>
          <w:pgMar w:left="494" w:top="268" w:right="559" w:bottom="1440" w:gutter="0" w:footer="0" w:header="0"/>
        </w:sectPr>
      </w:pPr>
    </w:p>
    <w:bookmarkStart w:id="342" w:name="page343"/>
    <w:bookmarkEnd w:id="342"/>
    <w:p>
      <w:pPr>
        <w:ind w:left="-20" w:right="180" w:firstLine="430"/>
        <w:spacing w:after="0" w:line="262" w:lineRule="auto"/>
        <w:tabs>
          <w:tab w:leader="none" w:pos="75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the fullest extent permitted by law, no stockholder and no director will be liable to the Corporation or its subsidiaries or stockholders for breach of any duty solely by reason of any activities or omissions of the types referred to in this Article XI, except to the extent such actions or omissions are in breach of this Article XI.</w:t>
      </w:r>
    </w:p>
    <w:p>
      <w:pPr>
        <w:spacing w:after="0" w:line="177" w:lineRule="exact"/>
        <w:rPr>
          <w:rFonts w:ascii="Times New Roman" w:cs="Times New Roman" w:eastAsia="Times New Roman" w:hAnsi="Times New Roman"/>
          <w:sz w:val="18"/>
          <w:szCs w:val="18"/>
          <w:color w:val="auto"/>
        </w:rPr>
      </w:pPr>
    </w:p>
    <w:p>
      <w:pPr>
        <w:ind w:left="-20" w:right="60" w:firstLine="430"/>
        <w:spacing w:after="0" w:line="262" w:lineRule="auto"/>
        <w:tabs>
          <w:tab w:leader="none" w:pos="757"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repeal or modification of this Article XI, or the adoption of any provision of the Certificate of Incorporation inconsistent with this Article XI, shall not adversely affect any right or protection of a director of the Corporation with respect to any act or omission occurring prior to such amendment, repeal, modification or adoption.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4" w:lineRule="exact"/>
        <w:rPr>
          <w:sz w:val="20"/>
          <w:szCs w:val="20"/>
          <w:color w:val="auto"/>
        </w:rPr>
      </w:pPr>
    </w:p>
    <w:p>
      <w:pPr>
        <w:ind w:left="-20" w:right="660" w:firstLine="430"/>
        <w:spacing w:after="0" w:line="277" w:lineRule="auto"/>
        <w:tabs>
          <w:tab w:leader="none" w:pos="767"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203 of the DGCL</w:t>
      </w:r>
      <w:r>
        <w:rPr>
          <w:rFonts w:ascii="Times New Roman" w:cs="Times New Roman" w:eastAsia="Times New Roman" w:hAnsi="Times New Roman"/>
          <w:sz w:val="18"/>
          <w:szCs w:val="18"/>
          <w:color w:val="auto"/>
        </w:rPr>
        <w:t>. The Corporation expressly elects not to be governed by Section 203 of the DGCL and the restrictions and limitations set forth therein.</w:t>
      </w:r>
    </w:p>
    <w:p>
      <w:pPr>
        <w:spacing w:after="0" w:line="163" w:lineRule="exact"/>
        <w:rPr>
          <w:rFonts w:ascii="Times New Roman" w:cs="Times New Roman" w:eastAsia="Times New Roman" w:hAnsi="Times New Roman"/>
          <w:sz w:val="18"/>
          <w:szCs w:val="18"/>
          <w:color w:val="auto"/>
        </w:rPr>
      </w:pPr>
    </w:p>
    <w:p>
      <w:pPr>
        <w:ind w:left="-20" w:right="300" w:firstLine="430"/>
        <w:spacing w:after="0" w:line="257" w:lineRule="auto"/>
        <w:tabs>
          <w:tab w:leader="none" w:pos="757"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Interested Stockholder Transactions</w:t>
      </w:r>
      <w:r>
        <w:rPr>
          <w:rFonts w:ascii="Times New Roman" w:cs="Times New Roman" w:eastAsia="Times New Roman" w:hAnsi="Times New Roman"/>
          <w:sz w:val="18"/>
          <w:szCs w:val="18"/>
          <w:color w:val="auto"/>
        </w:rPr>
        <w:t>. Notwithstanding anything to the contrary set forth in this Certificate of Incorporation, at any point in time at which the Common Stock is registered under Section 12(b) or 12(g) of the Exchange Act, the Corporation shall not engage in any Business Combination (as defined below) with any Interested Stockholder (as defined below) for a period of three (3) years following the time that such stockholder became an Interested Stockholder, unless:</w:t>
      </w:r>
    </w:p>
    <w:p>
      <w:pPr>
        <w:spacing w:after="0" w:line="88" w:lineRule="exact"/>
        <w:rPr>
          <w:rFonts w:ascii="Times New Roman" w:cs="Times New Roman" w:eastAsia="Times New Roman" w:hAnsi="Times New Roman"/>
          <w:sz w:val="18"/>
          <w:szCs w:val="18"/>
          <w:color w:val="auto"/>
        </w:rPr>
      </w:pPr>
    </w:p>
    <w:p>
      <w:pPr>
        <w:ind w:left="1380" w:right="440" w:hanging="431"/>
        <w:spacing w:after="0" w:line="277" w:lineRule="auto"/>
        <w:tabs>
          <w:tab w:leader="none" w:pos="138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that such stockholder became an Interested Stockholder, the Board of Directors approved either the Business Combination or the transaction which resulted in such stockholder becoming an Interested Stockholder; or</w:t>
      </w:r>
    </w:p>
    <w:p>
      <w:pPr>
        <w:spacing w:after="0" w:line="69" w:lineRule="exact"/>
        <w:rPr>
          <w:rFonts w:ascii="Times New Roman" w:cs="Times New Roman" w:eastAsia="Times New Roman" w:hAnsi="Times New Roman"/>
          <w:sz w:val="18"/>
          <w:szCs w:val="18"/>
          <w:color w:val="auto"/>
        </w:rPr>
      </w:pPr>
    </w:p>
    <w:p>
      <w:pPr>
        <w:ind w:left="1380" w:right="60" w:hanging="431"/>
        <w:spacing w:after="0" w:line="253" w:lineRule="auto"/>
        <w:tabs>
          <w:tab w:leader="none" w:pos="138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93" w:lineRule="exact"/>
        <w:rPr>
          <w:rFonts w:ascii="Times New Roman" w:cs="Times New Roman" w:eastAsia="Times New Roman" w:hAnsi="Times New Roman"/>
          <w:sz w:val="18"/>
          <w:szCs w:val="18"/>
          <w:color w:val="auto"/>
        </w:rPr>
      </w:pPr>
    </w:p>
    <w:p>
      <w:pPr>
        <w:ind w:left="1380" w:hanging="431"/>
        <w:spacing w:after="0" w:line="285" w:lineRule="auto"/>
        <w:tabs>
          <w:tab w:leader="none" w:pos="1380" w:val="left"/>
        </w:tabs>
        <w:numPr>
          <w:ilvl w:val="1"/>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subsequent to such time that such stockholder became an Interested Stockholder, the Business Combination is approved by the Board of Directors and authorized at an annual or special meeting of stockholders by the affirmative vote of the holders of at least 66 2/3% of the voting power of all of the then-outstanding shares of capital stock which is not owned by such Interested Stockholder.</w:t>
      </w:r>
    </w:p>
    <w:p>
      <w:pPr>
        <w:spacing w:after="0" w:line="158" w:lineRule="exact"/>
        <w:rPr>
          <w:rFonts w:ascii="Times New Roman" w:cs="Times New Roman" w:eastAsia="Times New Roman" w:hAnsi="Times New Roman"/>
          <w:sz w:val="17"/>
          <w:szCs w:val="17"/>
          <w:color w:val="auto"/>
        </w:rPr>
      </w:pPr>
    </w:p>
    <w:p>
      <w:pPr>
        <w:ind w:left="740" w:hanging="330"/>
        <w:spacing w:after="0"/>
        <w:tabs>
          <w:tab w:leader="none" w:pos="7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contained in the foregoing Section B of Article XII shall not apply if:</w:t>
      </w:r>
    </w:p>
    <w:p>
      <w:pPr>
        <w:sectPr>
          <w:pgSz w:w="11900" w:h="16838" w:orient="portrait"/>
          <w:cols w:equalWidth="0" w:num="1">
            <w:col w:w="10860"/>
          </w:cols>
          <w:pgMar w:left="520" w:top="268" w:right="519" w:bottom="1440" w:gutter="0" w:footer="0" w:header="0"/>
        </w:sectPr>
      </w:pPr>
    </w:p>
    <w:bookmarkStart w:id="343" w:name="page344"/>
    <w:bookmarkEnd w:id="343"/>
    <w:p>
      <w:pPr>
        <w:ind w:left="970" w:right="100" w:hanging="431"/>
        <w:spacing w:after="0" w:line="257" w:lineRule="auto"/>
        <w:tabs>
          <w:tab w:leader="none" w:pos="97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 stockholder becomes an Interested Stockholder inadvertently and (i) as soon as practicable divests itself of ownership of sufficient shares so that the stockholder ceases to be an Interested Stockholder and (ii) would not, at any time, within the three-year period immediately prior to the Business Combination between the Corporation and such stockholder, have been an Interested Stockholder but for the inadvertent acquisition of ownership, or</w:t>
      </w:r>
    </w:p>
    <w:p>
      <w:pPr>
        <w:spacing w:after="0" w:line="88" w:lineRule="exact"/>
        <w:rPr>
          <w:rFonts w:ascii="Times New Roman" w:cs="Times New Roman" w:eastAsia="Times New Roman" w:hAnsi="Times New Roman"/>
          <w:sz w:val="18"/>
          <w:szCs w:val="18"/>
          <w:color w:val="auto"/>
        </w:rPr>
      </w:pPr>
    </w:p>
    <w:p>
      <w:pPr>
        <w:ind w:left="970" w:right="80" w:hanging="431"/>
        <w:spacing w:after="0" w:line="249" w:lineRule="auto"/>
        <w:tabs>
          <w:tab w:leader="none" w:pos="97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proposed prior to the consummation or abandonment of and subsequent to the earlier of the public announcement or the notice required hereunder of a proposed transaction which (i) constitutes one of the transactions described in the second sentence of this Section C(b) of Article XII, (ii) is with or by a Person who either was not an Interested Stockholder during the previous three years or who became an Interested Stockholder with the approval of the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The proposed transactions referred to in the preceding sentence are limited to (x) a merger or consolidation of the Corporation (except for a merger in respect of which, pursuant to Section 251(f) of the DGCL, no vote of the stockholders of the Corporation is required), (y) a sale, lease, exchange, mortgage, whether as part of a dissolution or otherwise, of assets of the Corporation or of any direct or indirect majority-owned subsidiary of the Corporation (other than to any direct or indirect wholly owned subsidiary or to the Corporation) having an aggregate market value equal to fifty percent or more of either that aggregate market value of all the assets of the Corporation determined on a consolidated basis or the aggregate market value of all the outstanding stock of the Corporation or (z) a proposed tender or exchange offer for fifty percent (50%) or more of the outstanding voting stock of the Corporation. The Corporation shall give not less than 20 days’ notice to all Interested Stockholders prior to the consummation of any of the transactions described in clause (x) or (y) of the second sentence of this Section C(b) of Article XII.</w:t>
      </w:r>
    </w:p>
    <w:p>
      <w:pPr>
        <w:spacing w:after="0" w:line="197" w:lineRule="exact"/>
        <w:rPr>
          <w:rFonts w:ascii="Times New Roman" w:cs="Times New Roman" w:eastAsia="Times New Roman" w:hAnsi="Times New Roman"/>
          <w:sz w:val="18"/>
          <w:szCs w:val="18"/>
          <w:color w:val="auto"/>
        </w:rPr>
      </w:pPr>
    </w:p>
    <w:p>
      <w:pPr>
        <w:ind w:left="350" w:hanging="350"/>
        <w:spacing w:after="0"/>
        <w:tabs>
          <w:tab w:leader="none" w:pos="35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XII, references to:</w:t>
      </w:r>
    </w:p>
    <w:p>
      <w:pPr>
        <w:spacing w:after="0" w:line="126" w:lineRule="exact"/>
        <w:rPr>
          <w:rFonts w:ascii="Times New Roman" w:cs="Times New Roman" w:eastAsia="Times New Roman" w:hAnsi="Times New Roman"/>
          <w:sz w:val="18"/>
          <w:szCs w:val="18"/>
          <w:color w:val="auto"/>
        </w:rPr>
      </w:pPr>
    </w:p>
    <w:p>
      <w:pPr>
        <w:ind w:left="970" w:right="300" w:hanging="431"/>
        <w:spacing w:after="0" w:line="277" w:lineRule="auto"/>
        <w:tabs>
          <w:tab w:leader="none" w:pos="97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person that directly, or indirectly through one or more intermediaries, controls, or is controlled by, or is under common control with, another person.</w:t>
      </w:r>
    </w:p>
    <w:p>
      <w:pPr>
        <w:spacing w:after="0" w:line="69" w:lineRule="exact"/>
        <w:rPr>
          <w:rFonts w:ascii="Times New Roman" w:cs="Times New Roman" w:eastAsia="Times New Roman" w:hAnsi="Times New Roman"/>
          <w:sz w:val="18"/>
          <w:szCs w:val="18"/>
          <w:color w:val="auto"/>
        </w:rPr>
      </w:pPr>
    </w:p>
    <w:p>
      <w:pPr>
        <w:ind w:left="970" w:hanging="431"/>
        <w:spacing w:after="0" w:line="255" w:lineRule="auto"/>
        <w:tabs>
          <w:tab w:leader="none" w:pos="97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shares of voting stock of the Corporation;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ectPr>
          <w:pgSz w:w="11900" w:h="16838" w:orient="portrait"/>
          <w:cols w:equalWidth="0" w:num="1">
            <w:col w:w="10470"/>
          </w:cols>
          <w:pgMar w:left="930" w:top="268" w:right="499" w:bottom="1440" w:gutter="0" w:footer="0" w:header="0"/>
        </w:sectPr>
      </w:pPr>
    </w:p>
    <w:bookmarkStart w:id="344" w:name="page345"/>
    <w:bookmarkEnd w:id="344"/>
    <w:p>
      <w:pPr>
        <w:ind w:left="460" w:hanging="431"/>
        <w:spacing w:after="0"/>
        <w:tabs>
          <w:tab w:leader="none" w:pos="4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when used in reference to the Corporation and any Interested Stockholder of the Corporation, means</w:t>
      </w:r>
    </w:p>
    <w:p>
      <w:pPr>
        <w:spacing w:after="0" w:line="25" w:lineRule="exact"/>
        <w:rPr>
          <w:rFonts w:ascii="Times New Roman" w:cs="Times New Roman" w:eastAsia="Times New Roman" w:hAnsi="Times New Roman"/>
          <w:sz w:val="18"/>
          <w:szCs w:val="18"/>
          <w:color w:val="auto"/>
        </w:rPr>
      </w:pPr>
    </w:p>
    <w:p>
      <w:pPr>
        <w:ind w:left="46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Part B of this Article XII is not applicable to the surviving entity; (ii) any sale, lease, exchange, mortgage, pledge, transfer or other disposition (in one (1)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shares of capital stock of the Corporation; (iii) 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case under items (c) through (e) of this subsection (iii) shall there be an increase in the Interested Stockholder’s proportionate share of the stock of any class or series of the Corporation or of the voting stock of the Corporation (except as a result of immaterial changes due to fractional share adjustments); (iv) 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 (v) any receipt by the Interested Stockholder of the benefit,</w:t>
      </w:r>
    </w:p>
    <w:p>
      <w:pPr>
        <w:sectPr>
          <w:pgSz w:w="11900" w:h="16838" w:orient="portrait"/>
          <w:cols w:equalWidth="0" w:num="1">
            <w:col w:w="9940"/>
          </w:cols>
          <w:pgMar w:left="1440" w:top="268" w:right="519" w:bottom="1440" w:gutter="0" w:footer="0" w:header="0"/>
        </w:sectPr>
      </w:pPr>
    </w:p>
    <w:bookmarkStart w:id="345" w:name="page346"/>
    <w:bookmarkEnd w:id="345"/>
    <w:p>
      <w:pPr>
        <w:ind w:left="460" w:right="2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directly or indirectly (except proportionately as a stockholder of the Corporation), of any loans, advances, guarantees, pledges, or other financial benefits (other than those expressly permitted in subsections (i) through (iv) above) provided by or through the Corporation or any direct or indirect majority-owned subsidiary.</w:t>
      </w:r>
    </w:p>
    <w:p>
      <w:pPr>
        <w:spacing w:after="0" w:line="84" w:lineRule="exact"/>
        <w:rPr>
          <w:sz w:val="20"/>
          <w:szCs w:val="20"/>
          <w:color w:val="auto"/>
        </w:rPr>
      </w:pPr>
    </w:p>
    <w:p>
      <w:pPr>
        <w:ind w:left="460" w:right="60" w:hanging="431"/>
        <w:spacing w:after="0" w:line="270" w:lineRule="auto"/>
        <w:tabs>
          <w:tab w:leader="none" w:pos="46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including the terms “</w:t>
      </w:r>
      <w:r>
        <w:rPr>
          <w:rFonts w:ascii="Times New Roman" w:cs="Times New Roman" w:eastAsia="Times New Roman" w:hAnsi="Times New Roman"/>
          <w:sz w:val="17"/>
          <w:szCs w:val="17"/>
          <w:u w:val="single" w:color="auto"/>
          <w:color w:val="auto"/>
        </w:rPr>
        <w:t>controlling</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controlled by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under common control with</w:t>
      </w:r>
      <w:r>
        <w:rPr>
          <w:rFonts w:ascii="Times New Roman" w:cs="Times New Roman" w:eastAsia="Times New Roman" w:hAnsi="Times New Roman"/>
          <w:sz w:val="17"/>
          <w:szCs w:val="17"/>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as an agent, bank, broker, nominee, custodian or trustee for one or more owners who do not individually or as a group have control of such entity.</w:t>
      </w:r>
    </w:p>
    <w:p>
      <w:pPr>
        <w:spacing w:after="0" w:line="76" w:lineRule="exact"/>
        <w:rPr>
          <w:rFonts w:ascii="Times New Roman" w:cs="Times New Roman" w:eastAsia="Times New Roman" w:hAnsi="Times New Roman"/>
          <w:sz w:val="17"/>
          <w:szCs w:val="17"/>
          <w:color w:val="auto"/>
        </w:rPr>
      </w:pPr>
    </w:p>
    <w:p>
      <w:pPr>
        <w:ind w:left="460" w:hanging="431"/>
        <w:spacing w:after="0" w:line="249" w:lineRule="auto"/>
        <w:tabs>
          <w:tab w:leader="none" w:pos="4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Interested Stockholder</w:t>
      </w:r>
      <w:r>
        <w:rPr>
          <w:rFonts w:ascii="Times New Roman" w:cs="Times New Roman" w:eastAsia="Times New Roman" w:hAnsi="Times New Roman"/>
          <w:sz w:val="18"/>
          <w:szCs w:val="18"/>
          <w:color w:val="auto"/>
        </w:rPr>
        <w:t>” means any Person (other than the Corporation and any direct or indirect majority-owned subsidiary of the Corporation) that (i) is the beneficial owner of 15% or more of the outstanding shares of capital stock of the Corporation that are entitled to vote, or (ii) is an Affiliate or associate of the Corporation and was the beneficial owner of fifteen percent (15%) or more of the outstanding shares of capital stock of the Corporation that are entitled to vote at any time within the three-year period immediately prior to the date on which it is sought to be determined whether such Person is an Interested Stockholder, and the Affiliates and associates of such Person. Notwithstanding anything in this Article XII to the contrary, the term “Interested Stockholder” shall not include: (1) SLP Geology Aggregator, L.P., Francisco Partners IV, L.P., Francisco Partners IV-A, L.P., Spectrum Equity VII, L.P., Spectrum VII Investment Managers’ Fund, L.P., Spectrum VII Co-Investment Fund, L.P. and Idea Men, LLC (collectively,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or any of their respective Affiliates or associates, including any investment funds managed by such Investors, or any other Person with whom any of the foregoing are acting as a group or in concert for the purpose of acquiring, holding, voting or disposing of shares of capital stock of the Corporation, (2) any other Person who acquires voting stock of the Corporation directly from an Investor with prior approval of the Board of Directors, (3) any Person who acquires voting stock of the Corporation through a broker’s transaction executed on any securities exchange or other over-the-counter market or pursuant to an underwritten public offering or (4) any Person whose ownership of shares in excess of the 15% limitation set forth herein is the result of any action taken solely by the Corporation; provided, further, that in the case of clause (4) such Person shall be an Interested Stockholder if thereafter such Person acquires additional shares of voting stock of the Corporation, except as a result of further corporate action not caused, directly or indirectly, by such Person.</w:t>
      </w:r>
    </w:p>
    <w:p>
      <w:pPr>
        <w:sectPr>
          <w:pgSz w:w="11900" w:h="16838" w:orient="portrait"/>
          <w:cols w:equalWidth="0" w:num="1">
            <w:col w:w="9940"/>
          </w:cols>
          <w:pgMar w:left="1440" w:top="268" w:right="519" w:bottom="1440" w:gutter="0" w:footer="0" w:header="0"/>
        </w:sectPr>
      </w:pPr>
    </w:p>
    <w:bookmarkStart w:id="346" w:name="page347"/>
    <w:bookmarkEnd w:id="346"/>
    <w:p>
      <w:pPr>
        <w:ind w:left="460" w:right="80" w:hanging="431"/>
        <w:spacing w:after="0" w:line="277" w:lineRule="auto"/>
        <w:tabs>
          <w:tab w:leader="none" w:pos="4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own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owned</w:t>
      </w:r>
      <w:r>
        <w:rPr>
          <w:rFonts w:ascii="Times New Roman" w:cs="Times New Roman" w:eastAsia="Times New Roman" w:hAnsi="Times New Roman"/>
          <w:sz w:val="18"/>
          <w:szCs w:val="18"/>
          <w:color w:val="auto"/>
        </w:rPr>
        <w:t>,” when used with respect to any stock, means a Person that individually or with or through any of its Affiliates or associates:</w:t>
      </w:r>
    </w:p>
    <w:p>
      <w:pPr>
        <w:spacing w:after="0" w:line="69" w:lineRule="exact"/>
        <w:rPr>
          <w:rFonts w:ascii="Times New Roman" w:cs="Times New Roman" w:eastAsia="Times New Roman" w:hAnsi="Times New Roman"/>
          <w:sz w:val="18"/>
          <w:szCs w:val="18"/>
          <w:color w:val="auto"/>
        </w:rPr>
      </w:pPr>
    </w:p>
    <w:p>
      <w:pPr>
        <w:ind w:left="1440" w:hanging="436"/>
        <w:spacing w:after="0"/>
        <w:tabs>
          <w:tab w:leader="none" w:pos="144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owns such stock, directly or indirectly; or</w:t>
      </w:r>
    </w:p>
    <w:p>
      <w:pPr>
        <w:spacing w:after="0" w:line="126" w:lineRule="exact"/>
        <w:rPr>
          <w:rFonts w:ascii="Times New Roman" w:cs="Times New Roman" w:eastAsia="Times New Roman" w:hAnsi="Times New Roman"/>
          <w:sz w:val="18"/>
          <w:szCs w:val="18"/>
          <w:color w:val="auto"/>
        </w:rPr>
      </w:pPr>
    </w:p>
    <w:p>
      <w:pPr>
        <w:ind w:left="1440" w:hanging="436"/>
        <w:spacing w:after="0" w:line="268" w:lineRule="auto"/>
        <w:tabs>
          <w:tab w:leader="none" w:pos="1440"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or more Persons; or</w:t>
      </w:r>
    </w:p>
    <w:p>
      <w:pPr>
        <w:spacing w:after="0" w:line="83" w:lineRule="exact"/>
        <w:rPr>
          <w:rFonts w:ascii="Times New Roman" w:cs="Times New Roman" w:eastAsia="Times New Roman" w:hAnsi="Times New Roman"/>
          <w:sz w:val="17"/>
          <w:szCs w:val="17"/>
          <w:color w:val="auto"/>
        </w:rPr>
      </w:pPr>
    </w:p>
    <w:p>
      <w:pPr>
        <w:ind w:left="1440" w:hanging="436"/>
        <w:spacing w:after="0" w:line="257" w:lineRule="auto"/>
        <w:tabs>
          <w:tab w:leader="none" w:pos="144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88" w:lineRule="exact"/>
        <w:rPr>
          <w:rFonts w:ascii="Times New Roman" w:cs="Times New Roman" w:eastAsia="Times New Roman" w:hAnsi="Times New Roman"/>
          <w:sz w:val="18"/>
          <w:szCs w:val="18"/>
          <w:color w:val="auto"/>
        </w:rPr>
      </w:pPr>
    </w:p>
    <w:p>
      <w:pPr>
        <w:ind w:left="460" w:hanging="431"/>
        <w:spacing w:after="0"/>
        <w:tabs>
          <w:tab w:leader="none" w:pos="4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unincorporated association or other entity.</w:t>
      </w:r>
    </w:p>
    <w:p>
      <w:pPr>
        <w:spacing w:after="0" w:line="126" w:lineRule="exact"/>
        <w:rPr>
          <w:rFonts w:ascii="Times New Roman" w:cs="Times New Roman" w:eastAsia="Times New Roman" w:hAnsi="Times New Roman"/>
          <w:sz w:val="18"/>
          <w:szCs w:val="18"/>
          <w:color w:val="auto"/>
        </w:rPr>
      </w:pPr>
    </w:p>
    <w:p>
      <w:pPr>
        <w:ind w:left="460" w:hanging="431"/>
        <w:spacing w:after="0"/>
        <w:tabs>
          <w:tab w:leader="none" w:pos="4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means, with respect to any corporation, capital stock and, with respect to any other entity, any equity interest.</w:t>
      </w:r>
    </w:p>
    <w:p>
      <w:pPr>
        <w:spacing w:after="0" w:line="126" w:lineRule="exact"/>
        <w:rPr>
          <w:rFonts w:ascii="Times New Roman" w:cs="Times New Roman" w:eastAsia="Times New Roman" w:hAnsi="Times New Roman"/>
          <w:sz w:val="18"/>
          <w:szCs w:val="18"/>
          <w:color w:val="auto"/>
        </w:rPr>
      </w:pPr>
    </w:p>
    <w:p>
      <w:pPr>
        <w:ind w:left="460" w:right="180" w:hanging="431"/>
        <w:spacing w:after="0" w:line="257" w:lineRule="auto"/>
        <w:tabs>
          <w:tab w:leader="none" w:pos="4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corporation,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sectPr>
          <w:pgSz w:w="11900" w:h="16838" w:orient="portrait"/>
          <w:cols w:equalWidth="0" w:num="1">
            <w:col w:w="9920"/>
          </w:cols>
          <w:pgMar w:left="1440" w:top="268" w:right="539" w:bottom="1440" w:gutter="0" w:footer="0" w:header="0"/>
        </w:sectPr>
      </w:pPr>
    </w:p>
    <w:bookmarkStart w:id="347" w:name="page348"/>
    <w:bookmarkEnd w:id="34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XIII</w:t>
      </w:r>
    </w:p>
    <w:p>
      <w:pPr>
        <w:spacing w:after="0" w:line="224" w:lineRule="exact"/>
        <w:rPr>
          <w:sz w:val="20"/>
          <w:szCs w:val="20"/>
          <w:color w:val="auto"/>
        </w:rPr>
      </w:pPr>
    </w:p>
    <w:p>
      <w:pPr>
        <w:ind w:left="-20" w:right="20" w:firstLine="430"/>
        <w:spacing w:after="0" w:line="250" w:lineRule="auto"/>
        <w:tabs>
          <w:tab w:leader="none" w:pos="767"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the Certificate of Incorporation</w:t>
      </w:r>
      <w:r>
        <w:rPr>
          <w:rFonts w:ascii="Times New Roman" w:cs="Times New Roman" w:eastAsia="Times New Roman" w:hAnsi="Times New Roman"/>
          <w:sz w:val="18"/>
          <w:szCs w:val="18"/>
          <w:color w:val="auto"/>
        </w:rPr>
        <w:t xml:space="preserve">. The Corporation reserves the right to amend, alter, change, adopt or repeal any provision contained in this Certificate of Incorporation, in the manner now or hereafter prescribed by statute, and all rights conferred upon stockholders herein are granted subject to this reservation;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notwithstanding any other provision of this Certificate of Incorporation or any provision of law that might otherwise permit a lesser vote or no vote, but in addition to any vote of the holders of shares of any class or series of capital stock of the Corporation required by law or by this Certificate of Incorporation, the affirmative vote of the holders of at least 66 2/3% of the voting power of all of the then-outstanding shares of capital stock of the Corporation entitled to vote generally in the election of directors, voting together as a single class, shall be required to amend or repeal, or adopt any provision of this Certificate of Incorporation inconsistent with Articles V, VI, VII, VIII, XI, XII and XIII;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for so long as any shares of Class B Common Stock remain outstanding, the Corporation shall not, without the prior affirmative vote of the holders of at least 66 2/3% of the voting power of the outstanding shares of Class B Common Stock, voting as a separate class, in addition to any other vote required by law or this Certificate of Incorporation and subject to the terms of the Stockholders Agreement, directly or indirectly, amend, alter, change, repeal or adopt any provision inconsistent with Part A of Article V, Article XI or this proviso of this Part A of Article XIII.</w:t>
      </w:r>
    </w:p>
    <w:p>
      <w:pPr>
        <w:spacing w:after="0" w:line="191" w:lineRule="exact"/>
        <w:rPr>
          <w:rFonts w:ascii="Times New Roman" w:cs="Times New Roman" w:eastAsia="Times New Roman" w:hAnsi="Times New Roman"/>
          <w:sz w:val="18"/>
          <w:szCs w:val="18"/>
          <w:color w:val="auto"/>
        </w:rPr>
      </w:pPr>
    </w:p>
    <w:p>
      <w:pPr>
        <w:ind w:left="-20" w:right="100" w:firstLine="430"/>
        <w:spacing w:after="0" w:line="255" w:lineRule="auto"/>
        <w:tabs>
          <w:tab w:leader="none" w:pos="757"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 In furtherance and not in limitation of the powers conferred upon it by the DGCL, the Board of Directors shall have the power to adopt, amend, alter or repeal the Bylaws of the Corporation. The stockholders may not adopt, amend, alter or repeal the Bylaws of the Corporation unless such action is approved, in addition to any other vote required by this Certificate of Incorporation, by the affirmative vote of the holders of at least 66 2/3% of the voting power of all of the then-outstanding shares of capital stock of the Corporation entitled to vote generally in the election of directors, voting together as a single class.</w:t>
      </w:r>
    </w:p>
    <w:p>
      <w:pPr>
        <w:spacing w:after="0" w:line="182" w:lineRule="exact"/>
        <w:rPr>
          <w:rFonts w:ascii="Times New Roman" w:cs="Times New Roman" w:eastAsia="Times New Roman" w:hAnsi="Times New Roman"/>
          <w:sz w:val="18"/>
          <w:szCs w:val="18"/>
          <w:color w:val="auto"/>
        </w:rPr>
      </w:pPr>
    </w:p>
    <w:p>
      <w:pPr>
        <w:ind w:left="-20" w:firstLine="430"/>
        <w:spacing w:after="0" w:line="251" w:lineRule="auto"/>
        <w:tabs>
          <w:tab w:leader="none" w:pos="757"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ectPr>
          <w:pgSz w:w="11900" w:h="16838" w:orient="portrait"/>
          <w:cols w:equalWidth="0" w:num="1">
            <w:col w:w="10840"/>
          </w:cols>
          <w:pgMar w:left="520" w:top="264" w:right="539" w:bottom="1440" w:gutter="0" w:footer="0" w:header="0"/>
        </w:sectPr>
      </w:pPr>
    </w:p>
    <w:bookmarkStart w:id="348" w:name="page349"/>
    <w:bookmarkEnd w:id="348"/>
    <w:p>
      <w:pPr>
        <w:jc w:val="right"/>
        <w:spacing w:after="0"/>
        <w:rPr>
          <w:sz w:val="20"/>
          <w:szCs w:val="20"/>
          <w:color w:val="auto"/>
        </w:rPr>
      </w:pPr>
      <w:r>
        <w:rPr>
          <w:rFonts w:ascii="Times New Roman" w:cs="Times New Roman" w:eastAsia="Times New Roman" w:hAnsi="Times New Roman"/>
          <w:sz w:val="18"/>
          <w:szCs w:val="18"/>
          <w:b w:val="1"/>
          <w:bCs w:val="1"/>
          <w:color w:val="auto"/>
        </w:rPr>
        <w:t>Exhibit 3.4</w:t>
      </w:r>
    </w:p>
    <w:p>
      <w:pPr>
        <w:spacing w:after="0" w:line="200" w:lineRule="exact"/>
        <w:rPr>
          <w:sz w:val="20"/>
          <w:szCs w:val="20"/>
          <w:color w:val="auto"/>
        </w:rPr>
      </w:pPr>
    </w:p>
    <w:p>
      <w:pPr>
        <w:spacing w:after="0" w:line="23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b w:val="1"/>
          <w:bCs w:val="1"/>
          <w:color w:val="auto"/>
        </w:rPr>
        <w:t>Amended and Restated Bylaws of</w:t>
      </w:r>
    </w:p>
    <w:p>
      <w:pPr>
        <w:spacing w:after="0" w:line="232"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22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ectPr>
          <w:pgSz w:w="11900" w:h="16838" w:orient="portrait"/>
          <w:cols w:equalWidth="0" w:num="1">
            <w:col w:w="9960"/>
          </w:cols>
          <w:pgMar w:left="1440" w:top="117" w:right="499" w:bottom="1440" w:gutter="0" w:footer="0" w:header="0"/>
        </w:sectPr>
      </w:pPr>
    </w:p>
    <w:bookmarkStart w:id="349" w:name="page350"/>
    <w:bookmarkEnd w:id="349"/>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p>
        </w:tc>
        <w:tc>
          <w:tcPr>
            <w:tcW w:w="7880" w:type="dxa"/>
            <w:vAlign w:val="bottom"/>
          </w:tcPr>
          <w:p>
            <w:pPr>
              <w:ind w:left="40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87"/>
        </w:trPr>
        <w:tc>
          <w:tcPr>
            <w:tcW w:w="70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1"/>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 Corporate Offices</w:t>
            </w:r>
          </w:p>
        </w:tc>
        <w:tc>
          <w:tcPr>
            <w:tcW w:w="1980" w:type="dxa"/>
            <w:vAlign w:val="bottom"/>
          </w:tcPr>
          <w:p>
            <w:pPr>
              <w:spacing w:after="0"/>
              <w:rPr>
                <w:sz w:val="24"/>
                <w:szCs w:val="24"/>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2"/>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3"/>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Offices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1"/>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 Meetings of Stockholders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2"/>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Place of Meetings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Annual Meeting</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Special Meeting</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of Business to be Brought before a Meeting</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of Nominations for Election to the Board of Directors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Requirements for Valid Nomination of Candidates to Serve as Director</w:t>
            </w: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4"/>
        </w:trPr>
        <w:tc>
          <w:tcPr>
            <w:tcW w:w="700" w:type="dxa"/>
            <w:vAlign w:val="bottom"/>
          </w:tcPr>
          <w:p>
            <w:pPr>
              <w:spacing w:after="0"/>
              <w:rPr>
                <w:sz w:val="18"/>
                <w:szCs w:val="18"/>
                <w:color w:val="auto"/>
              </w:rPr>
            </w:pP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if Elected, to be Seated as Directors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Quorum</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Adjourned Meeting; Notice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Conduct of Business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Voting</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Record Date for Stockholder Meetings and Other Purposes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Proxies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2.15</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Inspectors of Election</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3"/>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2.16</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Delivery to the Corporation</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1"/>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 Directors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2"/>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Powers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Term; Qualifications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Resignation; Removal; Vacancies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Place of Meetings; Meetings by Telephone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Regular Meetings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Special Meetings; Notice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Quorum</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 Action without a Meeting</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3"/>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Fees and Compensation of Directors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1"/>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 Committees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2"/>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Committees of Directors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Committee Minutes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Meetings and Actions of Committees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3"/>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Subcommittees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1"/>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 Officers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2"/>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Appointment of Officers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3"/>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Subordinate Officers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4">
                      <a:extLst>
                        <a:ext uri="{28A0092B-C50C-407E-A947-70E740481C1C}"/>
                      </a:extLst>
                    </a:blip>
                    <a:srcRect/>
                    <a:stretch>
                      <a:fillRect/>
                    </a:stretch>
                  </pic:blipFill>
                  <pic:spPr bwMode="auto">
                    <a:xfrm>
                      <a:off x="0" y="0"/>
                      <a:ext cx="7150735" cy="2476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40"/>
          </w:cols>
          <w:pgMar w:left="500" w:top="263" w:right="559" w:bottom="1440" w:gutter="0" w:footer="0" w:header="0"/>
        </w:sectPr>
      </w:pPr>
    </w:p>
    <w:bookmarkStart w:id="350" w:name="page351"/>
    <w:bookmarkEnd w:id="350"/>
    <w:tbl>
      <w:tblPr>
        <w:tblLayout w:type="fixed"/>
        <w:tblInd w:w="0" w:type="dxa"/>
        <w:tblCellMar>
          <w:top w:w="0" w:type="dxa"/>
          <w:left w:w="0" w:type="dxa"/>
          <w:bottom w:w="0" w:type="dxa"/>
          <w:right w:w="0" w:type="dxa"/>
        </w:tblCellMar>
      </w:tblPr>
      <w:tr>
        <w:trPr>
          <w:trHeight w:val="214"/>
        </w:trPr>
        <w:tc>
          <w:tcPr>
            <w:tcW w:w="700" w:type="dxa"/>
            <w:vAlign w:val="bottom"/>
          </w:tcPr>
          <w:p>
            <w:pPr>
              <w:spacing w:after="0"/>
              <w:rPr>
                <w:sz w:val="18"/>
                <w:szCs w:val="18"/>
                <w:color w:val="auto"/>
              </w:rPr>
            </w:pPr>
          </w:p>
        </w:tc>
        <w:tc>
          <w:tcPr>
            <w:tcW w:w="7780" w:type="dxa"/>
            <w:vAlign w:val="bottom"/>
          </w:tcPr>
          <w:p>
            <w:pPr>
              <w:jc w:val="center"/>
              <w:ind w:left="1631"/>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7"/>
        </w:trPr>
        <w:tc>
          <w:tcPr>
            <w:tcW w:w="700" w:type="dxa"/>
            <w:vAlign w:val="bottom"/>
          </w:tcPr>
          <w:p>
            <w:pPr>
              <w:spacing w:after="0"/>
              <w:rPr>
                <w:sz w:val="20"/>
                <w:szCs w:val="20"/>
                <w:color w:val="auto"/>
              </w:rPr>
            </w:pPr>
          </w:p>
        </w:tc>
        <w:tc>
          <w:tcPr>
            <w:tcW w:w="7780" w:type="dxa"/>
            <w:vAlign w:val="bottom"/>
          </w:tcPr>
          <w:p>
            <w:pPr>
              <w:jc w:val="center"/>
              <w:ind w:left="1611"/>
              <w:spacing w:after="0"/>
              <w:rPr>
                <w:sz w:val="20"/>
                <w:szCs w:val="20"/>
                <w:color w:val="auto"/>
              </w:rPr>
            </w:pPr>
            <w:r>
              <w:rPr>
                <w:rFonts w:ascii="Times New Roman" w:cs="Times New Roman" w:eastAsia="Times New Roman" w:hAnsi="Times New Roman"/>
                <w:sz w:val="18"/>
                <w:szCs w:val="18"/>
                <w:b w:val="1"/>
                <w:bCs w:val="1"/>
                <w:color w:val="auto"/>
                <w:w w:val="99"/>
              </w:rPr>
              <w:t>(continued)</w:t>
            </w:r>
          </w:p>
        </w:tc>
        <w:tc>
          <w:tcPr>
            <w:tcW w:w="20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87"/>
        </w:trPr>
        <w:tc>
          <w:tcPr>
            <w:tcW w:w="70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2"/>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2080" w:type="dxa"/>
            <w:vAlign w:val="bottom"/>
          </w:tcPr>
          <w:p>
            <w:pPr>
              <w:spacing w:after="0"/>
              <w:rPr>
                <w:sz w:val="24"/>
                <w:szCs w:val="24"/>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Vacancies in Offices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Representation of Shares of Other Corporations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3"/>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5.8</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1"/>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 Records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1"/>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 General Matters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2"/>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Certificates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Special Designation of Certificates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Lost Certificates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Without Certificates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7.6</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Construction; Definitions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7.7</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7.8</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Fiscal Year</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7.9</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Seal</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7.10</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Transfer of Stock</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Transfer Agreements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7.12</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Registered Stockholders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3"/>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7.13</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of Notice</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1"/>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 Notice</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1"/>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Delivery of Notice; Notice by Electronic Transmission</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1"/>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 Indemnification</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2"/>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of Directors and Officers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of Others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Prepayment of Expenses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Determination; Claim</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Non-Exclusivity of Rights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4"/>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Continuation of Indemnification</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3"/>
        </w:trPr>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 or Repeal; Interpretation</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1"/>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 Amendments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1"/>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 Definitions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61"/>
        </w:trPr>
        <w:tc>
          <w:tcPr>
            <w:tcW w:w="700" w:type="dxa"/>
            <w:vAlign w:val="bottom"/>
          </w:tcPr>
          <w:p>
            <w:pPr>
              <w:spacing w:after="0"/>
              <w:rPr>
                <w:sz w:val="24"/>
                <w:szCs w:val="24"/>
                <w:color w:val="auto"/>
              </w:rPr>
            </w:pPr>
          </w:p>
        </w:tc>
        <w:tc>
          <w:tcPr>
            <w:tcW w:w="7780" w:type="dxa"/>
            <w:vAlign w:val="bottom"/>
          </w:tcPr>
          <w:p>
            <w:pPr>
              <w:jc w:val="center"/>
              <w:ind w:left="1631"/>
              <w:spacing w:after="0"/>
              <w:rPr>
                <w:sz w:val="20"/>
                <w:szCs w:val="20"/>
                <w:color w:val="auto"/>
              </w:rPr>
            </w:pPr>
            <w:r>
              <w:rPr>
                <w:rFonts w:ascii="Times New Roman" w:cs="Times New Roman" w:eastAsia="Times New Roman" w:hAnsi="Times New Roman"/>
                <w:sz w:val="18"/>
                <w:szCs w:val="18"/>
                <w:color w:val="auto"/>
                <w:w w:val="99"/>
              </w:rPr>
              <w:t>ii</w:t>
            </w:r>
          </w:p>
        </w:tc>
        <w:tc>
          <w:tcPr>
            <w:tcW w:w="20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40"/>
          </w:cols>
          <w:pgMar w:left="500" w:top="264" w:right="559" w:bottom="1440" w:gutter="0" w:footer="0" w:header="0"/>
        </w:sect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bookmarkStart w:id="351" w:name="page352"/>
    <w:bookmarkEnd w:id="35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Amended and Restated Bylaws of</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7">
                      <a:extLst>
                        <a:ext uri="{28A0092B-C50C-407E-A947-70E740481C1C}"/>
                      </a:extLst>
                    </a:blip>
                    <a:srcRect/>
                    <a:stretch>
                      <a:fillRect/>
                    </a:stretch>
                  </pic:blipFill>
                  <pic:spPr bwMode="auto">
                    <a:xfrm>
                      <a:off x="0" y="0"/>
                      <a:ext cx="1450340" cy="8255"/>
                    </a:xfrm>
                    <a:prstGeom prst="rect">
                      <a:avLst/>
                    </a:prstGeom>
                    <a:noFill/>
                  </pic:spPr>
                </pic:pic>
              </a:graphicData>
            </a:graphic>
          </wp:anchor>
        </w:drawing>
        <w:drawing>
          <wp:anchor simplePos="0" relativeHeight="251657728" behindDoc="1" locked="0" layoutInCell="0" allowOverlap="1">
            <wp:simplePos x="0" y="0"/>
            <wp:positionH relativeFrom="column">
              <wp:posOffset>2731770</wp:posOffset>
            </wp:positionH>
            <wp:positionV relativeFrom="paragraph">
              <wp:posOffset>309245</wp:posOffset>
            </wp:positionV>
            <wp:extent cx="145034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8">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331"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Registered Office</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color w:val="auto"/>
        </w:rPr>
        <w:t>The address of the registered office of GoodRx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 the State of Delaware, and the name of its registered agent at such address, shall be as set forth in the Corporation’s certificate of incorporation, as the same may be amended and/or restated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u w:val="single" w:color="auto"/>
          <w:color w:val="auto"/>
        </w:rPr>
        <w:t>Other Offices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600" w:firstLine="436"/>
        <w:spacing w:after="0" w:line="277" w:lineRule="auto"/>
        <w:rPr>
          <w:sz w:val="20"/>
          <w:szCs w:val="20"/>
          <w:color w:val="auto"/>
        </w:rPr>
      </w:pPr>
      <w:r>
        <w:rPr>
          <w:rFonts w:ascii="Times New Roman" w:cs="Times New Roman" w:eastAsia="Times New Roman" w:hAnsi="Times New Roman"/>
          <w:sz w:val="18"/>
          <w:szCs w:val="18"/>
          <w:color w:val="auto"/>
        </w:rPr>
        <w:t>The Corporation may have additional offices at any place or places, within or outside the State of Delaware, as the Corporation’s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establish or as the business of the Corporation may require.</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224"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Place of Meetings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Corporation’s principal executive office.</w:t>
      </w:r>
    </w:p>
    <w:p>
      <w:pPr>
        <w:spacing w:after="0" w:line="289"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Annual Meeting</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100" w:firstLine="436"/>
        <w:spacing w:after="0" w:line="262" w:lineRule="auto"/>
        <w:rPr>
          <w:sz w:val="20"/>
          <w:szCs w:val="20"/>
          <w:color w:val="auto"/>
        </w:rPr>
      </w:pPr>
      <w:r>
        <w:rPr>
          <w:rFonts w:ascii="Times New Roman" w:cs="Times New Roman" w:eastAsia="Times New Roman" w:hAnsi="Times New Roman"/>
          <w:sz w:val="18"/>
          <w:szCs w:val="18"/>
          <w:color w:val="auto"/>
        </w:rPr>
        <w:t>The Board shall designate the date and time of the annual meeting. At the annual meeting, directors shall be elected and other proper business properly brought before the meeting in accordance with Section 2.4 of these Bylaws may be transacted. The Board may postpone, reschedule or cancel any previously scheduled annual meeting of stockholders.</w:t>
      </w:r>
    </w:p>
    <w:p>
      <w:pPr>
        <w:spacing w:after="0" w:line="284"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Special Meeting</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Special meetings of the stockholders may be called only by such persons and only in such manner as set forth in the Certificate of Incorporation.</w:t>
      </w:r>
    </w:p>
    <w:p>
      <w:pPr>
        <w:spacing w:after="0" w:line="220" w:lineRule="exact"/>
        <w:rPr>
          <w:sz w:val="20"/>
          <w:szCs w:val="20"/>
          <w:color w:val="auto"/>
        </w:rPr>
      </w:pPr>
    </w:p>
    <w:p>
      <w:pPr>
        <w:ind w:right="140" w:firstLine="436"/>
        <w:spacing w:after="0" w:line="277" w:lineRule="auto"/>
        <w:rPr>
          <w:sz w:val="20"/>
          <w:szCs w:val="20"/>
          <w:color w:val="auto"/>
        </w:rPr>
      </w:pPr>
      <w:r>
        <w:rPr>
          <w:rFonts w:ascii="Times New Roman" w:cs="Times New Roman" w:eastAsia="Times New Roman" w:hAnsi="Times New Roman"/>
          <w:sz w:val="18"/>
          <w:szCs w:val="18"/>
          <w:color w:val="auto"/>
        </w:rPr>
        <w:t>No business may be transacted at any special meeting of stockholders other than the business specified in the notice of such meeting. The Board may postpone, reschedule or cancel any previously scheduled special meeting of stockholders.</w:t>
      </w:r>
    </w:p>
    <w:p>
      <w:pPr>
        <w:sectPr>
          <w:pgSz w:w="11900" w:h="16838" w:orient="portrait"/>
          <w:cols w:equalWidth="0" w:num="1">
            <w:col w:w="10840"/>
          </w:cols>
          <w:pgMar w:left="500" w:top="264" w:right="559" w:bottom="1440" w:gutter="0" w:footer="0" w:header="0"/>
        </w:sectPr>
      </w:pPr>
    </w:p>
    <w:bookmarkStart w:id="352" w:name="page353"/>
    <w:bookmarkEnd w:id="352"/>
    <w:p>
      <w:pPr>
        <w:jc w:val="both"/>
        <w:ind w:right="480" w:firstLine="436"/>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Notice of Business to be Brought before a Meeting</w:t>
      </w:r>
      <w:r>
        <w:rPr>
          <w:rFonts w:ascii="Times New Roman" w:cs="Times New Roman" w:eastAsia="Times New Roman" w:hAnsi="Times New Roman"/>
          <w:sz w:val="18"/>
          <w:szCs w:val="18"/>
          <w:color w:val="auto"/>
        </w:rPr>
        <w:t>. This Section 2.4 shall apply to any business that may be brought before an annual meeting of stockholders other than nominations for election to the Board at such meeting, which shall be governed by Section 2.5 and Section 2.6. Stockholders seeking to nominate persons for election to the Board must comply with Section 2.5 and Section 2.6 and this Section 2.4 shall not be applicable to nominations except as expressly provided in Section 2.5 and Section 2.6.</w:t>
      </w:r>
    </w:p>
    <w:p>
      <w:pPr>
        <w:spacing w:after="0" w:line="182" w:lineRule="exact"/>
        <w:rPr>
          <w:sz w:val="20"/>
          <w:szCs w:val="20"/>
          <w:color w:val="auto"/>
        </w:rPr>
      </w:pPr>
    </w:p>
    <w:p>
      <w:pPr>
        <w:ind w:firstLine="430"/>
        <w:spacing w:after="0" w:line="249" w:lineRule="auto"/>
        <w:tabs>
          <w:tab w:leader="none" w:pos="802"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annual meeting of the stockholders, only such business shall be conducted as shall have been properly brought before the meeting. To be properly brought before an annual meeting, business must be (i) specified in a notice of meeting given by or at the direction of the Board, (ii) if not specified in a notice of meeting, otherwise brought before the meeting by the Board or the Chairperson of the Board, if any, or (iii) otherwise properly brought before the meeting by a stockholder present in person who (A) (1) was a record owner of shares of the Corporation both at the time of giving the notice provided for in this Section 2.4 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Section 2.3, and stockholders shall not be permitted to propose business to be brought before a special meeting of the stockholders. For purposes of this Section 2.4 and Section 2.5, “</w:t>
      </w:r>
      <w:r>
        <w:rPr>
          <w:rFonts w:ascii="Times New Roman" w:cs="Times New Roman" w:eastAsia="Times New Roman" w:hAnsi="Times New Roman"/>
          <w:sz w:val="18"/>
          <w:szCs w:val="18"/>
          <w:u w:val="single" w:color="auto"/>
          <w:color w:val="auto"/>
        </w:rPr>
        <w:t>present in person</w:t>
      </w:r>
      <w:r>
        <w:rPr>
          <w:rFonts w:ascii="Times New Roman" w:cs="Times New Roman" w:eastAsia="Times New Roman" w:hAnsi="Times New Roman"/>
          <w:sz w:val="18"/>
          <w:szCs w:val="18"/>
          <w:color w:val="auto"/>
        </w:rPr>
        <w:t>” shall mean that the stockholder proposing that the business be brought before the annual meeting of the Corporation, or a qualified representative of such proposing stockholder, appear at such annual meeting, and a “</w:t>
      </w:r>
      <w:r>
        <w:rPr>
          <w:rFonts w:ascii="Times New Roman" w:cs="Times New Roman" w:eastAsia="Times New Roman" w:hAnsi="Times New Roman"/>
          <w:sz w:val="18"/>
          <w:szCs w:val="18"/>
          <w:u w:val="single" w:color="auto"/>
          <w:color w:val="auto"/>
        </w:rPr>
        <w:t>qualified representative</w:t>
      </w:r>
      <w:r>
        <w:rPr>
          <w:rFonts w:ascii="Times New Roman" w:cs="Times New Roman" w:eastAsia="Times New Roman" w:hAnsi="Times New Roman"/>
          <w:sz w:val="18"/>
          <w:szCs w:val="18"/>
          <w:color w:val="auto"/>
        </w:rPr>
        <w:t>”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97" w:lineRule="exact"/>
        <w:rPr>
          <w:rFonts w:ascii="Times New Roman" w:cs="Times New Roman" w:eastAsia="Times New Roman" w:hAnsi="Times New Roman"/>
          <w:sz w:val="18"/>
          <w:szCs w:val="18"/>
          <w:color w:val="auto"/>
        </w:rPr>
      </w:pPr>
    </w:p>
    <w:p>
      <w:pPr>
        <w:ind w:firstLine="430"/>
        <w:spacing w:after="0" w:line="250" w:lineRule="auto"/>
        <w:tabs>
          <w:tab w:leader="none" w:pos="81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at, the principal executive offices of the Corporation not less than ninety (90) days nor more than one hundred twenty (120) days prior to the one-year anniversary of the preceding year’s annual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date of the annual meeting is more than thirty (30) days before or more than sixty (60) days after such anniversary date, notice by the stockholder to be timely must be so delivered, or mailed and received, not later than the ninetieth (90th) day prior to such annual meeting or, if later, the tenth (10th) day following the day on which public disclosure of the date of such annual meeting was first made by the Corporation (such notice within such time periods,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for the purposes of calculating Timely Notice for the first annual meeting held after the Corporation’s initial public offering of its Class A Common Stock pursuant to a registration statement on Form S-1, the date of the immediately preceding annual meeting shall be deemed to be June 5, 2020. In no event shall any adjournment or postponement of an annual meeting or the announcement thereof commence a new time period (or extend any time period) for the giving of Timely Notice as described above.</w:t>
      </w:r>
    </w:p>
    <w:p>
      <w:pPr>
        <w:spacing w:after="0" w:line="191" w:lineRule="exact"/>
        <w:rPr>
          <w:rFonts w:ascii="Times New Roman" w:cs="Times New Roman" w:eastAsia="Times New Roman" w:hAnsi="Times New Roman"/>
          <w:sz w:val="18"/>
          <w:szCs w:val="18"/>
          <w:color w:val="auto"/>
        </w:rPr>
      </w:pPr>
    </w:p>
    <w:p>
      <w:pPr>
        <w:ind w:left="800" w:hanging="370"/>
        <w:spacing w:after="0"/>
        <w:tabs>
          <w:tab w:leader="none" w:pos="8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2.4, a stockholder’s notice to the Secretary shall set forth:</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500" w:top="267" w:right="499" w:bottom="1440" w:gutter="0" w:footer="0" w:header="0"/>
        </w:sectPr>
      </w:pPr>
    </w:p>
    <w:bookmarkStart w:id="353" w:name="page354"/>
    <w:bookmarkEnd w:id="353"/>
    <w:p>
      <w:pPr>
        <w:ind w:right="20" w:firstLine="428"/>
        <w:spacing w:after="0" w:line="253" w:lineRule="auto"/>
        <w:tabs>
          <w:tab w:leader="none" w:pos="75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As to each Proposing Person (as defined below), (A) the name and address of such Proposing Person (including,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w:t>
      </w:r>
      <w:r>
        <w:rPr>
          <w:rFonts w:ascii="Times New Roman" w:cs="Times New Roman" w:eastAsia="Times New Roman" w:hAnsi="Times New Roman"/>
          <w:sz w:val="18"/>
          <w:szCs w:val="18"/>
          <w:u w:val="single" w:color="auto"/>
          <w:color w:val="auto"/>
        </w:rPr>
        <w:t>Stockholder Information</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firstLine="428"/>
        <w:spacing w:after="0" w:line="264" w:lineRule="auto"/>
        <w:tabs>
          <w:tab w:leader="none" w:pos="804"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Times New Roman" w:cs="Times New Roman" w:eastAsia="Times New Roman" w:hAnsi="Times New Roman"/>
          <w:sz w:val="17"/>
          <w:szCs w:val="17"/>
          <w:u w:val="single" w:color="auto"/>
          <w:color w:val="auto"/>
        </w:rPr>
        <w:t>Synthetic Equity Position</w:t>
      </w:r>
      <w:r>
        <w:rPr>
          <w:rFonts w:ascii="Times New Roman" w:cs="Times New Roman" w:eastAsia="Times New Roman" w:hAnsi="Times New Roman"/>
          <w:sz w:val="17"/>
          <w:szCs w:val="17"/>
          <w:color w:val="auto"/>
        </w:rPr>
        <w:t xml:space="preserve">”) and that is, directly or indirectly, held or maintained by such Proposing Person with respect to any shares of any class or series of shares of the Corporation;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shares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 and (G)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w:t>
      </w:r>
      <w:r>
        <w:rPr>
          <w:rFonts w:ascii="Times New Roman" w:cs="Times New Roman" w:eastAsia="Times New Roman" w:hAnsi="Times New Roman"/>
          <w:sz w:val="17"/>
          <w:szCs w:val="17"/>
          <w:u w:val="single" w:color="auto"/>
          <w:color w:val="auto"/>
        </w:rPr>
        <w:t>Disclosable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Interests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3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60"/>
          </w:cols>
          <w:pgMar w:left="920" w:top="267" w:right="519" w:bottom="1440" w:gutter="0" w:footer="0" w:header="0"/>
        </w:sectPr>
      </w:pPr>
    </w:p>
    <w:bookmarkStart w:id="354" w:name="page355"/>
    <w:bookmarkEnd w:id="354"/>
    <w:p>
      <w:pPr>
        <w:ind w:left="420" w:firstLine="428"/>
        <w:spacing w:after="0" w:line="266" w:lineRule="auto"/>
        <w:tabs>
          <w:tab w:leader="none" w:pos="1274"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and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w:t>
      </w:r>
    </w:p>
    <w:p>
      <w:pPr>
        <w:spacing w:after="0" w:line="1" w:lineRule="exact"/>
        <w:rPr>
          <w:rFonts w:ascii="Times New Roman" w:cs="Times New Roman" w:eastAsia="Times New Roman" w:hAnsi="Times New Roman"/>
          <w:sz w:val="17"/>
          <w:szCs w:val="17"/>
          <w:color w:val="auto"/>
        </w:rPr>
      </w:pPr>
    </w:p>
    <w:p>
      <w:pPr>
        <w:ind w:left="420" w:right="40" w:firstLine="10"/>
        <w:spacing w:after="0" w:line="249" w:lineRule="auto"/>
        <w:tabs>
          <w:tab w:leader="none" w:pos="712"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90" w:lineRule="exact"/>
        <w:rPr>
          <w:sz w:val="20"/>
          <w:szCs w:val="20"/>
          <w:color w:val="auto"/>
        </w:rPr>
      </w:pPr>
    </w:p>
    <w:p>
      <w:pPr>
        <w:jc w:val="both"/>
        <w:ind w:right="100" w:firstLine="430"/>
        <w:spacing w:after="0" w:line="257" w:lineRule="auto"/>
        <w:tabs>
          <w:tab w:leader="none" w:pos="82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2.4,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182" w:lineRule="exact"/>
        <w:rPr>
          <w:rFonts w:ascii="Times New Roman" w:cs="Times New Roman" w:eastAsia="Times New Roman" w:hAnsi="Times New Roman"/>
          <w:sz w:val="18"/>
          <w:szCs w:val="18"/>
          <w:color w:val="auto"/>
        </w:rPr>
      </w:pPr>
    </w:p>
    <w:p>
      <w:pPr>
        <w:ind w:firstLine="430"/>
        <w:spacing w:after="0" w:line="266" w:lineRule="auto"/>
        <w:tabs>
          <w:tab w:leader="none" w:pos="802"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78" w:lineRule="exact"/>
        <w:rPr>
          <w:rFonts w:ascii="Times New Roman" w:cs="Times New Roman" w:eastAsia="Times New Roman" w:hAnsi="Times New Roman"/>
          <w:sz w:val="17"/>
          <w:szCs w:val="17"/>
          <w:color w:val="auto"/>
        </w:rPr>
      </w:pPr>
    </w:p>
    <w:p>
      <w:pPr>
        <w:jc w:val="both"/>
        <w:ind w:right="200" w:firstLine="430"/>
        <w:spacing w:after="0" w:line="257" w:lineRule="auto"/>
        <w:tabs>
          <w:tab w:leader="none" w:pos="79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business shall be conducted at an annual meeting that is not properly brought before the meeting in accordance with this Section 2.4. The presiding officer of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68" w:right="519" w:bottom="1440" w:gutter="0" w:footer="0" w:header="0"/>
        </w:sectPr>
      </w:pPr>
    </w:p>
    <w:bookmarkStart w:id="355" w:name="page356"/>
    <w:bookmarkEnd w:id="355"/>
    <w:p>
      <w:pPr>
        <w:ind w:left="6" w:firstLine="430"/>
        <w:spacing w:after="0" w:line="255" w:lineRule="auto"/>
        <w:tabs>
          <w:tab w:leader="none" w:pos="82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spacing w:after="0" w:line="182" w:lineRule="exact"/>
        <w:rPr>
          <w:rFonts w:ascii="Times New Roman" w:cs="Times New Roman" w:eastAsia="Times New Roman" w:hAnsi="Times New Roman"/>
          <w:sz w:val="18"/>
          <w:szCs w:val="18"/>
          <w:color w:val="auto"/>
        </w:rPr>
      </w:pPr>
    </w:p>
    <w:p>
      <w:pPr>
        <w:ind w:left="6" w:right="280" w:firstLine="430"/>
        <w:spacing w:after="0" w:line="308" w:lineRule="auto"/>
        <w:tabs>
          <w:tab w:leader="none" w:pos="828"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these Bylaws, “</w:t>
      </w:r>
      <w:r>
        <w:rPr>
          <w:rFonts w:ascii="Times New Roman" w:cs="Times New Roman" w:eastAsia="Times New Roman" w:hAnsi="Times New Roman"/>
          <w:sz w:val="17"/>
          <w:szCs w:val="17"/>
          <w:u w:val="single" w:color="auto"/>
          <w:color w:val="auto"/>
        </w:rPr>
        <w:t>public disclosure</w:t>
      </w:r>
      <w:r>
        <w:rPr>
          <w:rFonts w:ascii="Times New Roman" w:cs="Times New Roman" w:eastAsia="Times New Roman" w:hAnsi="Times New Roman"/>
          <w:sz w:val="17"/>
          <w:szCs w:val="17"/>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246" w:lineRule="exact"/>
        <w:rPr>
          <w:sz w:val="20"/>
          <w:szCs w:val="20"/>
          <w:color w:val="auto"/>
        </w:rPr>
      </w:pPr>
    </w:p>
    <w:p>
      <w:pPr>
        <w:ind w:left="426"/>
        <w:spacing w:after="0"/>
        <w:tabs>
          <w:tab w:leader="none" w:pos="826"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u w:val="single" w:color="auto"/>
          <w:color w:val="auto"/>
        </w:rPr>
        <w:t>Notice of Nominations for Election to the Board</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6" w:right="20" w:firstLine="430"/>
        <w:spacing w:after="0" w:line="252" w:lineRule="auto"/>
        <w:tabs>
          <w:tab w:leader="none" w:pos="818"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(i) as provided in the Stockholders Agreement (as defined below), (ii) by or at the direction of the Board, including by any committee or persons authorized to do so by the Board or these Bylaws, or (iii) by a stockholder present in person (A) who was a record owner of shares of the Corporation both at the time of giving the notice provided for in this Section 2.5 and at the time of the meeting, (B) is entitled to vote at the meeting, and (C) has complied with this Section 2.5 and Section 2.6 as to such notice and nomination. Other than nominations made by a stockholder in accordance with the Stockholders Agreement, the foregoing clause (iii) shall be the exclusive means for a stockholder to make any nomination of a person or persons for election to the Board at an annual meeting or special meeting.</w:t>
      </w:r>
    </w:p>
    <w:p>
      <w:pPr>
        <w:spacing w:after="0" w:line="184" w:lineRule="exact"/>
        <w:rPr>
          <w:rFonts w:ascii="Times New Roman" w:cs="Times New Roman" w:eastAsia="Times New Roman" w:hAnsi="Times New Roman"/>
          <w:sz w:val="18"/>
          <w:szCs w:val="18"/>
          <w:color w:val="auto"/>
        </w:rPr>
      </w:pPr>
    </w:p>
    <w:p>
      <w:pPr>
        <w:ind w:left="6" w:right="40" w:firstLine="430"/>
        <w:spacing w:after="0" w:line="258" w:lineRule="auto"/>
        <w:tabs>
          <w:tab w:leader="none" w:pos="828"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Without qualification, for a stockholder to make any nomination of a person or persons for election to the Board at an annual meeting, the stockholder must (1) provide Timely Notice (as defined in Section 2.4) thereof in writing and in proper form to the Secretary of the Corporation,</w:t>
      </w:r>
    </w:p>
    <w:p>
      <w:pPr>
        <w:spacing w:after="0" w:line="1" w:lineRule="exact"/>
        <w:rPr>
          <w:rFonts w:ascii="Times New Roman" w:cs="Times New Roman" w:eastAsia="Times New Roman" w:hAnsi="Times New Roman"/>
          <w:sz w:val="18"/>
          <w:szCs w:val="18"/>
          <w:color w:val="auto"/>
        </w:rPr>
      </w:pPr>
    </w:p>
    <w:p>
      <w:pPr>
        <w:jc w:val="both"/>
        <w:ind w:left="6" w:right="120" w:hanging="6"/>
        <w:spacing w:after="0" w:line="251" w:lineRule="auto"/>
        <w:tabs>
          <w:tab w:leader="none" w:pos="258"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information, agreements and questionnaires with respect to such stockholder and its candidate for nomination as required to be set forth by this Section 2.5 and Section 2.6 and (3) provide any updates or supplements to such notice at the times and in the forms required by this Section 2.5 and Section 2.6.</w:t>
      </w:r>
    </w:p>
    <w:p>
      <w:pPr>
        <w:spacing w:after="0" w:line="186" w:lineRule="exact"/>
        <w:rPr>
          <w:rFonts w:ascii="Times New Roman" w:cs="Times New Roman" w:eastAsia="Times New Roman" w:hAnsi="Times New Roman"/>
          <w:sz w:val="18"/>
          <w:szCs w:val="18"/>
          <w:color w:val="auto"/>
        </w:rPr>
      </w:pPr>
    </w:p>
    <w:p>
      <w:pPr>
        <w:ind w:left="6" w:right="60" w:firstLine="430"/>
        <w:spacing w:after="0" w:line="251" w:lineRule="auto"/>
        <w:tabs>
          <w:tab w:leader="none" w:pos="704"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if the election of directors is a matter specified in the notice of meeting given by or at the direction of the person calling a special meeting, then for a stockholder to make any nomination of a person or persons for election to the Board at a special meeting, the stockholder must (i) provide timely notice thereof in writing and in proper form to the Secretary of the Corporation at the principal executive offices of the Corporation, (ii) provide the information with respect to such stockholder and its candidate for nomination as required by this Section 2.5 and Section 2.6 and (iii)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Section 2.4) of the date of such special meeting was first made.</w:t>
      </w:r>
    </w:p>
    <w:p>
      <w:pPr>
        <w:spacing w:after="0" w:line="189" w:lineRule="exact"/>
        <w:rPr>
          <w:sz w:val="20"/>
          <w:szCs w:val="20"/>
          <w:color w:val="auto"/>
        </w:rPr>
      </w:pPr>
    </w:p>
    <w:p>
      <w:pPr>
        <w:ind w:left="6" w:right="220" w:firstLine="430"/>
        <w:spacing w:after="0" w:line="277" w:lineRule="auto"/>
        <w:tabs>
          <w:tab w:leader="none" w:pos="75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adjournment or postponement of an annual meeting or special meeting or the announcement thereof commence a new time period (or extend any time period) for the giving of a stockholder’s notice as described above.</w:t>
      </w:r>
    </w:p>
    <w:p>
      <w:pPr>
        <w:spacing w:after="0" w:line="9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6"/>
          </w:cols>
          <w:pgMar w:left="494" w:top="268" w:right="519" w:bottom="1440" w:gutter="0" w:footer="0" w:header="0"/>
        </w:sectPr>
      </w:pPr>
    </w:p>
    <w:bookmarkStart w:id="356" w:name="page357"/>
    <w:bookmarkEnd w:id="356"/>
    <w:p>
      <w:pPr>
        <w:jc w:val="both"/>
        <w:ind w:right="20" w:firstLine="430"/>
        <w:spacing w:after="0" w:line="255" w:lineRule="auto"/>
        <w:tabs>
          <w:tab w:leader="none" w:pos="737"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3">
                      <a:extLst>
                        <a:ext uri="{28A0092B-C50C-407E-A947-70E740481C1C}"/>
                      </a:extLst>
                    </a:blip>
                    <a:srcRect/>
                    <a:stretch>
                      <a:fillRect/>
                    </a:stretch>
                  </pic:blipFill>
                  <pic:spPr bwMode="auto">
                    <a:xfrm>
                      <a:off x="0" y="0"/>
                      <a:ext cx="7150735" cy="24765"/>
                    </a:xfrm>
                    <a:prstGeom prst="rect">
                      <a:avLst/>
                    </a:prstGeom>
                    <a:noFill/>
                  </pic:spPr>
                </pic:pic>
              </a:graphicData>
            </a:graphic>
          </wp:anchor>
        </w:drawing>
        <w:t>In no event may a Nominating Person provide Timely Notice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 (A)(1) the conclusion of the time period for Timely Notice for an annual meeting or (2) the date set forth in Section 2.5(b)(ii) for a special meeting, and (B) the tenth day following the date of public disclosure (as defined in Section 2.4) of such increase.</w:t>
      </w:r>
    </w:p>
    <w:p>
      <w:pPr>
        <w:spacing w:after="0" w:line="183" w:lineRule="exact"/>
        <w:rPr>
          <w:sz w:val="20"/>
          <w:szCs w:val="20"/>
          <w:color w:val="auto"/>
        </w:rPr>
      </w:pPr>
    </w:p>
    <w:p>
      <w:pPr>
        <w:ind w:left="800" w:hanging="370"/>
        <w:spacing w:after="0"/>
        <w:tabs>
          <w:tab w:leader="none" w:pos="80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2.5, a stockholder’s notice to the Secretary shall set forth:</w:t>
      </w:r>
    </w:p>
    <w:p>
      <w:pPr>
        <w:spacing w:after="0" w:line="113" w:lineRule="exact"/>
        <w:rPr>
          <w:rFonts w:ascii="Times New Roman" w:cs="Times New Roman" w:eastAsia="Times New Roman" w:hAnsi="Times New Roman"/>
          <w:sz w:val="18"/>
          <w:szCs w:val="18"/>
          <w:color w:val="auto"/>
        </w:rPr>
      </w:pPr>
    </w:p>
    <w:p>
      <w:pPr>
        <w:jc w:val="both"/>
        <w:ind w:left="420" w:right="20" w:firstLine="428"/>
        <w:spacing w:after="0" w:line="308" w:lineRule="auto"/>
        <w:tabs>
          <w:tab w:leader="none" w:pos="1175"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Nominating Person (as defined below), the Stockholder Information (as defined in Section 2.4(c)(i), except that for purposes of this Section 2.5 the term “Nominating Person” shall be substituted for the term “Proposing Person” in all places it appears in Section 2.4(c)(i));</w:t>
      </w:r>
    </w:p>
    <w:p>
      <w:pPr>
        <w:spacing w:after="0" w:line="32" w:lineRule="exact"/>
        <w:rPr>
          <w:rFonts w:ascii="Times New Roman" w:cs="Times New Roman" w:eastAsia="Times New Roman" w:hAnsi="Times New Roman"/>
          <w:sz w:val="17"/>
          <w:szCs w:val="17"/>
          <w:color w:val="auto"/>
        </w:rPr>
      </w:pPr>
    </w:p>
    <w:p>
      <w:pPr>
        <w:ind w:left="420" w:right="140" w:firstLine="428"/>
        <w:spacing w:after="0" w:line="257" w:lineRule="auto"/>
        <w:tabs>
          <w:tab w:leader="none" w:pos="1224"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any Disclosable Interests (as defined in Section 2.4(c)(ii), except that for purposes of this Section 2.5 the term “Nominating Person” shall be substituted for the term “Proposing Person” in all places it appears in Section 2.4(c)(ii) and the disclosure with respect to the business to be brought before the meeting in Section 2.4(c)(ii) shall be made with respect to the nomination of persons for election to the Board at the meeting); and</w:t>
      </w:r>
    </w:p>
    <w:p>
      <w:pPr>
        <w:spacing w:after="0" w:line="75" w:lineRule="exact"/>
        <w:rPr>
          <w:rFonts w:ascii="Times New Roman" w:cs="Times New Roman" w:eastAsia="Times New Roman" w:hAnsi="Times New Roman"/>
          <w:sz w:val="18"/>
          <w:szCs w:val="18"/>
          <w:color w:val="auto"/>
        </w:rPr>
      </w:pPr>
    </w:p>
    <w:p>
      <w:pPr>
        <w:ind w:left="420" w:firstLine="428"/>
        <w:spacing w:after="0" w:line="266" w:lineRule="auto"/>
        <w:tabs>
          <w:tab w:leader="none" w:pos="1274"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candidate whom a Nominating Person proposes to nominate for election as a director, (A) all information with respect to such candidate for nomination that would be required to be set forth in a stockholder’s notice pursuant to this Section 2.5 and Section 2.6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Corporation’s proxy statement as a nominee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Times New Roman" w:cs="Times New Roman" w:eastAsia="Times New Roman" w:hAnsi="Times New Roman"/>
          <w:sz w:val="17"/>
          <w:szCs w:val="17"/>
          <w:u w:val="single" w:color="auto"/>
          <w:color w:val="auto"/>
        </w:rPr>
        <w:t>Nominee Information</w:t>
      </w:r>
      <w:r>
        <w:rPr>
          <w:rFonts w:ascii="Times New Roman" w:cs="Times New Roman" w:eastAsia="Times New Roman" w:hAnsi="Times New Roman"/>
          <w:sz w:val="17"/>
          <w:szCs w:val="17"/>
          <w:color w:val="auto"/>
        </w:rPr>
        <w:t>”), and (D) a completed and signed questionnaire, representation and agreement as provided in Section 2.6(a).</w:t>
      </w:r>
    </w:p>
    <w:p>
      <w:pPr>
        <w:spacing w:after="0" w:line="181" w:lineRule="exact"/>
        <w:rPr>
          <w:rFonts w:ascii="Times New Roman" w:cs="Times New Roman" w:eastAsia="Times New Roman" w:hAnsi="Times New Roman"/>
          <w:sz w:val="17"/>
          <w:szCs w:val="17"/>
          <w:color w:val="auto"/>
        </w:rPr>
      </w:pPr>
    </w:p>
    <w:p>
      <w:pPr>
        <w:ind w:right="20" w:firstLine="430"/>
        <w:spacing w:after="0" w:line="262" w:lineRule="auto"/>
        <w:tabs>
          <w:tab w:leader="none" w:pos="821"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2.5, the term “</w:t>
      </w:r>
      <w:r>
        <w:rPr>
          <w:rFonts w:ascii="Times New Roman" w:cs="Times New Roman" w:eastAsia="Times New Roman" w:hAnsi="Times New Roman"/>
          <w:sz w:val="18"/>
          <w:szCs w:val="18"/>
          <w:u w:val="single" w:color="auto"/>
          <w:color w:val="auto"/>
        </w:rPr>
        <w:t>Nominating Person</w:t>
      </w:r>
      <w:r>
        <w:rPr>
          <w:rFonts w:ascii="Times New Roman" w:cs="Times New Roman" w:eastAsia="Times New Roman" w:hAnsi="Times New Roman"/>
          <w:sz w:val="18"/>
          <w:szCs w:val="18"/>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other participant in such solicitation.</w:t>
      </w:r>
    </w:p>
    <w:p>
      <w:pPr>
        <w:spacing w:after="0" w:line="177" w:lineRule="exact"/>
        <w:rPr>
          <w:rFonts w:ascii="Times New Roman" w:cs="Times New Roman" w:eastAsia="Times New Roman" w:hAnsi="Times New Roman"/>
          <w:sz w:val="18"/>
          <w:szCs w:val="18"/>
          <w:color w:val="auto"/>
        </w:rPr>
      </w:pPr>
    </w:p>
    <w:p>
      <w:pPr>
        <w:ind w:firstLine="430"/>
        <w:spacing w:after="0" w:line="255" w:lineRule="auto"/>
        <w:tabs>
          <w:tab w:leader="none" w:pos="84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500" w:top="267" w:right="519" w:bottom="1440" w:gutter="0" w:footer="0" w:header="0"/>
        </w:sectPr>
      </w:pPr>
    </w:p>
    <w:bookmarkStart w:id="357" w:name="page358"/>
    <w:bookmarkEnd w:id="357"/>
    <w:p>
      <w:pPr>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170" w:lineRule="exact"/>
        <w:rPr>
          <w:sz w:val="20"/>
          <w:szCs w:val="20"/>
          <w:color w:val="auto"/>
        </w:rPr>
      </w:pPr>
    </w:p>
    <w:p>
      <w:pPr>
        <w:ind w:right="40" w:firstLine="430"/>
        <w:spacing w:after="0" w:line="277" w:lineRule="auto"/>
        <w:tabs>
          <w:tab w:leader="none" w:pos="792"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2.5 with respect to any nomination proposed to be made at a meeting, each Nominating Person shall comply with all applicable requirements of the Exchange Act with respect to any such nominations.</w:t>
      </w:r>
    </w:p>
    <w:p>
      <w:pPr>
        <w:spacing w:after="0" w:line="270"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u w:val="single" w:color="auto"/>
          <w:color w:val="auto"/>
        </w:rPr>
        <w:t>Additional Requirements for Valid Nomination of Candidates to Serve as Director and, if Elected, to be Seated as Directors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firstLine="430"/>
        <w:spacing w:after="0" w:line="249" w:lineRule="auto"/>
        <w:tabs>
          <w:tab w:leader="none" w:pos="808"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candidate for election as a director of the Corporation at an annual or special meeting, a candidate must be nominated in the manner prescribed in Section 2.5 and the candidate for nomination, whether nominated by the Board or by a stockholder of record, must have previously delivered (with respect to nominations by stockholders pursuant to Section 2.5, within the time period for delivery of the stockholder’s notice pursuant to Section 2.5), to the Secretary at the principal executive offices of the Corporation, (i) a completed written questionnaire (in a form provided by the Corporation upon request) with respect to the background, qualifications, stock ownership and independence of such proposed nominee and (ii) a written representation and agreement (in form provided by the Corporation upon request)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that has not been disclosed to the Corporation (a “</w:t>
      </w:r>
      <w:r>
        <w:rPr>
          <w:rFonts w:ascii="Times New Roman" w:cs="Times New Roman" w:eastAsia="Times New Roman" w:hAnsi="Times New Roman"/>
          <w:sz w:val="18"/>
          <w:szCs w:val="18"/>
          <w:u w:val="single" w:color="auto"/>
          <w:color w:val="auto"/>
        </w:rPr>
        <w:t>Voting Commitment</w:t>
      </w:r>
      <w:r>
        <w:rPr>
          <w:rFonts w:ascii="Times New Roman" w:cs="Times New Roman" w:eastAsia="Times New Roman" w:hAnsi="Times New Roman"/>
          <w:sz w:val="18"/>
          <w:szCs w:val="18"/>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therein or otherwise to the Corporation and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w:t>
      </w:r>
    </w:p>
    <w:p>
      <w:pPr>
        <w:spacing w:after="0" w:line="197" w:lineRule="exact"/>
        <w:rPr>
          <w:rFonts w:ascii="Times New Roman" w:cs="Times New Roman" w:eastAsia="Times New Roman" w:hAnsi="Times New Roman"/>
          <w:sz w:val="18"/>
          <w:szCs w:val="18"/>
          <w:color w:val="auto"/>
        </w:rPr>
      </w:pPr>
    </w:p>
    <w:p>
      <w:pPr>
        <w:ind w:right="20" w:firstLine="430"/>
        <w:spacing w:after="0" w:line="257" w:lineRule="auto"/>
        <w:tabs>
          <w:tab w:leader="none" w:pos="818"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require any proposed candidate for nomination as a Director to furnish such other information as may reasonably be requested by the Board in writing prior to the meeting of stockholders at which such candidate’s nomination is to be acted upon in order for the Board to determine the eligibility of such candidate for nomination to be an independent director of the Corporation, including, without limitation, eligibility in accordance with the Corporation’s Corporate Governance Guidelines.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500" w:top="268" w:right="519" w:bottom="1440" w:gutter="0" w:footer="0" w:header="0"/>
        </w:sectPr>
      </w:pPr>
    </w:p>
    <w:bookmarkStart w:id="358" w:name="page359"/>
    <w:bookmarkEnd w:id="358"/>
    <w:p>
      <w:pPr>
        <w:ind w:firstLine="430"/>
        <w:spacing w:after="0" w:line="250" w:lineRule="auto"/>
        <w:tabs>
          <w:tab w:leader="none" w:pos="802"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or resolutions proposed to be brought before a meeting of the stockholders.</w:t>
      </w:r>
    </w:p>
    <w:p>
      <w:pPr>
        <w:spacing w:after="0" w:line="189" w:lineRule="exact"/>
        <w:rPr>
          <w:rFonts w:ascii="Times New Roman" w:cs="Times New Roman" w:eastAsia="Times New Roman" w:hAnsi="Times New Roman"/>
          <w:sz w:val="18"/>
          <w:szCs w:val="18"/>
          <w:color w:val="auto"/>
        </w:rPr>
      </w:pPr>
    </w:p>
    <w:p>
      <w:pPr>
        <w:ind w:firstLine="430"/>
        <w:spacing w:after="0" w:line="253" w:lineRule="auto"/>
        <w:tabs>
          <w:tab w:leader="none" w:pos="821"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candidate shall be eligible for nomination as a director of the Corporation unless such candidate for nomination and the Nominating Person seeking to place such candidate’s name in nomination has complied with Section 2.5 and this Section 2.6, as applicable. The presiding officer at the meeting shall, if the facts warrant, determine that a nomination was not properly made in accordance with Section 2.5 and this Section 2.6,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86" w:lineRule="exact"/>
        <w:rPr>
          <w:rFonts w:ascii="Times New Roman" w:cs="Times New Roman" w:eastAsia="Times New Roman" w:hAnsi="Times New Roman"/>
          <w:sz w:val="18"/>
          <w:szCs w:val="18"/>
          <w:color w:val="auto"/>
        </w:rPr>
      </w:pPr>
    </w:p>
    <w:p>
      <w:pPr>
        <w:ind w:right="240" w:firstLine="430"/>
        <w:spacing w:after="0" w:line="277" w:lineRule="auto"/>
        <w:tabs>
          <w:tab w:leader="none" w:pos="811"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2.6(f) of these Bylaws, no candidate for nomination shall be eligible to be seated as a director of the Corporation unless nominated in accordance with Section 2.5 and this Section 2.6.</w:t>
      </w:r>
    </w:p>
    <w:p>
      <w:pPr>
        <w:spacing w:after="0" w:line="163" w:lineRule="exact"/>
        <w:rPr>
          <w:rFonts w:ascii="Times New Roman" w:cs="Times New Roman" w:eastAsia="Times New Roman" w:hAnsi="Times New Roman"/>
          <w:sz w:val="18"/>
          <w:szCs w:val="18"/>
          <w:color w:val="auto"/>
        </w:rPr>
      </w:pPr>
    </w:p>
    <w:p>
      <w:pPr>
        <w:ind w:right="620" w:firstLine="430"/>
        <w:spacing w:after="0" w:line="257" w:lineRule="auto"/>
        <w:tabs>
          <w:tab w:leader="none" w:pos="792"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for so long as any party to that certain stockholders agreement, dated as of September [ ● ], 2020, by and among the Corporation and the persons party thereto (as may be amended from time to time,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entitled to nominate a Director pursuant to the Stockholders Agreement, such party shall not be subject to Section 2.5 or this Section 2.6.</w:t>
      </w:r>
    </w:p>
    <w:p>
      <w:pPr>
        <w:spacing w:after="0" w:line="289"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u w:val="single" w:color="auto"/>
          <w:color w:val="auto"/>
        </w:rPr>
        <w:t>Notice of Stockholders’ Meetings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140" w:firstLine="436"/>
        <w:spacing w:after="0" w:line="255"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500" w:top="268" w:right="519" w:bottom="1440" w:gutter="0" w:footer="0" w:header="0"/>
        </w:sectPr>
      </w:pPr>
    </w:p>
    <w:bookmarkStart w:id="359" w:name="page360"/>
    <w:bookmarkEnd w:id="359"/>
    <w:p>
      <w:pPr>
        <w:ind w:left="426"/>
        <w:spacing w:after="0"/>
        <w:tabs>
          <w:tab w:leader="none" w:pos="826"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2.8</w:t>
      </w:r>
      <w:r>
        <w:rPr>
          <w:sz w:val="20"/>
          <w:szCs w:val="20"/>
          <w:color w:val="auto"/>
        </w:rPr>
        <w:tab/>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6" w:right="80" w:firstLine="436"/>
        <w:spacing w:after="0" w:line="268" w:lineRule="auto"/>
        <w:rPr>
          <w:sz w:val="20"/>
          <w:szCs w:val="20"/>
          <w:color w:val="auto"/>
        </w:rPr>
      </w:pPr>
      <w:r>
        <w:rPr>
          <w:rFonts w:ascii="Times New Roman" w:cs="Times New Roman" w:eastAsia="Times New Roman" w:hAnsi="Times New Roman"/>
          <w:sz w:val="17"/>
          <w:szCs w:val="17"/>
          <w:color w:val="auto"/>
        </w:rPr>
        <w:t>Unless otherwise provided by law, the Certificate of Incorporation or these Bylaws, the holders of a majority in voting power of the stock issued and outstanding and entitled to vote, present in person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(i) the person presiding over the meeting or</w:t>
      </w:r>
    </w:p>
    <w:p>
      <w:pPr>
        <w:spacing w:after="0" w:line="1" w:lineRule="exact"/>
        <w:rPr>
          <w:sz w:val="20"/>
          <w:szCs w:val="20"/>
          <w:color w:val="auto"/>
        </w:rPr>
      </w:pPr>
    </w:p>
    <w:p>
      <w:pPr>
        <w:ind w:left="6" w:right="120" w:hanging="6"/>
        <w:spacing w:after="0" w:line="250" w:lineRule="auto"/>
        <w:tabs>
          <w:tab w:leader="none" w:pos="26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in voting power of the stockholders entitled to vote at the meeting, present in person, or by remote communication, if applicable, or represented by proxy, shall have power to adjourn the meeting from time to time in the manner provided in Section 2.9 of these Bylaws until a quorum is present or represented. At any adjourned meeting at which a quorum is present or represented, any business may be transacted that might have been transacted at the meeting as originally noticed.</w:t>
      </w:r>
    </w:p>
    <w:p>
      <w:pPr>
        <w:spacing w:after="0" w:line="294" w:lineRule="exact"/>
        <w:rPr>
          <w:sz w:val="20"/>
          <w:szCs w:val="20"/>
          <w:color w:val="auto"/>
        </w:rPr>
      </w:pPr>
    </w:p>
    <w:p>
      <w:pPr>
        <w:ind w:left="426"/>
        <w:spacing w:after="0"/>
        <w:tabs>
          <w:tab w:leader="none" w:pos="826"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u w:val="single" w:color="auto"/>
          <w:color w:val="auto"/>
        </w:rPr>
        <w:t>Adjourned Meeting; Notice</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6" w:firstLine="436"/>
        <w:spacing w:after="0" w:line="268" w:lineRule="auto"/>
        <w:rPr>
          <w:sz w:val="20"/>
          <w:szCs w:val="20"/>
          <w:color w:val="auto"/>
        </w:rPr>
      </w:pPr>
      <w:r>
        <w:rPr>
          <w:rFonts w:ascii="Times New Roman" w:cs="Times New Roman" w:eastAsia="Times New Roman" w:hAnsi="Times New Roman"/>
          <w:sz w:val="17"/>
          <w:szCs w:val="17"/>
          <w:color w:val="auto"/>
        </w:rPr>
        <w:t>When a meeting is adjourned to another time or place,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284" w:lineRule="exact"/>
        <w:rPr>
          <w:sz w:val="20"/>
          <w:szCs w:val="20"/>
          <w:color w:val="auto"/>
        </w:rPr>
      </w:pPr>
    </w:p>
    <w:p>
      <w:pPr>
        <w:ind w:left="426"/>
        <w:spacing w:after="0"/>
        <w:tabs>
          <w:tab w:leader="none" w:pos="906"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u w:val="single" w:color="auto"/>
          <w:color w:val="auto"/>
        </w:rPr>
        <w:t>Conduct of Business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6" w:firstLine="436"/>
        <w:spacing w:after="0" w:line="264" w:lineRule="auto"/>
        <w:rPr>
          <w:sz w:val="20"/>
          <w:szCs w:val="20"/>
          <w:color w:val="auto"/>
        </w:rPr>
      </w:pPr>
      <w:r>
        <w:rPr>
          <w:rFonts w:ascii="Times New Roman" w:cs="Times New Roman" w:eastAsia="Times New Roman" w:hAnsi="Times New Roman"/>
          <w:sz w:val="17"/>
          <w:szCs w:val="17"/>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w:t>
      </w:r>
    </w:p>
    <w:p>
      <w:pPr>
        <w:spacing w:after="0" w:line="6" w:lineRule="exact"/>
        <w:rPr>
          <w:sz w:val="20"/>
          <w:szCs w:val="20"/>
          <w:color w:val="auto"/>
        </w:rPr>
      </w:pPr>
    </w:p>
    <w:p>
      <w:pPr>
        <w:ind w:left="6" w:right="60" w:hanging="6"/>
        <w:spacing w:after="0" w:line="250" w:lineRule="auto"/>
        <w:tabs>
          <w:tab w:leader="none" w:pos="30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w:t>
      </w:r>
    </w:p>
    <w:p>
      <w:pPr>
        <w:spacing w:after="0" w:line="121"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66"/>
          </w:cols>
          <w:pgMar w:left="494" w:top="268" w:right="539" w:bottom="1440" w:gutter="0" w:footer="0" w:header="0"/>
        </w:sectPr>
      </w:pPr>
    </w:p>
    <w:bookmarkStart w:id="360" w:name="page361"/>
    <w:bookmarkEnd w:id="360"/>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290" w:lineRule="exact"/>
        <w:rPr>
          <w:sz w:val="20"/>
          <w:szCs w:val="20"/>
          <w:color w:val="auto"/>
        </w:rPr>
      </w:pPr>
    </w:p>
    <w:p>
      <w:pPr>
        <w:ind w:left="420"/>
        <w:spacing w:after="0"/>
        <w:tabs>
          <w:tab w:leader="none" w:pos="90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6"/>
          <w:szCs w:val="16"/>
          <w:u w:val="single" w:color="auto"/>
          <w:color w:val="auto"/>
        </w:rPr>
        <w:t>Voting</w:t>
      </w:r>
      <w:r>
        <w:rPr>
          <w:rFonts w:ascii="Times New Roman" w:cs="Times New Roman" w:eastAsia="Times New Roman" w:hAnsi="Times New Roman"/>
          <w:sz w:val="16"/>
          <w:szCs w:val="16"/>
          <w:color w:val="auto"/>
        </w:rPr>
        <w:t>.</w:t>
      </w:r>
    </w:p>
    <w:p>
      <w:pPr>
        <w:spacing w:after="0" w:line="114" w:lineRule="exact"/>
        <w:rPr>
          <w:sz w:val="20"/>
          <w:szCs w:val="20"/>
          <w:color w:val="auto"/>
        </w:rPr>
      </w:pPr>
    </w:p>
    <w:p>
      <w:pPr>
        <w:ind w:right="40" w:firstLine="436"/>
        <w:spacing w:after="0" w:line="277" w:lineRule="auto"/>
        <w:rPr>
          <w:sz w:val="20"/>
          <w:szCs w:val="20"/>
          <w:color w:val="auto"/>
        </w:rPr>
      </w:pPr>
      <w:r>
        <w:rPr>
          <w:rFonts w:ascii="Times New Roman" w:cs="Times New Roman" w:eastAsia="Times New Roman" w:hAnsi="Times New Roman"/>
          <w:sz w:val="18"/>
          <w:szCs w:val="18"/>
          <w:color w:val="auto"/>
        </w:rPr>
        <w:t>Except as may be otherwise provided in the Certificate of Incorporation, each stockholder shall be entitled to one (1) vote for each share of capital stock held by such stockholder.</w:t>
      </w:r>
    </w:p>
    <w:p>
      <w:pPr>
        <w:spacing w:after="0" w:line="163" w:lineRule="exact"/>
        <w:rPr>
          <w:sz w:val="20"/>
          <w:szCs w:val="20"/>
          <w:color w:val="auto"/>
        </w:rPr>
      </w:pPr>
    </w:p>
    <w:p>
      <w:pPr>
        <w:ind w:right="40" w:firstLine="436"/>
        <w:spacing w:after="0" w:line="253"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on such matter.</w:t>
      </w:r>
    </w:p>
    <w:p>
      <w:pPr>
        <w:spacing w:after="0" w:line="294" w:lineRule="exact"/>
        <w:rPr>
          <w:sz w:val="20"/>
          <w:szCs w:val="20"/>
          <w:color w:val="auto"/>
        </w:rPr>
      </w:pPr>
    </w:p>
    <w:p>
      <w:pPr>
        <w:ind w:left="420"/>
        <w:spacing w:after="0"/>
        <w:tabs>
          <w:tab w:leader="none" w:pos="90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u w:val="single" w:color="auto"/>
          <w:color w:val="auto"/>
        </w:rPr>
        <w:t>Record Date for Stockholder Meetings and Other Purposes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1" w:lineRule="exact"/>
        <w:rPr>
          <w:sz w:val="20"/>
          <w:szCs w:val="20"/>
          <w:color w:val="auto"/>
        </w:rPr>
      </w:pPr>
    </w:p>
    <w:p>
      <w:pPr>
        <w:ind w:right="80" w:firstLine="436"/>
        <w:spacing w:after="0" w:line="255"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500" w:top="268" w:right="519" w:bottom="1440" w:gutter="0" w:footer="0" w:header="0"/>
        </w:sectPr>
      </w:pPr>
    </w:p>
    <w:bookmarkStart w:id="361" w:name="page362"/>
    <w:bookmarkEnd w:id="361"/>
    <w:p>
      <w:pPr>
        <w:ind w:left="420"/>
        <w:spacing w:after="0"/>
        <w:tabs>
          <w:tab w:leader="none" w:pos="9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2.13</w:t>
      </w:r>
      <w:r>
        <w:rPr>
          <w:sz w:val="20"/>
          <w:szCs w:val="20"/>
          <w:color w:val="auto"/>
        </w:rPr>
        <w:tab/>
      </w:r>
      <w:r>
        <w:rPr>
          <w:rFonts w:ascii="Times New Roman" w:cs="Times New Roman" w:eastAsia="Times New Roman" w:hAnsi="Times New Roman"/>
          <w:sz w:val="17"/>
          <w:szCs w:val="17"/>
          <w:u w:val="single" w:color="auto"/>
          <w:color w:val="auto"/>
        </w:rPr>
        <w:t>Proxies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20" w:firstLine="436"/>
        <w:spacing w:after="0" w:line="273" w:lineRule="auto"/>
        <w:rPr>
          <w:sz w:val="20"/>
          <w:szCs w:val="20"/>
          <w:color w:val="auto"/>
        </w:rPr>
      </w:pPr>
      <w:r>
        <w:rPr>
          <w:rFonts w:ascii="Times New Roman" w:cs="Times New Roman" w:eastAsia="Times New Roman" w:hAnsi="Times New Roman"/>
          <w:sz w:val="17"/>
          <w:szCs w:val="17"/>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spacing w:after="0" w:line="277" w:lineRule="exact"/>
        <w:rPr>
          <w:sz w:val="20"/>
          <w:szCs w:val="20"/>
          <w:color w:val="auto"/>
        </w:rPr>
      </w:pPr>
    </w:p>
    <w:p>
      <w:pPr>
        <w:ind w:left="420"/>
        <w:spacing w:after="0"/>
        <w:tabs>
          <w:tab w:leader="none" w:pos="90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u w:val="single" w:color="auto"/>
          <w:color w:val="auto"/>
        </w:rPr>
        <w:t>List of Stockholders Entitled to Vote</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firstLine="436"/>
        <w:spacing w:after="0" w:line="249" w:lineRule="auto"/>
        <w:rPr>
          <w:sz w:val="20"/>
          <w:szCs w:val="20"/>
          <w:color w:val="auto"/>
        </w:rPr>
      </w:pPr>
      <w:r>
        <w:rPr>
          <w:rFonts w:ascii="Times New Roman" w:cs="Times New Roman" w:eastAsia="Times New Roman" w:hAnsi="Times New Roman"/>
          <w:sz w:val="18"/>
          <w:szCs w:val="18"/>
          <w:color w:val="auto"/>
        </w:rPr>
        <w:t>The Corporation shall prepare, at least ten (10) days before every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spacing w:after="0" w:line="305" w:lineRule="exact"/>
        <w:rPr>
          <w:sz w:val="20"/>
          <w:szCs w:val="20"/>
          <w:color w:val="auto"/>
        </w:rPr>
      </w:pPr>
    </w:p>
    <w:p>
      <w:pPr>
        <w:ind w:left="420"/>
        <w:spacing w:after="0"/>
        <w:tabs>
          <w:tab w:leader="none" w:pos="90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u w:val="single" w:color="auto"/>
          <w:color w:val="auto"/>
        </w:rPr>
        <w:t>Inspectors of Election</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140" w:firstLine="436"/>
        <w:spacing w:after="0" w:line="257" w:lineRule="auto"/>
        <w:rPr>
          <w:sz w:val="20"/>
          <w:szCs w:val="20"/>
          <w:color w:val="auto"/>
        </w:rPr>
      </w:pPr>
      <w:r>
        <w:rPr>
          <w:rFonts w:ascii="Times New Roman" w:cs="Times New Roman" w:eastAsia="Times New Roman" w:hAnsi="Times New Roman"/>
          <w:sz w:val="18"/>
          <w:szCs w:val="18"/>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Such inspectors shall:</w:t>
      </w:r>
    </w:p>
    <w:p>
      <w:pPr>
        <w:spacing w:after="0" w:line="220" w:lineRule="exact"/>
        <w:rPr>
          <w:sz w:val="20"/>
          <w:szCs w:val="20"/>
          <w:color w:val="auto"/>
        </w:rPr>
      </w:pPr>
    </w:p>
    <w:p>
      <w:pPr>
        <w:ind w:right="260" w:firstLine="975"/>
        <w:spacing w:after="0" w:line="277" w:lineRule="auto"/>
        <w:tabs>
          <w:tab w:leader="none" w:pos="1327"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outstanding and the voting power of each, the number of shares represented at the meeting and the validity of any proxies and ballots;</w:t>
      </w:r>
    </w:p>
    <w:p>
      <w:pPr>
        <w:spacing w:after="0" w:line="163" w:lineRule="exact"/>
        <w:rPr>
          <w:rFonts w:ascii="Times New Roman" w:cs="Times New Roman" w:eastAsia="Times New Roman" w:hAnsi="Times New Roman"/>
          <w:sz w:val="18"/>
          <w:szCs w:val="18"/>
          <w:color w:val="auto"/>
        </w:rPr>
      </w:pPr>
    </w:p>
    <w:p>
      <w:pPr>
        <w:ind w:left="1380" w:hanging="405"/>
        <w:spacing w:after="0"/>
        <w:tabs>
          <w:tab w:leader="none" w:pos="13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or ballots;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500" w:top="268" w:right="519" w:bottom="1440" w:gutter="0" w:footer="0" w:header="0"/>
        </w:sectPr>
      </w:pPr>
    </w:p>
    <w:bookmarkStart w:id="362" w:name="page363"/>
    <w:bookmarkEnd w:id="362"/>
    <w:p>
      <w:pPr>
        <w:ind w:left="1420" w:hanging="445"/>
        <w:spacing w:after="0"/>
        <w:tabs>
          <w:tab w:leader="none" w:pos="142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count and tabulate all votes;</w:t>
      </w:r>
    </w:p>
    <w:p>
      <w:pPr>
        <w:spacing w:after="0" w:line="220" w:lineRule="exact"/>
        <w:rPr>
          <w:rFonts w:ascii="Times New Roman" w:cs="Times New Roman" w:eastAsia="Times New Roman" w:hAnsi="Times New Roman"/>
          <w:sz w:val="18"/>
          <w:szCs w:val="18"/>
          <w:color w:val="auto"/>
        </w:rPr>
      </w:pPr>
    </w:p>
    <w:p>
      <w:pPr>
        <w:ind w:left="1420" w:hanging="445"/>
        <w:spacing w:after="0"/>
        <w:tabs>
          <w:tab w:leader="none" w:pos="142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inspector(s); and</w:t>
      </w:r>
    </w:p>
    <w:p>
      <w:pPr>
        <w:spacing w:after="0" w:line="201" w:lineRule="exact"/>
        <w:rPr>
          <w:rFonts w:ascii="Times New Roman" w:cs="Times New Roman" w:eastAsia="Times New Roman" w:hAnsi="Times New Roman"/>
          <w:sz w:val="18"/>
          <w:szCs w:val="18"/>
          <w:color w:val="auto"/>
        </w:rPr>
      </w:pPr>
    </w:p>
    <w:p>
      <w:pPr>
        <w:ind w:left="1360" w:hanging="385"/>
        <w:spacing w:after="0"/>
        <w:tabs>
          <w:tab w:leader="none" w:pos="13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its or their determination of the number of shares represented at the meeting and its or their count of all votes and ballots.</w:t>
      </w:r>
    </w:p>
    <w:p>
      <w:pPr>
        <w:spacing w:after="0" w:line="220" w:lineRule="exact"/>
        <w:rPr>
          <w:sz w:val="20"/>
          <w:szCs w:val="20"/>
          <w:color w:val="auto"/>
        </w:rPr>
      </w:pPr>
    </w:p>
    <w:p>
      <w:pPr>
        <w:ind w:right="340" w:firstLine="436"/>
        <w:spacing w:after="0" w:line="257" w:lineRule="auto"/>
        <w:rPr>
          <w:sz w:val="20"/>
          <w:szCs w:val="20"/>
          <w:color w:val="auto"/>
        </w:rPr>
      </w:pPr>
      <w:r>
        <w:rPr>
          <w:rFonts w:ascii="Times New Roman" w:cs="Times New Roman" w:eastAsia="Times New Roman" w:hAnsi="Times New Roman"/>
          <w:sz w:val="18"/>
          <w:szCs w:val="18"/>
          <w:color w:val="auto"/>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289" w:lineRule="exact"/>
        <w:rPr>
          <w:sz w:val="20"/>
          <w:szCs w:val="20"/>
          <w:color w:val="auto"/>
        </w:rPr>
      </w:pPr>
    </w:p>
    <w:p>
      <w:pPr>
        <w:ind w:left="420"/>
        <w:spacing w:after="0"/>
        <w:tabs>
          <w:tab w:leader="none" w:pos="90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u w:val="single" w:color="auto"/>
          <w:color w:val="auto"/>
        </w:rPr>
        <w:t>Delivery to the Corporation.</w:t>
      </w:r>
    </w:p>
    <w:p>
      <w:pPr>
        <w:spacing w:after="0" w:line="114"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224"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auto"/>
        </w:rPr>
        <w:t>Powers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100" w:firstLine="436"/>
        <w:spacing w:after="0" w:line="277"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or the DGCL, the business and affairs of the Corporation shall be managed by or under the direction of the Board.</w:t>
      </w:r>
    </w:p>
    <w:p>
      <w:pPr>
        <w:spacing w:after="0" w:line="270"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Number; Term; Qualifications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The total number of directors constituting the Board shall be determined from time to time as provided in the Certificate of Incorporation. The Board shall be classified in the manner provided in the Certificate of Incorporation. Each director shall hold office until such time as provided in the Certificate of Incorporation. No reduction of the authorized number of directors shall have the effect of removing any director before that director’s term of office expires. Directors need not be stockholders to be qualified for election or service as a director of the Corporation. The Certificate of Incorporation or these Bylaws may prescribe qualifications for directors.</w:t>
      </w:r>
    </w:p>
    <w:p>
      <w:pPr>
        <w:spacing w:after="0" w:line="290"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auto"/>
        </w:rPr>
        <w:t>Resignation; Removal; Vacancies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firstLine="436"/>
        <w:spacing w:after="0" w:line="277" w:lineRule="auto"/>
        <w:rPr>
          <w:sz w:val="20"/>
          <w:szCs w:val="20"/>
          <w:color w:val="auto"/>
        </w:rPr>
      </w:pPr>
      <w:r>
        <w:rPr>
          <w:rFonts w:ascii="Times New Roman" w:cs="Times New Roman" w:eastAsia="Times New Roman" w:hAnsi="Times New Roman"/>
          <w:sz w:val="18"/>
          <w:szCs w:val="18"/>
          <w:color w:val="auto"/>
        </w:rPr>
        <w:t>Any director may resign at any time upon written or electronic transmission to the Secretary of the Corporation. Such resignation shall be effective upon delivery unless otherwise specified. Directors of the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500" w:top="268" w:right="499" w:bottom="1440" w:gutter="0" w:footer="0" w:header="0"/>
        </w:sectPr>
      </w:pPr>
    </w:p>
    <w:bookmarkStart w:id="363" w:name="page364"/>
    <w:bookmarkEnd w:id="363"/>
    <w:p>
      <w:pPr>
        <w:ind w:right="1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Corporation may be removed only as expressly provided in the Certificate of Incorporation. Newly created directorships resulting from any increase in the authorized number of directors or any vacancies on the Board resulting from the death, resignation, disqualification, removal from office or other cause shall be filled as set forth in the Certificate of Incorporation.</w:t>
      </w:r>
    </w:p>
    <w:p>
      <w:pPr>
        <w:spacing w:after="0" w:line="284"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u w:val="single" w:color="auto"/>
          <w:color w:val="auto"/>
        </w:rPr>
        <w:t>Place of Meetings; Meetings by Telephone.</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Board may hold meetings, both regular and special, either within or outside the State of Delaware.</w:t>
      </w:r>
    </w:p>
    <w:p>
      <w:pPr>
        <w:spacing w:after="0" w:line="220"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289"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u w:val="single" w:color="auto"/>
          <w:color w:val="auto"/>
        </w:rPr>
        <w:t>Regular Meetings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80" w:firstLine="436"/>
        <w:spacing w:after="0" w:line="257" w:lineRule="auto"/>
        <w:rPr>
          <w:sz w:val="20"/>
          <w:szCs w:val="20"/>
          <w:color w:val="auto"/>
        </w:rPr>
      </w:pPr>
      <w:r>
        <w:rPr>
          <w:rFonts w:ascii="Times New Roman" w:cs="Times New Roman" w:eastAsia="Times New Roman" w:hAnsi="Times New Roman"/>
          <w:sz w:val="18"/>
          <w:szCs w:val="18"/>
          <w:color w:val="auto"/>
        </w:rPr>
        <w:t>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w:t>
      </w:r>
    </w:p>
    <w:p>
      <w:pPr>
        <w:spacing w:after="0" w:line="289"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u w:val="single" w:color="auto"/>
          <w:color w:val="auto"/>
        </w:rPr>
        <w:t>Special Meetings; Notice</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80" w:firstLine="436"/>
        <w:spacing w:after="0" w:line="257" w:lineRule="auto"/>
        <w:rPr>
          <w:sz w:val="20"/>
          <w:szCs w:val="20"/>
          <w:color w:val="auto"/>
        </w:rPr>
      </w:pPr>
      <w:r>
        <w:rPr>
          <w:rFonts w:ascii="Times New Roman" w:cs="Times New Roman" w:eastAsia="Times New Roman" w:hAnsi="Times New Roman"/>
          <w:sz w:val="18"/>
          <w:szCs w:val="18"/>
          <w:color w:val="auto"/>
        </w:rPr>
        <w:t xml:space="preserve">Special meetings of the Board for any purpose or purposes may be called at any time by the Chairperson of the Board, if any, the Chief Executive Officer or a Co-Chief Executive Officer, or a majority of the total number of directors constituting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at any time that the total number of directors constituting the board is eight (8) or more, special meetings of the Board may also be called at any time by a group of no less than four (4) directors.</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220" w:lineRule="exact"/>
        <w:rPr>
          <w:sz w:val="20"/>
          <w:szCs w:val="20"/>
          <w:color w:val="auto"/>
        </w:rPr>
      </w:pPr>
    </w:p>
    <w:p>
      <w:pPr>
        <w:ind w:left="1320" w:hanging="345"/>
        <w:spacing w:after="0"/>
        <w:tabs>
          <w:tab w:leader="none" w:pos="132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220" w:lineRule="exact"/>
        <w:rPr>
          <w:rFonts w:ascii="Times New Roman" w:cs="Times New Roman" w:eastAsia="Times New Roman" w:hAnsi="Times New Roman"/>
          <w:sz w:val="18"/>
          <w:szCs w:val="18"/>
          <w:color w:val="auto"/>
        </w:rPr>
      </w:pPr>
    </w:p>
    <w:p>
      <w:pPr>
        <w:ind w:left="1380" w:hanging="405"/>
        <w:spacing w:after="0"/>
        <w:tabs>
          <w:tab w:leader="none" w:pos="13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220" w:lineRule="exact"/>
        <w:rPr>
          <w:rFonts w:ascii="Times New Roman" w:cs="Times New Roman" w:eastAsia="Times New Roman" w:hAnsi="Times New Roman"/>
          <w:sz w:val="18"/>
          <w:szCs w:val="18"/>
          <w:color w:val="auto"/>
        </w:rPr>
      </w:pPr>
    </w:p>
    <w:p>
      <w:pPr>
        <w:ind w:left="1420" w:hanging="445"/>
        <w:spacing w:after="0"/>
        <w:tabs>
          <w:tab w:leader="none" w:pos="142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electronic mail; or</w:t>
      </w:r>
    </w:p>
    <w:p>
      <w:pPr>
        <w:spacing w:after="0" w:line="220" w:lineRule="exact"/>
        <w:rPr>
          <w:rFonts w:ascii="Times New Roman" w:cs="Times New Roman" w:eastAsia="Times New Roman" w:hAnsi="Times New Roman"/>
          <w:sz w:val="18"/>
          <w:szCs w:val="18"/>
          <w:color w:val="auto"/>
        </w:rPr>
      </w:pPr>
    </w:p>
    <w:p>
      <w:pPr>
        <w:ind w:left="1420" w:hanging="445"/>
        <w:spacing w:after="0"/>
        <w:tabs>
          <w:tab w:leader="none" w:pos="142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other means of electronic transmission,</w:t>
      </w:r>
    </w:p>
    <w:p>
      <w:pPr>
        <w:spacing w:after="0" w:line="220"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or electronic mail address, or other address for electronic transmission, as the case may be, as shown on the Corporation’s records.</w:t>
      </w:r>
    </w:p>
    <w:p>
      <w:pPr>
        <w:spacing w:after="0" w:line="163" w:lineRule="exact"/>
        <w:rPr>
          <w:sz w:val="20"/>
          <w:szCs w:val="20"/>
          <w:color w:val="auto"/>
        </w:rPr>
      </w:pPr>
    </w:p>
    <w:p>
      <w:pPr>
        <w:jc w:val="both"/>
        <w:ind w:right="40" w:firstLine="436"/>
        <w:spacing w:after="0" w:line="257"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80"/>
          </w:cols>
          <w:pgMar w:left="500" w:top="268" w:right="519" w:bottom="1440" w:gutter="0" w:footer="0" w:header="0"/>
        </w:sectPr>
      </w:pPr>
    </w:p>
    <w:bookmarkStart w:id="364" w:name="page365"/>
    <w:bookmarkEnd w:id="364"/>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3.7</w:t>
      </w:r>
      <w:r>
        <w:rPr>
          <w:sz w:val="20"/>
          <w:szCs w:val="20"/>
          <w:color w:val="auto"/>
        </w:rPr>
        <w:tab/>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40" w:firstLine="436"/>
        <w:spacing w:after="0" w:line="253" w:lineRule="auto"/>
        <w:rPr>
          <w:sz w:val="20"/>
          <w:szCs w:val="20"/>
          <w:color w:val="auto"/>
        </w:rPr>
      </w:pPr>
      <w:r>
        <w:rPr>
          <w:rFonts w:ascii="Times New Roman" w:cs="Times New Roman" w:eastAsia="Times New Roman" w:hAnsi="Times New Roman"/>
          <w:sz w:val="18"/>
          <w:szCs w:val="18"/>
          <w:color w:val="auto"/>
        </w:rPr>
        <w:t xml:space="preserve">At all meetings of the Board, unless otherwise provided by the Certificate of Incorporation, a majority of the total number of directors shall constitute a quorum for the transaction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for the purposes of filling vacancies pursuant to Section 3.3 of these Bylaws, a meeting of the Board may be held if a majority of the directors then in office participate in such meeting.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294"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u w:val="single" w:color="auto"/>
          <w:color w:val="auto"/>
        </w:rPr>
        <w:t>Board Action without a Meeting</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290"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u w:val="single" w:color="auto"/>
          <w:color w:val="auto"/>
        </w:rPr>
        <w:t>Fees and Compensation of Directors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60" w:firstLine="436"/>
        <w:spacing w:after="0" w:line="26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shall have the authority to fix the compensation, including fees and reimbursement of expenses, of directors for services to the Corporation in any capacity. Any director of the Corporation may decline any or all such compensation payable to such director in his or her discretion.</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 - Committees</w:t>
      </w:r>
    </w:p>
    <w:p>
      <w:pPr>
        <w:spacing w:after="0" w:line="224"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Committees of Directors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permitted by applicable law or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DGCL to be submitted to stockholders for approval (other than the election of directors), or (ii) adopt, amend or repeal any bylaw of the Corporation.</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40"/>
          </w:cols>
          <w:pgMar w:left="500" w:top="268" w:right="559" w:bottom="1440" w:gutter="0" w:footer="0" w:header="0"/>
        </w:sectPr>
      </w:pPr>
    </w:p>
    <w:bookmarkStart w:id="365" w:name="page366"/>
    <w:bookmarkEnd w:id="365"/>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4.2</w:t>
      </w:r>
      <w:r>
        <w:rPr>
          <w:sz w:val="20"/>
          <w:szCs w:val="20"/>
          <w:color w:val="auto"/>
        </w:rPr>
        <w:tab/>
      </w:r>
      <w:r>
        <w:rPr>
          <w:rFonts w:ascii="Times New Roman" w:cs="Times New Roman" w:eastAsia="Times New Roman" w:hAnsi="Times New Roman"/>
          <w:sz w:val="17"/>
          <w:szCs w:val="17"/>
          <w:u w:val="single" w:color="auto"/>
          <w:color w:val="auto"/>
        </w:rPr>
        <w:t>Committee Minutes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 and report the same to the Board when required.</w:t>
      </w:r>
    </w:p>
    <w:p>
      <w:pPr>
        <w:spacing w:after="0" w:line="327"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Meetings and Actions of Committees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Meetings and actions of committees shall be governed by, and held and taken in accordance with, the provisions of:</w:t>
      </w:r>
    </w:p>
    <w:p>
      <w:pPr>
        <w:spacing w:after="0" w:line="220" w:lineRule="exact"/>
        <w:rPr>
          <w:sz w:val="20"/>
          <w:szCs w:val="20"/>
          <w:color w:val="auto"/>
        </w:rPr>
      </w:pPr>
    </w:p>
    <w:p>
      <w:pPr>
        <w:ind w:left="1320" w:hanging="345"/>
        <w:spacing w:after="0"/>
        <w:tabs>
          <w:tab w:leader="none" w:pos="132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3.4 (place of meetings; meetings by telephone);</w:t>
      </w:r>
    </w:p>
    <w:p>
      <w:pPr>
        <w:spacing w:after="0" w:line="220" w:lineRule="exact"/>
        <w:rPr>
          <w:rFonts w:ascii="Times New Roman" w:cs="Times New Roman" w:eastAsia="Times New Roman" w:hAnsi="Times New Roman"/>
          <w:sz w:val="18"/>
          <w:szCs w:val="18"/>
          <w:color w:val="auto"/>
        </w:rPr>
      </w:pPr>
    </w:p>
    <w:p>
      <w:pPr>
        <w:ind w:left="1380" w:hanging="405"/>
        <w:spacing w:after="0"/>
        <w:tabs>
          <w:tab w:leader="none" w:pos="13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3.5 (regular meetings);</w:t>
      </w:r>
    </w:p>
    <w:p>
      <w:pPr>
        <w:spacing w:after="0" w:line="220" w:lineRule="exact"/>
        <w:rPr>
          <w:rFonts w:ascii="Times New Roman" w:cs="Times New Roman" w:eastAsia="Times New Roman" w:hAnsi="Times New Roman"/>
          <w:sz w:val="18"/>
          <w:szCs w:val="18"/>
          <w:color w:val="auto"/>
        </w:rPr>
      </w:pPr>
    </w:p>
    <w:p>
      <w:pPr>
        <w:ind w:left="1420" w:hanging="445"/>
        <w:spacing w:after="0"/>
        <w:tabs>
          <w:tab w:leader="none" w:pos="142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(special meetings; notice);</w:t>
      </w:r>
    </w:p>
    <w:p>
      <w:pPr>
        <w:spacing w:after="0" w:line="220" w:lineRule="exact"/>
        <w:rPr>
          <w:rFonts w:ascii="Times New Roman" w:cs="Times New Roman" w:eastAsia="Times New Roman" w:hAnsi="Times New Roman"/>
          <w:sz w:val="18"/>
          <w:szCs w:val="18"/>
          <w:color w:val="auto"/>
        </w:rPr>
      </w:pPr>
    </w:p>
    <w:p>
      <w:pPr>
        <w:ind w:left="1420" w:hanging="445"/>
        <w:spacing w:after="0"/>
        <w:tabs>
          <w:tab w:leader="none" w:pos="142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3.8 (board action without a meeting); and</w:t>
      </w:r>
    </w:p>
    <w:p>
      <w:pPr>
        <w:spacing w:after="0" w:line="220" w:lineRule="exact"/>
        <w:rPr>
          <w:rFonts w:ascii="Times New Roman" w:cs="Times New Roman" w:eastAsia="Times New Roman" w:hAnsi="Times New Roman"/>
          <w:sz w:val="18"/>
          <w:szCs w:val="18"/>
          <w:color w:val="auto"/>
        </w:rPr>
      </w:pPr>
    </w:p>
    <w:p>
      <w:pPr>
        <w:ind w:left="1360" w:hanging="385"/>
        <w:spacing w:after="0"/>
        <w:tabs>
          <w:tab w:leader="none" w:pos="13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7.13 (waiver of notice),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with such changes in the context of those Bylaws as are necessary to substitute the committee and its members for the Board and its members.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w:t>
      </w:r>
    </w:p>
    <w:p>
      <w:pPr>
        <w:spacing w:after="0" w:line="234" w:lineRule="exact"/>
        <w:rPr>
          <w:sz w:val="20"/>
          <w:szCs w:val="20"/>
          <w:color w:val="auto"/>
        </w:rPr>
      </w:pPr>
    </w:p>
    <w:p>
      <w:pPr>
        <w:ind w:left="1320" w:hanging="345"/>
        <w:spacing w:after="0"/>
        <w:tabs>
          <w:tab w:leader="none" w:pos="132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regular meetings of committees may be determined either by resolution of the Board or by resolution of the committee;</w:t>
      </w:r>
    </w:p>
    <w:p>
      <w:pPr>
        <w:spacing w:after="0" w:line="220" w:lineRule="exact"/>
        <w:rPr>
          <w:rFonts w:ascii="Times New Roman" w:cs="Times New Roman" w:eastAsia="Times New Roman" w:hAnsi="Times New Roman"/>
          <w:sz w:val="18"/>
          <w:szCs w:val="18"/>
          <w:color w:val="auto"/>
        </w:rPr>
      </w:pPr>
    </w:p>
    <w:p>
      <w:pPr>
        <w:ind w:left="1380" w:hanging="405"/>
        <w:spacing w:after="0"/>
        <w:tabs>
          <w:tab w:leader="none" w:pos="13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committees may also be called by resolution of the Board or the chairperson of the applicable committee; and</w:t>
      </w:r>
    </w:p>
    <w:p>
      <w:pPr>
        <w:spacing w:after="0" w:line="220" w:lineRule="exact"/>
        <w:rPr>
          <w:rFonts w:ascii="Times New Roman" w:cs="Times New Roman" w:eastAsia="Times New Roman" w:hAnsi="Times New Roman"/>
          <w:sz w:val="18"/>
          <w:szCs w:val="18"/>
          <w:color w:val="auto"/>
        </w:rPr>
      </w:pPr>
    </w:p>
    <w:p>
      <w:pPr>
        <w:ind w:right="500" w:firstLine="975"/>
        <w:spacing w:after="0" w:line="308" w:lineRule="auto"/>
        <w:tabs>
          <w:tab w:leader="none" w:pos="1426"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adopt rules for the governance of any committee to override the provisions that would otherwise apply to the committee pursuant to this Section 4.3, provided that such rules do not violate the provisions of the Certificate of Incorporation or applicable law.</w:t>
      </w:r>
    </w:p>
    <w:p>
      <w:pPr>
        <w:spacing w:after="0" w:line="246"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u w:val="single" w:color="auto"/>
          <w:color w:val="auto"/>
        </w:rPr>
        <w:t>Subcommittees.</w:t>
      </w:r>
    </w:p>
    <w:p>
      <w:pPr>
        <w:spacing w:after="0" w:line="114" w:lineRule="exact"/>
        <w:rPr>
          <w:sz w:val="20"/>
          <w:szCs w:val="20"/>
          <w:color w:val="auto"/>
        </w:rPr>
      </w:pPr>
    </w:p>
    <w:p>
      <w:pPr>
        <w:ind w:right="260" w:firstLine="436"/>
        <w:spacing w:after="0" w:line="262"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60"/>
          </w:cols>
          <w:pgMar w:left="500" w:top="268" w:right="539" w:bottom="1440" w:gutter="0" w:footer="0" w:header="0"/>
        </w:sectPr>
      </w:pPr>
    </w:p>
    <w:bookmarkStart w:id="366" w:name="page367"/>
    <w:bookmarkEnd w:id="36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 - Officers</w:t>
      </w:r>
    </w:p>
    <w:p>
      <w:pPr>
        <w:spacing w:after="0" w:line="224"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auto"/>
        </w:rPr>
        <w:t>Officers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280" w:firstLine="436"/>
        <w:spacing w:after="0" w:line="257" w:lineRule="auto"/>
        <w:rPr>
          <w:sz w:val="20"/>
          <w:szCs w:val="20"/>
          <w:color w:val="auto"/>
        </w:rPr>
      </w:pPr>
      <w:r>
        <w:rPr>
          <w:rFonts w:ascii="Times New Roman" w:cs="Times New Roman" w:eastAsia="Times New Roman" w:hAnsi="Times New Roman"/>
          <w:sz w:val="18"/>
          <w:szCs w:val="18"/>
          <w:color w:val="auto"/>
        </w:rPr>
        <w:t>The officers of the Corporation shall include a Chief Executive Officer or Co-Chief Executive Officers, a President and a Secretary. The Corporation may also have, at the discretion of the Board, a Chairperson of the Board, a Vice Chairperson of the Board, a Chief Financial Officer, a Treasurer, one (1)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289"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Appointment of Officers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firstLine="436"/>
        <w:spacing w:after="0" w:line="277" w:lineRule="auto"/>
        <w:rPr>
          <w:sz w:val="20"/>
          <w:szCs w:val="20"/>
          <w:color w:val="auto"/>
        </w:rPr>
      </w:pPr>
      <w:r>
        <w:rPr>
          <w:rFonts w:ascii="Times New Roman" w:cs="Times New Roman" w:eastAsia="Times New Roman" w:hAnsi="Times New Roman"/>
          <w:sz w:val="18"/>
          <w:szCs w:val="18"/>
          <w:color w:val="auto"/>
        </w:rPr>
        <w:t>The Board shall appoint the officers of the Corporation, except such officers as may be appointed in accordance with the provisions of Section 5.3 of these Bylaws.</w:t>
      </w:r>
    </w:p>
    <w:p>
      <w:pPr>
        <w:spacing w:after="0" w:line="270"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u w:val="single" w:color="auto"/>
          <w:color w:val="auto"/>
        </w:rPr>
        <w:t>Subordinate Officers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140" w:firstLine="436"/>
        <w:spacing w:after="0" w:line="257" w:lineRule="auto"/>
        <w:rPr>
          <w:sz w:val="20"/>
          <w:szCs w:val="20"/>
          <w:color w:val="auto"/>
        </w:rPr>
      </w:pPr>
      <w:r>
        <w:rPr>
          <w:rFonts w:ascii="Times New Roman" w:cs="Times New Roman" w:eastAsia="Times New Roman" w:hAnsi="Times New Roman"/>
          <w:sz w:val="18"/>
          <w:szCs w:val="18"/>
          <w:color w:val="auto"/>
        </w:rPr>
        <w:t>The Board may appoint, or empower the Chief Executive Officer or Co-Chief Executive Officers or, in the absence of any such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289"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u w:val="single" w:color="auto"/>
          <w:color w:val="auto"/>
        </w:rPr>
        <w:t>Removal and Resignation of Officers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140" w:firstLine="436"/>
        <w:spacing w:after="0" w:line="270" w:lineRule="auto"/>
        <w:rPr>
          <w:sz w:val="20"/>
          <w:szCs w:val="20"/>
          <w:color w:val="auto"/>
        </w:rPr>
      </w:pPr>
      <w:r>
        <w:rPr>
          <w:rFonts w:ascii="Times New Roman" w:cs="Times New Roman" w:eastAsia="Times New Roman" w:hAnsi="Times New Roman"/>
          <w:sz w:val="17"/>
          <w:szCs w:val="17"/>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 Any officer may resign at any time by giving notice in writing or by electronic transmission to the Corporation. Any resignation shall take effect at the date of the receipt of that notice or at any later time specified in that notice. Unless otherwise specified in the notice of resignation, the acceptance of the resignation shall not be necessary to make it effective. If a resignation is made effective at a later date and the Corporation accepts the future effective date, the Board may fill the pending vacancy before the effective date if the Board provides that the successor shall not take office until the effective date. Any resignation is without prejudice to the rights, if any, of the Corporation under any contract to which the officer is a party.</w:t>
      </w:r>
    </w:p>
    <w:p>
      <w:pPr>
        <w:spacing w:after="0" w:line="277"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u w:val="single" w:color="auto"/>
          <w:color w:val="auto"/>
        </w:rPr>
        <w:t>Vacancies in Offices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Any vacancy occurring in any office of the Corporation shall be filled by the Board or as provided in Section 5.2.</w:t>
      </w:r>
    </w:p>
    <w:p>
      <w:pPr>
        <w:spacing w:after="0" w:line="327"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u w:val="single" w:color="auto"/>
          <w:color w:val="auto"/>
        </w:rPr>
        <w:t>Representation of Shares of Other Corporations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120" w:firstLine="436"/>
        <w:spacing w:after="0" w:line="262" w:lineRule="auto"/>
        <w:rPr>
          <w:sz w:val="20"/>
          <w:szCs w:val="20"/>
          <w:color w:val="auto"/>
        </w:rPr>
      </w:pPr>
      <w:r>
        <w:rPr>
          <w:rFonts w:ascii="Times New Roman" w:cs="Times New Roman" w:eastAsia="Times New Roman" w:hAnsi="Times New Roman"/>
          <w:sz w:val="18"/>
          <w:szCs w:val="18"/>
          <w:color w:val="auto"/>
        </w:rPr>
        <w:t>The Chairperson of the Board, if any, the Chief Executive Officer or the Co-Chief Executive Officers, or the President, or any other person authorized by the Board, the Chief Executive Officer or the Co-Chief Executive Officers, or the President, is authorized to vote, represent and exercise on behalf of this Corporation all rights incident to any and all shares or voting securities of any other corporation or other entity standing in</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40"/>
          </w:cols>
          <w:pgMar w:left="500" w:top="264" w:right="559" w:bottom="1440" w:gutter="0" w:footer="0" w:header="0"/>
        </w:sectPr>
      </w:pPr>
    </w:p>
    <w:bookmarkStart w:id="367" w:name="page368"/>
    <w:bookmarkEnd w:id="367"/>
    <w:p>
      <w:pPr>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name of this Corporation. The authority granted herein may be exercised either by such person directly or by any other person authorized to do so by proxy or power of attorney duly executed by such person having the authority.</w:t>
      </w:r>
    </w:p>
    <w:p>
      <w:pPr>
        <w:spacing w:after="0" w:line="163"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u w:val="single" w:color="auto"/>
          <w:color w:val="auto"/>
        </w:rPr>
        <w:t>Authority and Duties of Officers</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right="360" w:firstLine="436"/>
        <w:spacing w:after="0" w:line="262"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oversight of the Board.</w:t>
      </w:r>
    </w:p>
    <w:p>
      <w:pPr>
        <w:spacing w:after="0" w:line="177"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u w:val="single" w:color="auto"/>
          <w:color w:val="auto"/>
        </w:rPr>
        <w:t>Compensation.</w:t>
      </w:r>
    </w:p>
    <w:p>
      <w:pPr>
        <w:spacing w:after="0" w:line="220" w:lineRule="exact"/>
        <w:rPr>
          <w:sz w:val="20"/>
          <w:szCs w:val="20"/>
          <w:color w:val="auto"/>
        </w:rPr>
      </w:pPr>
    </w:p>
    <w:p>
      <w:pPr>
        <w:ind w:right="120" w:firstLine="436"/>
        <w:spacing w:after="0" w:line="262" w:lineRule="auto"/>
        <w:rPr>
          <w:sz w:val="20"/>
          <w:szCs w:val="20"/>
          <w:color w:val="auto"/>
        </w:rPr>
      </w:pPr>
      <w:r>
        <w:rPr>
          <w:rFonts w:ascii="Times New Roman" w:cs="Times New Roman" w:eastAsia="Times New Roman" w:hAnsi="Times New Roman"/>
          <w:sz w:val="18"/>
          <w:szCs w:val="18"/>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 - Records</w:t>
      </w:r>
    </w:p>
    <w:p>
      <w:pPr>
        <w:spacing w:after="0" w:line="224" w:lineRule="exact"/>
        <w:rPr>
          <w:sz w:val="20"/>
          <w:szCs w:val="20"/>
          <w:color w:val="auto"/>
        </w:rPr>
      </w:pPr>
    </w:p>
    <w:p>
      <w:pPr>
        <w:ind w:right="40" w:firstLine="436"/>
        <w:spacing w:after="0" w:line="251" w:lineRule="auto"/>
        <w:rPr>
          <w:sz w:val="20"/>
          <w:szCs w:val="20"/>
          <w:color w:val="auto"/>
        </w:rPr>
      </w:pPr>
      <w:r>
        <w:rPr>
          <w:rFonts w:ascii="Times New Roman" w:cs="Times New Roman" w:eastAsia="Times New Roman" w:hAnsi="Times New Roman"/>
          <w:sz w:val="18"/>
          <w:szCs w:val="18"/>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39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Article VII - General Matters</w:t>
      </w:r>
    </w:p>
    <w:p>
      <w:pPr>
        <w:spacing w:after="0" w:line="224"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u w:val="single" w:color="auto"/>
          <w:color w:val="auto"/>
        </w:rPr>
        <w:t>Execution of Corporate Contracts and Instruments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220" w:firstLine="436"/>
        <w:spacing w:after="0" w:line="277" w:lineRule="auto"/>
        <w:rPr>
          <w:sz w:val="20"/>
          <w:szCs w:val="20"/>
          <w:color w:val="auto"/>
        </w:rPr>
      </w:pPr>
      <w:r>
        <w:rPr>
          <w:rFonts w:ascii="Times New Roman" w:cs="Times New Roman" w:eastAsia="Times New Roman" w:hAnsi="Times New Roman"/>
          <w:sz w:val="18"/>
          <w:szCs w:val="18"/>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pacing w:after="0" w:line="270"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u w:val="single" w:color="auto"/>
          <w:color w:val="auto"/>
        </w:rPr>
        <w:t>Stock Certificates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jc w:val="both"/>
        <w:ind w:right="20" w:firstLine="436"/>
        <w:spacing w:after="0" w:line="262"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60"/>
          </w:cols>
          <w:pgMar w:left="500" w:top="268" w:right="539" w:bottom="1440" w:gutter="0" w:footer="0" w:header="0"/>
        </w:sectPr>
      </w:pPr>
    </w:p>
    <w:bookmarkStart w:id="368" w:name="page369"/>
    <w:bookmarkEnd w:id="368"/>
    <w:p>
      <w:pPr>
        <w:ind w:right="1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entitled to have a certificate signed by, or in the name of the Corporation by, any two officers authorized to sign stock certificates representing the number of shares registered in certificate form. The Chairperson or Vice Chairperson of the Board, if any, Chief Executive Officer (or a Co-Chief Executive Officer), the President, Vice President, the Treasurer, if any,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89"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290"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u w:val="single" w:color="auto"/>
          <w:color w:val="auto"/>
        </w:rPr>
        <w:t>Special Designation of Certificates.</w:t>
      </w:r>
    </w:p>
    <w:p>
      <w:pPr>
        <w:spacing w:after="0" w:line="114" w:lineRule="exact"/>
        <w:rPr>
          <w:sz w:val="20"/>
          <w:szCs w:val="20"/>
          <w:color w:val="auto"/>
        </w:rPr>
      </w:pPr>
    </w:p>
    <w:p>
      <w:pPr>
        <w:ind w:right="40" w:firstLine="436"/>
        <w:spacing w:after="0" w:line="251" w:lineRule="auto"/>
        <w:rPr>
          <w:sz w:val="20"/>
          <w:szCs w:val="20"/>
          <w:color w:val="auto"/>
        </w:rPr>
      </w:pPr>
      <w:r>
        <w:rPr>
          <w:rFonts w:ascii="Times New Roman" w:cs="Times New Roman" w:eastAsia="Times New Roman" w:hAnsi="Times New Roman"/>
          <w:sz w:val="18"/>
          <w:szCs w:val="18"/>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of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296"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u w:val="single" w:color="auto"/>
          <w:color w:val="auto"/>
        </w:rPr>
        <w:t>Lost Certificates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60" w:firstLine="436"/>
        <w:spacing w:after="0" w:line="273" w:lineRule="auto"/>
        <w:rPr>
          <w:sz w:val="20"/>
          <w:szCs w:val="20"/>
          <w:color w:val="auto"/>
        </w:rPr>
      </w:pPr>
      <w:r>
        <w:rPr>
          <w:rFonts w:ascii="Times New Roman" w:cs="Times New Roman" w:eastAsia="Times New Roman" w:hAnsi="Times New Roman"/>
          <w:sz w:val="17"/>
          <w:szCs w:val="17"/>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277"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u w:val="single" w:color="auto"/>
          <w:color w:val="auto"/>
        </w:rPr>
        <w:t>Shares Without Certificates</w:t>
      </w:r>
    </w:p>
    <w:p>
      <w:pPr>
        <w:spacing w:after="0" w:line="114" w:lineRule="exact"/>
        <w:rPr>
          <w:sz w:val="20"/>
          <w:szCs w:val="20"/>
          <w:color w:val="auto"/>
        </w:rPr>
      </w:pPr>
    </w:p>
    <w:p>
      <w:pPr>
        <w:ind w:right="360" w:firstLine="436"/>
        <w:spacing w:after="0" w:line="277" w:lineRule="auto"/>
        <w:rPr>
          <w:sz w:val="20"/>
          <w:szCs w:val="20"/>
          <w:color w:val="auto"/>
        </w:rPr>
      </w:pPr>
      <w:r>
        <w:rPr>
          <w:rFonts w:ascii="Times New Roman" w:cs="Times New Roman" w:eastAsia="Times New Roman" w:hAnsi="Times New Roman"/>
          <w:sz w:val="18"/>
          <w:szCs w:val="18"/>
          <w:color w:val="auto"/>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500" w:top="268" w:right="499" w:bottom="1440" w:gutter="0" w:footer="0" w:header="0"/>
        </w:sectPr>
      </w:pPr>
    </w:p>
    <w:bookmarkStart w:id="369" w:name="page370"/>
    <w:bookmarkEnd w:id="369"/>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7.6</w:t>
      </w:r>
      <w:r>
        <w:rPr>
          <w:sz w:val="20"/>
          <w:szCs w:val="20"/>
          <w:color w:val="auto"/>
        </w:rPr>
        <w:tab/>
      </w:r>
      <w:r>
        <w:rPr>
          <w:rFonts w:ascii="Times New Roman" w:cs="Times New Roman" w:eastAsia="Times New Roman" w:hAnsi="Times New Roman"/>
          <w:sz w:val="17"/>
          <w:szCs w:val="17"/>
          <w:u w:val="single" w:color="auto"/>
          <w:color w:val="auto"/>
        </w:rPr>
        <w:t>Construction; Definitions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180" w:firstLine="436"/>
        <w:spacing w:after="0" w:line="308" w:lineRule="auto"/>
        <w:rPr>
          <w:sz w:val="20"/>
          <w:szCs w:val="20"/>
          <w:color w:val="auto"/>
        </w:rPr>
      </w:pPr>
      <w:r>
        <w:rPr>
          <w:rFonts w:ascii="Times New Roman" w:cs="Times New Roman" w:eastAsia="Times New Roman" w:hAnsi="Times New Roman"/>
          <w:sz w:val="17"/>
          <w:szCs w:val="17"/>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246"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firstLine="436"/>
        <w:spacing w:after="0" w:line="277" w:lineRule="auto"/>
        <w:rPr>
          <w:sz w:val="20"/>
          <w:szCs w:val="20"/>
          <w:color w:val="auto"/>
        </w:rPr>
      </w:pPr>
      <w:r>
        <w:rPr>
          <w:rFonts w:ascii="Times New Roman" w:cs="Times New Roman" w:eastAsia="Times New Roman" w:hAnsi="Times New Roman"/>
          <w:sz w:val="18"/>
          <w:szCs w:val="18"/>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163" w:lineRule="exact"/>
        <w:rPr>
          <w:sz w:val="20"/>
          <w:szCs w:val="20"/>
          <w:color w:val="auto"/>
        </w:rPr>
      </w:pPr>
    </w:p>
    <w:p>
      <w:pPr>
        <w:ind w:right="180" w:firstLine="436"/>
        <w:spacing w:after="0" w:line="262" w:lineRule="auto"/>
        <w:rPr>
          <w:sz w:val="20"/>
          <w:szCs w:val="20"/>
          <w:color w:val="auto"/>
        </w:rPr>
      </w:pPr>
      <w:r>
        <w:rPr>
          <w:rFonts w:ascii="Times New Roman" w:cs="Times New Roman" w:eastAsia="Times New Roman" w:hAnsi="Times New Roman"/>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284"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and may be changed by the Board.</w:t>
      </w:r>
    </w:p>
    <w:p>
      <w:pPr>
        <w:spacing w:after="0" w:line="327"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7"/>
          <w:szCs w:val="17"/>
          <w:u w:val="single" w:color="auto"/>
          <w:color w:val="auto"/>
        </w:rPr>
        <w:t>Seal</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580" w:firstLine="436"/>
        <w:spacing w:after="0" w:line="277"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270" w:lineRule="exact"/>
        <w:rPr>
          <w:sz w:val="20"/>
          <w:szCs w:val="20"/>
          <w:color w:val="auto"/>
        </w:rPr>
      </w:pPr>
    </w:p>
    <w:p>
      <w:pPr>
        <w:ind w:left="420"/>
        <w:spacing w:after="0"/>
        <w:tabs>
          <w:tab w:leader="none" w:pos="90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7"/>
          <w:szCs w:val="17"/>
          <w:u w:val="single" w:color="auto"/>
          <w:color w:val="auto"/>
        </w:rPr>
        <w:t>Transfer of Stock</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20" w:firstLine="436"/>
        <w:spacing w:after="0" w:line="252" w:lineRule="auto"/>
        <w:rPr>
          <w:sz w:val="20"/>
          <w:szCs w:val="20"/>
          <w:color w:val="auto"/>
        </w:rPr>
      </w:pPr>
      <w:r>
        <w:rPr>
          <w:rFonts w:ascii="Times New Roman" w:cs="Times New Roman" w:eastAsia="Times New Roman" w:hAnsi="Times New Roman"/>
          <w:sz w:val="18"/>
          <w:szCs w:val="18"/>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295" w:lineRule="exact"/>
        <w:rPr>
          <w:sz w:val="20"/>
          <w:szCs w:val="20"/>
          <w:color w:val="auto"/>
        </w:rPr>
      </w:pPr>
    </w:p>
    <w:p>
      <w:pPr>
        <w:ind w:left="420"/>
        <w:spacing w:after="0"/>
        <w:tabs>
          <w:tab w:leader="none" w:pos="90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u w:val="single" w:color="auto"/>
          <w:color w:val="auto"/>
        </w:rPr>
        <w:t>Stock Transfer Agreements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140" w:firstLine="436"/>
        <w:spacing w:after="0" w:line="262"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80"/>
          </w:cols>
          <w:pgMar w:left="500" w:top="268" w:right="519" w:bottom="1440" w:gutter="0" w:footer="0" w:header="0"/>
        </w:sectPr>
      </w:pPr>
    </w:p>
    <w:bookmarkStart w:id="370" w:name="page371"/>
    <w:bookmarkEnd w:id="370"/>
    <w:p>
      <w:pPr>
        <w:ind w:left="420"/>
        <w:spacing w:after="0"/>
        <w:tabs>
          <w:tab w:leader="none" w:pos="9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7.12</w:t>
      </w:r>
      <w:r>
        <w:rPr>
          <w:sz w:val="20"/>
          <w:szCs w:val="20"/>
          <w:color w:val="auto"/>
        </w:rPr>
        <w:tab/>
      </w:r>
      <w:r>
        <w:rPr>
          <w:rFonts w:ascii="Times New Roman" w:cs="Times New Roman" w:eastAsia="Times New Roman" w:hAnsi="Times New Roman"/>
          <w:sz w:val="17"/>
          <w:szCs w:val="17"/>
          <w:u w:val="single" w:color="auto"/>
          <w:color w:val="auto"/>
        </w:rPr>
        <w:t>Registered Stockholders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Corporation:</w:t>
      </w:r>
    </w:p>
    <w:p>
      <w:pPr>
        <w:spacing w:after="0" w:line="114" w:lineRule="exact"/>
        <w:rPr>
          <w:sz w:val="20"/>
          <w:szCs w:val="20"/>
          <w:color w:val="auto"/>
        </w:rPr>
      </w:pPr>
    </w:p>
    <w:p>
      <w:pPr>
        <w:ind w:right="60" w:firstLine="975"/>
        <w:spacing w:after="0" w:line="277" w:lineRule="auto"/>
        <w:tabs>
          <w:tab w:leader="none" w:pos="1372"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 and</w:t>
      </w:r>
    </w:p>
    <w:p>
      <w:pPr>
        <w:spacing w:after="0" w:line="163" w:lineRule="exact"/>
        <w:rPr>
          <w:rFonts w:ascii="Times New Roman" w:cs="Times New Roman" w:eastAsia="Times New Roman" w:hAnsi="Times New Roman"/>
          <w:sz w:val="18"/>
          <w:szCs w:val="18"/>
          <w:color w:val="auto"/>
        </w:rPr>
      </w:pPr>
    </w:p>
    <w:p>
      <w:pPr>
        <w:ind w:right="520" w:firstLine="975"/>
        <w:spacing w:after="0" w:line="277" w:lineRule="auto"/>
        <w:tabs>
          <w:tab w:leader="none" w:pos="1377"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270" w:lineRule="exact"/>
        <w:rPr>
          <w:sz w:val="20"/>
          <w:szCs w:val="20"/>
          <w:color w:val="auto"/>
        </w:rPr>
      </w:pPr>
    </w:p>
    <w:p>
      <w:pPr>
        <w:ind w:left="420"/>
        <w:spacing w:after="0"/>
        <w:tabs>
          <w:tab w:leader="none" w:pos="900" w:val="left"/>
        </w:tabs>
        <w:rPr>
          <w:sz w:val="20"/>
          <w:szCs w:val="20"/>
          <w:color w:val="auto"/>
        </w:rPr>
      </w:pPr>
      <w:r>
        <w:rPr>
          <w:rFonts w:ascii="Times New Roman" w:cs="Times New Roman" w:eastAsia="Times New Roman" w:hAnsi="Times New Roman"/>
          <w:sz w:val="18"/>
          <w:szCs w:val="18"/>
          <w:color w:val="auto"/>
        </w:rPr>
        <w:t>7.13</w:t>
      </w:r>
      <w:r>
        <w:rPr>
          <w:sz w:val="20"/>
          <w:szCs w:val="20"/>
          <w:color w:val="auto"/>
        </w:rPr>
        <w:tab/>
      </w:r>
      <w:r>
        <w:rPr>
          <w:rFonts w:ascii="Times New Roman" w:cs="Times New Roman" w:eastAsia="Times New Roman" w:hAnsi="Times New Roman"/>
          <w:sz w:val="17"/>
          <w:szCs w:val="17"/>
          <w:u w:val="single" w:color="auto"/>
          <w:color w:val="auto"/>
        </w:rPr>
        <w:t>Waiver of Notice</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240" w:firstLine="436"/>
        <w:spacing w:after="0" w:line="252"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9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Article VIII - Notice</w:t>
      </w:r>
    </w:p>
    <w:p>
      <w:pPr>
        <w:spacing w:after="0" w:line="224"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u w:val="single" w:color="auto"/>
          <w:color w:val="auto"/>
        </w:rPr>
        <w:t>Delivery of Notice; Notice by Electronic Transmission</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firstLine="436"/>
        <w:spacing w:after="0" w:line="270" w:lineRule="auto"/>
        <w:rPr>
          <w:sz w:val="20"/>
          <w:szCs w:val="20"/>
          <w:color w:val="auto"/>
        </w:rPr>
      </w:pPr>
      <w:r>
        <w:rPr>
          <w:rFonts w:ascii="Times New Roman" w:cs="Times New Roman" w:eastAsia="Times New Roman" w:hAnsi="Times New Roman"/>
          <w:sz w:val="17"/>
          <w:szCs w:val="17"/>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70" w:lineRule="exact"/>
        <w:rPr>
          <w:sz w:val="20"/>
          <w:szCs w:val="20"/>
          <w:color w:val="auto"/>
        </w:rPr>
      </w:pPr>
    </w:p>
    <w:p>
      <w:pPr>
        <w:ind w:right="200" w:firstLine="436"/>
        <w:spacing w:after="0" w:line="255"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500" w:top="268" w:right="499" w:bottom="1440" w:gutter="0" w:footer="0" w:header="0"/>
        </w:sectPr>
      </w:pPr>
    </w:p>
    <w:bookmarkStart w:id="371" w:name="page372"/>
    <w:bookmarkEnd w:id="371"/>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8">
                      <a:extLst>
                        <a:ext uri="{28A0092B-C50C-407E-A947-70E740481C1C}"/>
                      </a:extLst>
                    </a:blip>
                    <a:srcRect/>
                    <a:stretch>
                      <a:fillRect/>
                    </a:stretch>
                  </pic:blipFill>
                  <pic:spPr bwMode="auto">
                    <a:xfrm>
                      <a:off x="0" y="0"/>
                      <a:ext cx="7150735" cy="24765"/>
                    </a:xfrm>
                    <a:prstGeom prst="rect">
                      <a:avLst/>
                    </a:prstGeom>
                    <a:noFill/>
                  </pic:spPr>
                </pic:pic>
              </a:graphicData>
            </a:graphic>
          </wp:anchor>
        </w:drawing>
        <w:t>Any notice given pursuant to the preceding paragraph shall be deemed given:</w:t>
      </w:r>
    </w:p>
    <w:p>
      <w:pPr>
        <w:spacing w:after="0" w:line="127" w:lineRule="exact"/>
        <w:rPr>
          <w:sz w:val="20"/>
          <w:szCs w:val="20"/>
          <w:color w:val="auto"/>
        </w:rPr>
      </w:pPr>
    </w:p>
    <w:p>
      <w:pPr>
        <w:ind w:left="1400" w:hanging="431"/>
        <w:spacing w:after="0"/>
        <w:tabs>
          <w:tab w:leader="none" w:pos="14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126" w:lineRule="exact"/>
        <w:rPr>
          <w:rFonts w:ascii="Times New Roman" w:cs="Times New Roman" w:eastAsia="Times New Roman" w:hAnsi="Times New Roman"/>
          <w:sz w:val="18"/>
          <w:szCs w:val="18"/>
          <w:color w:val="auto"/>
        </w:rPr>
      </w:pPr>
    </w:p>
    <w:p>
      <w:pPr>
        <w:ind w:left="1400" w:hanging="431"/>
        <w:spacing w:after="0"/>
        <w:tabs>
          <w:tab w:leader="none" w:pos="14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w:t>
      </w:r>
    </w:p>
    <w:p>
      <w:pPr>
        <w:spacing w:after="0" w:line="25"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posting and (B) the giving of such separate notice; and</w:t>
      </w:r>
    </w:p>
    <w:p>
      <w:pPr>
        <w:spacing w:after="0" w:line="108" w:lineRule="exact"/>
        <w:rPr>
          <w:rFonts w:ascii="Times New Roman" w:cs="Times New Roman" w:eastAsia="Times New Roman" w:hAnsi="Times New Roman"/>
          <w:sz w:val="18"/>
          <w:szCs w:val="18"/>
          <w:color w:val="auto"/>
        </w:rPr>
      </w:pPr>
    </w:p>
    <w:p>
      <w:pPr>
        <w:ind w:left="1400" w:hanging="431"/>
        <w:spacing w:after="0"/>
        <w:tabs>
          <w:tab w:leader="none" w:pos="14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220" w:lineRule="exact"/>
        <w:rPr>
          <w:sz w:val="20"/>
          <w:szCs w:val="20"/>
          <w:color w:val="auto"/>
        </w:rPr>
      </w:pPr>
    </w:p>
    <w:p>
      <w:pPr>
        <w:ind w:right="80" w:firstLine="436"/>
        <w:spacing w:after="0" w:line="257" w:lineRule="auto"/>
        <w:rPr>
          <w:sz w:val="20"/>
          <w:szCs w:val="20"/>
          <w:color w:val="auto"/>
        </w:rPr>
      </w:pPr>
      <w:r>
        <w:rPr>
          <w:rFonts w:ascii="Times New Roman" w:cs="Times New Roman" w:eastAsia="Times New Roman" w:hAnsi="Times New Roman"/>
          <w:sz w:val="18"/>
          <w:szCs w:val="18"/>
          <w:color w:val="auto"/>
        </w:rPr>
        <w:t>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82" w:lineRule="exact"/>
        <w:rPr>
          <w:sz w:val="20"/>
          <w:szCs w:val="20"/>
          <w:color w:val="auto"/>
        </w:rPr>
      </w:pPr>
    </w:p>
    <w:p>
      <w:pPr>
        <w:ind w:right="340" w:firstLine="436"/>
        <w:spacing w:after="0" w:line="277" w:lineRule="auto"/>
        <w:rPr>
          <w:sz w:val="20"/>
          <w:szCs w:val="20"/>
          <w:color w:val="auto"/>
        </w:rPr>
      </w:pPr>
      <w:r>
        <w:rPr>
          <w:rFonts w:ascii="Times New Roman" w:cs="Times New Roman" w:eastAsia="Times New Roman" w:hAnsi="Times New Roman"/>
          <w:sz w:val="18"/>
          <w:szCs w:val="18"/>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IX - Indemnification</w:t>
      </w:r>
    </w:p>
    <w:p>
      <w:pPr>
        <w:spacing w:after="0" w:line="224"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u w:val="single" w:color="auto"/>
          <w:color w:val="auto"/>
        </w:rPr>
        <w:t>Indemnification of Directors and Officers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140" w:firstLine="436"/>
        <w:spacing w:after="0" w:line="251" w:lineRule="auto"/>
        <w:rPr>
          <w:sz w:val="20"/>
          <w:szCs w:val="20"/>
          <w:color w:val="auto"/>
        </w:rPr>
      </w:pPr>
      <w:r>
        <w:rPr>
          <w:rFonts w:ascii="Times New Roman" w:cs="Times New Roman" w:eastAsia="Times New Roman" w:hAnsi="Times New Roman"/>
          <w:sz w:val="18"/>
          <w:szCs w:val="18"/>
          <w:color w:val="auto"/>
        </w:rPr>
        <w:t>The Corporation shall indemnify and hold harmless, to the fullest extent permitted by the DGCL as it presently exists or may hereafter be amended, any director or officer of the Corporation (a “covered person”)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9.4, the Corporation shall be required to indemnify a person in connection with a Proceeding initiated by such person only if the Proceeding was authorized in the specific case by the Board.</w:t>
      </w:r>
    </w:p>
    <w:p>
      <w:pPr>
        <w:spacing w:after="0" w:line="293"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u w:val="single" w:color="auto"/>
          <w:color w:val="auto"/>
        </w:rPr>
        <w:t>Indemnification of Others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40"/>
          </w:cols>
          <w:pgMar w:left="500" w:top="267" w:right="559" w:bottom="1440" w:gutter="0" w:footer="0" w:header="0"/>
        </w:sectPr>
      </w:pPr>
    </w:p>
    <w:bookmarkStart w:id="372" w:name="page373"/>
    <w:bookmarkEnd w:id="372"/>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9.3</w:t>
      </w:r>
      <w:r>
        <w:rPr>
          <w:sz w:val="20"/>
          <w:szCs w:val="20"/>
          <w:color w:val="auto"/>
        </w:rPr>
        <w:tab/>
      </w:r>
      <w:r>
        <w:rPr>
          <w:rFonts w:ascii="Times New Roman" w:cs="Times New Roman" w:eastAsia="Times New Roman" w:hAnsi="Times New Roman"/>
          <w:sz w:val="17"/>
          <w:szCs w:val="17"/>
          <w:u w:val="single" w:color="auto"/>
          <w:color w:val="auto"/>
        </w:rPr>
        <w:t>Prepayment of Expenses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payment of expenses in advance of the final disposition of the Proceeding shall be made only upon receipt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undertaking by the person to repay all amounts advanced if it should be ultimately determined that the person is not entitled to be indemnified under this Article IX or otherwise.</w:t>
      </w:r>
    </w:p>
    <w:p>
      <w:pPr>
        <w:spacing w:after="0" w:line="290"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u w:val="single" w:color="auto"/>
          <w:color w:val="auto"/>
        </w:rPr>
        <w:t>Determination; Claim</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290"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u w:val="single" w:color="auto"/>
          <w:color w:val="auto"/>
        </w:rPr>
        <w:t>Non-Exclusivity of Rights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200" w:firstLine="436"/>
        <w:spacing w:after="0" w:line="308" w:lineRule="auto"/>
        <w:rPr>
          <w:sz w:val="20"/>
          <w:szCs w:val="20"/>
          <w:color w:val="auto"/>
        </w:rPr>
      </w:pPr>
      <w:r>
        <w:rPr>
          <w:rFonts w:ascii="Times New Roman" w:cs="Times New Roman" w:eastAsia="Times New Roman" w:hAnsi="Times New Roman"/>
          <w:sz w:val="17"/>
          <w:szCs w:val="17"/>
          <w:color w:val="auto"/>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spacing w:after="0" w:line="246"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80" w:firstLine="436"/>
        <w:spacing w:after="0" w:line="255" w:lineRule="auto"/>
        <w:rPr>
          <w:sz w:val="20"/>
          <w:szCs w:val="20"/>
          <w:color w:val="auto"/>
        </w:rPr>
      </w:pPr>
      <w:r>
        <w:rPr>
          <w:rFonts w:ascii="Times New Roman" w:cs="Times New Roman" w:eastAsia="Times New Roman" w:hAnsi="Times New Roman"/>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290"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7"/>
          <w:szCs w:val="17"/>
          <w:u w:val="single" w:color="auto"/>
          <w:color w:val="auto"/>
        </w:rPr>
        <w:t>Continuation of Indemnification</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240" w:firstLine="436"/>
        <w:spacing w:after="0" w:line="262" w:lineRule="auto"/>
        <w:rPr>
          <w:sz w:val="20"/>
          <w:szCs w:val="20"/>
          <w:color w:val="auto"/>
        </w:rPr>
      </w:pPr>
      <w:r>
        <w:rPr>
          <w:rFonts w:ascii="Times New Roman" w:cs="Times New Roman" w:eastAsia="Times New Roman" w:hAnsi="Times New Roman"/>
          <w:sz w:val="18"/>
          <w:szCs w:val="18"/>
          <w:color w:val="auto"/>
        </w:rPr>
        <w:t>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spacing w:after="0" w:line="284"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7"/>
          <w:szCs w:val="17"/>
          <w:u w:val="single" w:color="auto"/>
          <w:color w:val="auto"/>
        </w:rPr>
        <w:t>Amendment or Repeal; Interpretation</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40" w:firstLine="436"/>
        <w:spacing w:after="0" w:line="257" w:lineRule="auto"/>
        <w:rPr>
          <w:sz w:val="20"/>
          <w:szCs w:val="20"/>
          <w:color w:val="auto"/>
        </w:rPr>
      </w:pPr>
      <w:r>
        <w:rPr>
          <w:rFonts w:ascii="Times New Roman" w:cs="Times New Roman" w:eastAsia="Times New Roman" w:hAnsi="Times New Roman"/>
          <w:sz w:val="18"/>
          <w:szCs w:val="18"/>
          <w:color w:val="auto"/>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00"/>
          </w:cols>
          <w:pgMar w:left="500" w:top="267" w:right="499" w:bottom="1440" w:gutter="0" w:footer="0" w:header="0"/>
        </w:sectPr>
      </w:pPr>
    </w:p>
    <w:bookmarkStart w:id="373" w:name="page374"/>
    <w:bookmarkEnd w:id="373"/>
    <w:p>
      <w:pPr>
        <w:ind w:left="6"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89" w:lineRule="exact"/>
        <w:rPr>
          <w:sz w:val="20"/>
          <w:szCs w:val="20"/>
          <w:color w:val="auto"/>
        </w:rPr>
      </w:pPr>
    </w:p>
    <w:p>
      <w:pPr>
        <w:ind w:left="6" w:right="20" w:firstLine="436"/>
        <w:spacing w:after="0" w:line="274" w:lineRule="auto"/>
        <w:rPr>
          <w:sz w:val="20"/>
          <w:szCs w:val="20"/>
          <w:color w:val="auto"/>
        </w:rPr>
      </w:pPr>
      <w:r>
        <w:rPr>
          <w:rFonts w:ascii="Times New Roman" w:cs="Times New Roman" w:eastAsia="Times New Roman" w:hAnsi="Times New Roman"/>
          <w:sz w:val="17"/>
          <w:szCs w:val="17"/>
          <w:color w:val="auto"/>
        </w:rPr>
        <w:t>Any reference to an officer of the Corporation in this Article IX shall be deemed to refer exclusively to the Chief Executive Officer (or a Co-Chief Executive Officer), President, and Secretary, or other officer of the Corporation appointed by (x) the Board pursuant to Article V of these Bylaws or</w:t>
      </w:r>
    </w:p>
    <w:p>
      <w:pPr>
        <w:ind w:left="6" w:right="40" w:hanging="6"/>
        <w:spacing w:after="0" w:line="248" w:lineRule="auto"/>
        <w:tabs>
          <w:tab w:leader="none" w:pos="258"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w:t>
      </w:r>
    </w:p>
    <w:p>
      <w:pPr>
        <w:spacing w:after="0" w:line="200" w:lineRule="exact"/>
        <w:rPr>
          <w:sz w:val="20"/>
          <w:szCs w:val="20"/>
          <w:color w:val="auto"/>
        </w:rPr>
      </w:pPr>
    </w:p>
    <w:p>
      <w:pPr>
        <w:spacing w:after="0" w:line="203"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224" w:lineRule="exact"/>
        <w:rPr>
          <w:sz w:val="20"/>
          <w:szCs w:val="20"/>
          <w:color w:val="auto"/>
        </w:rPr>
      </w:pPr>
    </w:p>
    <w:p>
      <w:pPr>
        <w:ind w:left="6" w:right="220" w:firstLine="436"/>
        <w:spacing w:after="0" w:line="257" w:lineRule="auto"/>
        <w:rPr>
          <w:sz w:val="20"/>
          <w:szCs w:val="20"/>
          <w:color w:val="auto"/>
        </w:rPr>
      </w:pPr>
      <w:r>
        <w:rPr>
          <w:rFonts w:ascii="Times New Roman" w:cs="Times New Roman" w:eastAsia="Times New Roman" w:hAnsi="Times New Roman"/>
          <w:sz w:val="18"/>
          <w:szCs w:val="18"/>
          <w:color w:val="auto"/>
        </w:rPr>
        <w:t xml:space="preserve">The Board is expressly empowered to adopt, amend or repeal the Bylaws. The stockholders also shall have power to adopt, amend or repeal the Bylaws;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action by stockholders shall require, in addition to any other vote required by the Certificate of Incorporation or applicable law, the affirmative vote of the holders of at least 66 2/3% of the voting power of all the then-outstanding shares of capital stock of the Corporation entitled to vote generally in the election of directors, voting together as a single class.</w:t>
      </w:r>
    </w:p>
    <w:p>
      <w:pPr>
        <w:spacing w:after="0" w:line="39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Article XI - Definitions</w:t>
      </w:r>
    </w:p>
    <w:p>
      <w:pPr>
        <w:spacing w:after="0" w:line="224"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As used in these Bylaws, unless the context otherwise requires, the following terms shall have the following meanings:</w:t>
      </w:r>
    </w:p>
    <w:p>
      <w:pPr>
        <w:spacing w:after="0" w:line="220" w:lineRule="exact"/>
        <w:rPr>
          <w:sz w:val="20"/>
          <w:szCs w:val="20"/>
          <w:color w:val="auto"/>
        </w:rPr>
      </w:pPr>
    </w:p>
    <w:p>
      <w:pPr>
        <w:ind w:left="6" w:firstLine="436"/>
        <w:spacing w:after="0" w:line="257"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15"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86"/>
          </w:cols>
          <w:pgMar w:left="494" w:top="268" w:right="519" w:bottom="1440" w:gutter="0" w:footer="0" w:header="0"/>
        </w:sectPr>
      </w:pPr>
    </w:p>
    <w:bookmarkStart w:id="374" w:name="page375"/>
    <w:bookmarkEnd w:id="374"/>
    <w:p>
      <w:pPr>
        <w:ind w:right="160" w:firstLine="43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 “</w:t>
      </w:r>
      <w:r>
        <w:rPr>
          <w:rFonts w:ascii="Times New Roman" w:cs="Times New Roman" w:eastAsia="Times New Roman" w:hAnsi="Times New Roman"/>
          <w:sz w:val="18"/>
          <w:szCs w:val="18"/>
          <w:u w:val="single" w:color="auto"/>
          <w:color w:val="auto"/>
        </w:rPr>
        <w:t>electronic mail</w:t>
      </w:r>
      <w:r>
        <w:rPr>
          <w:rFonts w:ascii="Times New Roman" w:cs="Times New Roman" w:eastAsia="Times New Roman" w:hAnsi="Times New Roman"/>
          <w:sz w:val="18"/>
          <w:szCs w:val="18"/>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77" w:lineRule="exact"/>
        <w:rPr>
          <w:sz w:val="20"/>
          <w:szCs w:val="20"/>
          <w:color w:val="auto"/>
        </w:rPr>
      </w:pPr>
    </w:p>
    <w:p>
      <w:pPr>
        <w:ind w:right="360" w:firstLine="436"/>
        <w:spacing w:after="0" w:line="262"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 address</w:t>
      </w:r>
      <w:r>
        <w:rPr>
          <w:rFonts w:ascii="Times New Roman" w:cs="Times New Roman" w:eastAsia="Times New Roman" w:hAnsi="Times New Roman"/>
          <w:sz w:val="18"/>
          <w:szCs w:val="18"/>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77"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880"/>
          </w:cols>
          <w:pgMar w:left="500" w:top="268" w:right="519" w:bottom="1440" w:gutter="0" w:footer="0" w:header="0"/>
        </w:sectPr>
      </w:pPr>
    </w:p>
    <w:bookmarkStart w:id="375" w:name="page376"/>
    <w:bookmarkEnd w:id="3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2">
                      <a:extLst>
                        <a:ext uri="{28A0092B-C50C-407E-A947-70E740481C1C}"/>
                      </a:extLst>
                    </a:blip>
                    <a:srcRect/>
                    <a:stretch>
                      <a:fillRect/>
                    </a:stretch>
                  </pic:blipFill>
                  <pic:spPr bwMode="auto">
                    <a:xfrm>
                      <a:off x="0" y="0"/>
                      <a:ext cx="7150735" cy="24765"/>
                    </a:xfrm>
                    <a:prstGeom prst="rect">
                      <a:avLst/>
                    </a:prstGeom>
                    <a:noFill/>
                  </pic:spPr>
                </pic:pic>
              </a:graphicData>
            </a:graphic>
          </wp:anchor>
        </w:drawing>
        <w:t>GoodRx Holdings,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Amendment and Restatement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238760</wp:posOffset>
            </wp:positionV>
            <wp:extent cx="145034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firstLine="436"/>
        <w:spacing w:after="0" w:line="277" w:lineRule="auto"/>
        <w:rPr>
          <w:sz w:val="20"/>
          <w:szCs w:val="20"/>
          <w:color w:val="auto"/>
        </w:rPr>
      </w:pPr>
      <w:r>
        <w:rPr>
          <w:rFonts w:ascii="Times New Roman" w:cs="Times New Roman" w:eastAsia="Times New Roman" w:hAnsi="Times New Roman"/>
          <w:sz w:val="18"/>
          <w:szCs w:val="18"/>
          <w:color w:val="auto"/>
        </w:rPr>
        <w:t>The undersigned hereby certifies that he is the duly elected, qualified, and acting Secretary of GoodRx Holdings, Inc.,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that the foregoing Bylaws were adopted by the Board of Directors of the Corporation on [ ● ] to be effective as of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267970</wp:posOffset>
            </wp:positionV>
            <wp:extent cx="27311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4">
                      <a:extLst>
                        <a:ext uri="{28A0092B-C50C-407E-A947-70E740481C1C}"/>
                      </a:extLst>
                    </a:blip>
                    <a:srcRect/>
                    <a:stretch>
                      <a:fillRect/>
                    </a:stretch>
                  </pic:blipFill>
                  <pic:spPr bwMode="auto">
                    <a:xfrm>
                      <a:off x="0" y="0"/>
                      <a:ext cx="273113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Trevor Bezdek</w:t>
      </w:r>
    </w:p>
    <w:p>
      <w:pPr>
        <w:spacing w:after="0" w:line="2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Co-Chief Executive Officer and Secretary</w:t>
      </w:r>
    </w:p>
    <w:p>
      <w:pPr>
        <w:sectPr>
          <w:pgSz w:w="11900" w:h="16838" w:orient="portrait"/>
          <w:cols w:equalWidth="0" w:num="1">
            <w:col w:w="10880"/>
          </w:cols>
          <w:pgMar w:left="500" w:top="263" w:right="519" w:bottom="1440" w:gutter="0" w:footer="0" w:header="0"/>
        </w:sectPr>
      </w:pPr>
    </w:p>
    <w:bookmarkStart w:id="376" w:name="page377"/>
    <w:bookmarkEnd w:id="376"/>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0"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30"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STOCKHOLDERS AGREEMENT</w:t>
      </w:r>
    </w:p>
    <w:p>
      <w:pPr>
        <w:spacing w:after="0" w:line="21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Dated as of [●], 2020</w:t>
      </w:r>
    </w:p>
    <w:p>
      <w:pPr>
        <w:sectPr>
          <w:pgSz w:w="11900" w:h="16838" w:orient="portrait"/>
          <w:cols w:equalWidth="0" w:num="1">
            <w:col w:w="9960"/>
          </w:cols>
          <w:pgMar w:left="1440" w:top="117" w:right="49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237"/>
        </w:trPr>
        <w:tc>
          <w:tcPr>
            <w:tcW w:w="1300" w:type="dxa"/>
            <w:vAlign w:val="bottom"/>
          </w:tcPr>
          <w:p>
            <w:pPr>
              <w:spacing w:after="0"/>
              <w:rPr>
                <w:sz w:val="20"/>
                <w:szCs w:val="20"/>
                <w:color w:val="auto"/>
              </w:rPr>
            </w:pPr>
          </w:p>
        </w:tc>
        <w:tc>
          <w:tcPr>
            <w:tcW w:w="718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60" w:type="dxa"/>
            <w:vAlign w:val="bottom"/>
          </w:tcPr>
          <w:p>
            <w:pPr>
              <w:spacing w:after="0"/>
              <w:rPr>
                <w:sz w:val="20"/>
                <w:szCs w:val="20"/>
                <w:color w:val="auto"/>
              </w:rPr>
            </w:pPr>
          </w:p>
        </w:tc>
      </w:tr>
      <w:tr>
        <w:trPr>
          <w:trHeight w:val="402"/>
        </w:trPr>
        <w:tc>
          <w:tcPr>
            <w:tcW w:w="13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2"/>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3"/>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Interpretive Principles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1"/>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MANAGEMENT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2"/>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of Directors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3"/>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Controlled Company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1"/>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POST-IPO TRANSFERS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2"/>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Registration Rights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Private Placements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Coordination of Rule 144 Sales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 Distributions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3.6</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Restrictions on Transfer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3.7</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Permitted Transfers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3.8</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Idea Men Participation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3"/>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3.9</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of Article III</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1"/>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ADDITIONAL AGREEMENTS OF THE PARTIES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2"/>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Exculpation Among Stockholders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3"/>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Confidentiality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1"/>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ADDITIONAL PARTIES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1"/>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Parties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1"/>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MISCELLANEOUS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2"/>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Opportunities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Non-Recourse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6.6</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Recapitalizations; Exchanges, Etc.</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6.7</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Addresses and Notices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6.8</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Binding Effect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6.9</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3"/>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6.11</w:t>
            </w: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Applicable Law; Waiver of Jury Trial</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40"/>
          </w:cols>
          <w:pgMar w:left="500" w:top="264" w:right="559" w:bottom="1440" w:gutter="0" w:footer="0" w:header="0"/>
        </w:sectPr>
      </w:pPr>
    </w:p>
    <w:bookmarkStart w:id="378" w:name="page379"/>
    <w:bookmarkEnd w:id="378"/>
    <w:tbl>
      <w:tblPr>
        <w:tblLayout w:type="fixed"/>
        <w:tblInd w:w="360" w:type="dxa"/>
        <w:tblCellMar>
          <w:top w:w="0" w:type="dxa"/>
          <w:left w:w="0" w:type="dxa"/>
          <w:bottom w:w="0" w:type="dxa"/>
          <w:right w:w="0" w:type="dxa"/>
        </w:tblCellMar>
      </w:tblPr>
      <w:tr>
        <w:trPr>
          <w:trHeight w:val="2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6.13 Delivery by Facsimile</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Remedies</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6.16</w:t>
            </w: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Exhibit A - Form of Joinder to Stockholders Agreement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Form of Director &amp; Officer Indemnification Agreement</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840"/>
          </w:cols>
          <w:pgMar w:left="500" w:top="268" w:right="559" w:bottom="1440" w:gutter="0" w:footer="0" w:header="0"/>
        </w:sectPr>
      </w:pPr>
    </w:p>
    <w:bookmarkStart w:id="379" w:name="page380"/>
    <w:bookmarkEnd w:id="379"/>
    <w:p>
      <w:pPr>
        <w:jc w:val="center"/>
        <w:ind w:right="-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STOCKHOLDERS AGREEMENT</w:t>
      </w:r>
    </w:p>
    <w:p>
      <w:pPr>
        <w:spacing w:after="0" w:line="224" w:lineRule="exact"/>
        <w:rPr>
          <w:sz w:val="20"/>
          <w:szCs w:val="20"/>
          <w:color w:val="auto"/>
        </w:rPr>
      </w:pPr>
    </w:p>
    <w:p>
      <w:pPr>
        <w:ind w:left="6" w:right="400" w:firstLine="436"/>
        <w:spacing w:after="0" w:line="270" w:lineRule="auto"/>
        <w:rPr>
          <w:sz w:val="20"/>
          <w:szCs w:val="20"/>
          <w:color w:val="auto"/>
        </w:rPr>
      </w:pPr>
      <w:r>
        <w:rPr>
          <w:rFonts w:ascii="Times New Roman" w:cs="Times New Roman" w:eastAsia="Times New Roman" w:hAnsi="Times New Roman"/>
          <w:sz w:val="17"/>
          <w:szCs w:val="17"/>
          <w:color w:val="auto"/>
        </w:rPr>
        <w:t>This STOCKHOLDERS AGREEMENT (as the same may be amended from time to time in accordance with its terms,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entered into as of [ ● ], 2020, by and among (i) GoodRx Holdings, Inc., a Delaware corporation (the “</w:t>
      </w:r>
      <w:r>
        <w:rPr>
          <w:rFonts w:ascii="Times New Roman" w:cs="Times New Roman" w:eastAsia="Times New Roman" w:hAnsi="Times New Roman"/>
          <w:sz w:val="17"/>
          <w:szCs w:val="17"/>
          <w:u w:val="single" w:color="auto"/>
          <w:color w:val="auto"/>
        </w:rPr>
        <w:t>Issuer</w:t>
      </w:r>
      <w:r>
        <w:rPr>
          <w:rFonts w:ascii="Times New Roman" w:cs="Times New Roman" w:eastAsia="Times New Roman" w:hAnsi="Times New Roman"/>
          <w:sz w:val="17"/>
          <w:szCs w:val="17"/>
          <w:color w:val="auto"/>
        </w:rPr>
        <w:t>”); (ii) the Silver Lake Stockholders (as hereinafter defined); (iii) the Francisco Partners Stockholders (as hereinafter defined), (iv) the Spectrum Stockholders (as hereinafter defined), and</w:t>
      </w:r>
    </w:p>
    <w:p>
      <w:pPr>
        <w:ind w:left="6" w:right="160" w:hanging="6"/>
        <w:spacing w:after="0" w:line="255" w:lineRule="auto"/>
        <w:tabs>
          <w:tab w:leader="none" w:pos="258"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Idea Men Stockholders (as hereinafter defined), and any other Person who becomes a party hereto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 w:right="40" w:firstLine="436"/>
        <w:spacing w:after="0" w:line="257" w:lineRule="auto"/>
        <w:rPr>
          <w:sz w:val="20"/>
          <w:szCs w:val="20"/>
          <w:color w:val="auto"/>
        </w:rPr>
      </w:pPr>
      <w:r>
        <w:rPr>
          <w:rFonts w:ascii="Times New Roman" w:cs="Times New Roman" w:eastAsia="Times New Roman" w:hAnsi="Times New Roman"/>
          <w:sz w:val="18"/>
          <w:szCs w:val="18"/>
          <w:color w:val="auto"/>
        </w:rPr>
        <w:t>WHEREAS, in connection with the consummation by the Issuer of an IPO (as hereinafter defined), and pursuant to the terms of the Amended and Restated Stockholders Agreement, dated as of October 12, 2018, by and among the parties hereto and certain other persons, the parties hereto have agreed to enter into this Agreement to govern certain of their rights, duties and obligations with respect to their ownership of Shares (as hereinafter defined) after consummation of the IPO.</w:t>
      </w:r>
    </w:p>
    <w:p>
      <w:pPr>
        <w:spacing w:after="0" w:line="182" w:lineRule="exact"/>
        <w:rPr>
          <w:sz w:val="20"/>
          <w:szCs w:val="20"/>
          <w:color w:val="auto"/>
        </w:rPr>
      </w:pPr>
    </w:p>
    <w:p>
      <w:pPr>
        <w:ind w:left="6" w:firstLine="436"/>
        <w:spacing w:after="0" w:line="262" w:lineRule="auto"/>
        <w:rPr>
          <w:sz w:val="20"/>
          <w:szCs w:val="20"/>
          <w:color w:val="auto"/>
        </w:rPr>
      </w:pPr>
      <w:r>
        <w:rPr>
          <w:rFonts w:ascii="Times New Roman" w:cs="Times New Roman" w:eastAsia="Times New Roman" w:hAnsi="Times New Roman"/>
          <w:sz w:val="18"/>
          <w:szCs w:val="18"/>
          <w:color w:val="auto"/>
        </w:rPr>
        <w:t>WHEREAS, pursuant to the Stock Purchase Agreement, dated as of September [ ● ], 2020, by and among the Issuer and SLP Geology Aggregator, L.P., the Issuer has agreed to issue and sell shares of its Class A Common Stock (as defined herein) at a price per share equal to the price per share in the IPO (as hereinafter defined), before underwriting discounts and expenses.</w:t>
      </w:r>
    </w:p>
    <w:p>
      <w:pPr>
        <w:spacing w:after="0" w:line="177"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herein, the parties mutually agree as follows:</w:t>
      </w:r>
    </w:p>
    <w:p>
      <w:pPr>
        <w:spacing w:after="0" w:line="200" w:lineRule="exact"/>
        <w:rPr>
          <w:sz w:val="20"/>
          <w:szCs w:val="20"/>
          <w:color w:val="auto"/>
        </w:rPr>
      </w:pPr>
    </w:p>
    <w:p>
      <w:pPr>
        <w:spacing w:after="0" w:line="23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2" w:lineRule="exact"/>
        <w:rPr>
          <w:sz w:val="20"/>
          <w:szCs w:val="20"/>
          <w:color w:val="auto"/>
        </w:rPr>
      </w:pPr>
    </w:p>
    <w:p>
      <w:pPr>
        <w:ind w:left="426"/>
        <w:spacing w:after="0"/>
        <w:tabs>
          <w:tab w:leader="none" w:pos="1386"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As used in this Agreement, the following terms shall have the meanings set forth below:</w:t>
      </w:r>
    </w:p>
    <w:p>
      <w:pPr>
        <w:spacing w:after="0" w:line="220" w:lineRule="exact"/>
        <w:rPr>
          <w:sz w:val="20"/>
          <w:szCs w:val="20"/>
          <w:color w:val="auto"/>
        </w:rPr>
      </w:pPr>
    </w:p>
    <w:p>
      <w:pPr>
        <w:ind w:left="6" w:right="60" w:firstLine="43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controls, is controlled by, or is under common control with such Person. The term “control,” as used with respect to any Person, means the power to direct or cause the direction of the management and policies of such Person, directly or indirectly, whether through the ownership of voting securities, by contract or otherwise.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have meanings correlative to the foregoing. Notwithstanding the foregoing, for purposes hereof, none of the Stockholders, the Issuer, or any of their respective Subsidiaries shall be considered Affiliates of any portfolio operating company in which the Stockholders or any of their investment fund Affiliates have made a debt or equity investment, and none of the Stockholders or any of their Affiliates shall be considered an Affiliate of (a) Issuer or any of its Subsidiaries or (b) each other.</w:t>
      </w:r>
    </w:p>
    <w:p>
      <w:pPr>
        <w:spacing w:after="0" w:line="189"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0" w:lineRule="exact"/>
        <w:rPr>
          <w:sz w:val="20"/>
          <w:szCs w:val="20"/>
          <w:color w:val="auto"/>
        </w:rPr>
      </w:pPr>
    </w:p>
    <w:p>
      <w:pPr>
        <w:ind w:left="6" w:right="20" w:firstLine="43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and Restated Certificate of Incorporation</w:t>
      </w:r>
      <w:r>
        <w:rPr>
          <w:rFonts w:ascii="Times New Roman" w:cs="Times New Roman" w:eastAsia="Times New Roman" w:hAnsi="Times New Roman"/>
          <w:sz w:val="18"/>
          <w:szCs w:val="18"/>
          <w:color w:val="auto"/>
        </w:rPr>
        <w:t>” means the Issuer’s amended and restated certificate of incorporation to be filed and effective in connection with the consummation of the IPO.</w:t>
      </w:r>
    </w:p>
    <w:p>
      <w:pPr>
        <w:spacing w:after="0" w:line="9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86"/>
          </w:cols>
          <w:pgMar w:left="494" w:top="264" w:right="519" w:bottom="1440" w:gutter="0" w:footer="0" w:header="0"/>
        </w:sectPr>
      </w:pPr>
    </w:p>
    <w:bookmarkStart w:id="380" w:name="page381"/>
    <w:bookmarkEnd w:id="380"/>
    <w:p>
      <w:pPr>
        <w:ind w:right="140" w:firstLine="43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xml:space="preserve">” and similar terms have the meaning set forth in Rule 13d-3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Stockholder shall be deemed to beneficially own any securities of the Issuer held by any other Stockholder solely by virtue of the provisions of this Agreement (other than this definition which shall be deemed to be read for this purpose without the proviso hereto).</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Issuer.</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other than a Saturday, Sunday or one on which banks are authorized by law to be closed in New York, New York.</w:t>
      </w:r>
    </w:p>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“Catch-Up Shares” has the meaning set forth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0" w:lineRule="exact"/>
        <w:rPr>
          <w:sz w:val="20"/>
          <w:szCs w:val="20"/>
          <w:color w:val="auto"/>
        </w:rPr>
      </w:pPr>
    </w:p>
    <w:p>
      <w:pPr>
        <w:ind w:right="480" w:firstLine="430"/>
        <w:spacing w:after="0" w:line="262" w:lineRule="auto"/>
        <w:tabs>
          <w:tab w:leader="none" w:pos="811"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disposition, in one or a series of related transactions, of all or substantially all, of the assets of the Issuer to any “person” or “group” (as such terms are defined in Section 13(d)(3) or 14(d)(2) of the Exchange Act), other than to the Stockholder Group or to any of the Stockholders, Trevor Bezdek, Douglas Hirsch or any of their respective Affiliates (collectively, the “</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ind w:right="240" w:firstLine="430"/>
        <w:spacing w:after="0" w:line="257" w:lineRule="auto"/>
        <w:tabs>
          <w:tab w:leader="none" w:pos="821"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other than one or more of the Permitted Holders, is or becomes the Beneficial Owner, directly or indirectly, of more than 50% of the total voting power of the voting stock or interests, as applicable, of the Issuer (or any entity which controls the Issuer or which is a successor to all or substantially all of the assets of the Issuer), including by way of merger, recapitalization, reorganization, redemption, issuance of capital stock, consolidation, tender or exchange offer or otherwise; or</w:t>
      </w:r>
    </w:p>
    <w:p>
      <w:pPr>
        <w:spacing w:after="0" w:line="182" w:lineRule="exact"/>
        <w:rPr>
          <w:rFonts w:ascii="Times New Roman" w:cs="Times New Roman" w:eastAsia="Times New Roman" w:hAnsi="Times New Roman"/>
          <w:sz w:val="18"/>
          <w:szCs w:val="18"/>
          <w:color w:val="auto"/>
        </w:rPr>
      </w:pPr>
    </w:p>
    <w:p>
      <w:pPr>
        <w:jc w:val="both"/>
        <w:ind w:right="280" w:firstLine="430"/>
        <w:spacing w:after="0" w:line="262" w:lineRule="auto"/>
        <w:tabs>
          <w:tab w:leader="none" w:pos="811"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of the Issuer with or into another Person (other than one of more of the Permitted Holders) in which the voting stockholders or members, as applicable, of the Issuer immediately prior to such merger cease to hold at least 50% of the voting shares of the Issuer (or the surviving corporation or ultimate parent) immediately following such merger;</w:t>
      </w:r>
    </w:p>
    <w:p>
      <w:pPr>
        <w:spacing w:after="0" w:line="17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in each case under clause (a), (b) or (c), no Change in Control shall be deemed to occur unless the Permitted Holders as a result of such transaction cease to have the ability, without the approval of any Person who is not a Permitted Holder, to elect a majority of the members of the Board of Directors or other governing body of the Issuer (or the resulting entity), and in no event shall a Change in Control be deemed to include any transaction effected for the purpose of (i) changing, directly or indirectly, the form of organization or the organizational structure of the Issuer or any of its Subsidiaries, or (ii) contributing assets or equity to entities controlled by the Issuer (or owned by the Issuer in substantially the same proportions as their ownership of the Issuer).</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the Class A common stock, par value $0.0001 per share, of the Issuer.</w:t>
      </w:r>
    </w:p>
    <w:p>
      <w:pPr>
        <w:spacing w:after="0" w:line="15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20"/>
          </w:cols>
          <w:pgMar w:left="500" w:top="268" w:right="579" w:bottom="1440" w:gutter="0" w:footer="0" w:header="0"/>
        </w:sectPr>
      </w:pPr>
    </w:p>
    <w:bookmarkStart w:id="381" w:name="page382"/>
    <w:bookmarkEnd w:id="381"/>
    <w:p>
      <w:pPr>
        <w:ind w:right="80" w:firstLine="436"/>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means the Class B common stock, par value $0.0001 per share, of the Issuer (including any shares of Class A common stock into which such Class B common stock converts).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of the closing of the IPO.</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360" w:firstLine="43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Combined Voting Power</w:t>
      </w:r>
      <w:r>
        <w:rPr>
          <w:rFonts w:ascii="Times New Roman" w:cs="Times New Roman" w:eastAsia="Times New Roman" w:hAnsi="Times New Roman"/>
          <w:sz w:val="18"/>
          <w:szCs w:val="18"/>
          <w:color w:val="auto"/>
        </w:rPr>
        <w:t>” means the combined voting power of all classes and series of Voting Securities, according to each class’ or series’ respective votes per share, voting together as a single class.</w:t>
      </w:r>
    </w:p>
    <w:p>
      <w:pPr>
        <w:spacing w:after="0" w:line="163" w:lineRule="exact"/>
        <w:rPr>
          <w:sz w:val="20"/>
          <w:szCs w:val="20"/>
          <w:color w:val="auto"/>
        </w:rPr>
      </w:pPr>
    </w:p>
    <w:p>
      <w:pPr>
        <w:ind w:right="380" w:firstLine="43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collectively, the shares of Class A Common Stock and Class B Common Stock, and any securities issued in respect thereof, or in substitution therefor, in connection with any stock split, dividend or combination, or any reclassification, recapitalization, merger, consolidation or similar transaction.</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member of the Board from time to time.</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 Designee</w:t>
      </w:r>
      <w:r>
        <w:rPr>
          <w:rFonts w:ascii="Times New Roman" w:cs="Times New Roman" w:eastAsia="Times New Roman" w:hAnsi="Times New Roman"/>
          <w:sz w:val="18"/>
          <w:szCs w:val="18"/>
          <w:color w:val="auto"/>
        </w:rPr>
        <w:t>” means a Silver Lake Designee, a Francisco Partners Designee, the Spectrum Designee or an Idea Men Designee.</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“Distribution” has the meaning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“Distribution Cap” has the meaning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43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any and all Shares, and any and all securities of the Issuer convertible into, or exchangeable or exercisable for (whether or not subject to contingencies or the passage of time, or both), such shares, and options, warrants or other rights to acquire Shares.</w:t>
      </w:r>
    </w:p>
    <w:p>
      <w:pPr>
        <w:spacing w:after="0" w:line="163" w:lineRule="exact"/>
        <w:rPr>
          <w:sz w:val="20"/>
          <w:szCs w:val="20"/>
          <w:color w:val="auto"/>
        </w:rPr>
      </w:pPr>
    </w:p>
    <w:p>
      <w:pPr>
        <w:ind w:right="60" w:firstLine="43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 same may be amended from time to time.</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Francisco Partners Designee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440" w:firstLine="43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Francisco Partners Stockholders</w:t>
      </w:r>
      <w:r>
        <w:rPr>
          <w:rFonts w:ascii="Times New Roman" w:cs="Times New Roman" w:eastAsia="Times New Roman" w:hAnsi="Times New Roman"/>
          <w:sz w:val="18"/>
          <w:szCs w:val="18"/>
          <w:color w:val="auto"/>
        </w:rPr>
        <w:t>” means Francisco Partners IV, L.P. and Francisco Partners IV-A, L.P. and any of their respective Permitted Transferees who hold Shares as of the applicable time.</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Idea Men Designee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2.1(a)(iv)</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Idea Men Stockholders</w:t>
      </w:r>
      <w:r>
        <w:rPr>
          <w:rFonts w:ascii="Times New Roman" w:cs="Times New Roman" w:eastAsia="Times New Roman" w:hAnsi="Times New Roman"/>
          <w:sz w:val="18"/>
          <w:szCs w:val="18"/>
          <w:color w:val="auto"/>
        </w:rPr>
        <w:t>” means Idea Men, LLC and any of its Permitted Transferees who hold Shares as of the applicable time.</w:t>
      </w:r>
    </w:p>
    <w:p>
      <w:pPr>
        <w:spacing w:after="0" w:line="220" w:lineRule="exact"/>
        <w:rPr>
          <w:sz w:val="20"/>
          <w:szCs w:val="20"/>
          <w:color w:val="auto"/>
        </w:rPr>
      </w:pPr>
    </w:p>
    <w:p>
      <w:pPr>
        <w:ind w:right="120" w:firstLine="43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Director</w:t>
      </w:r>
      <w:r>
        <w:rPr>
          <w:rFonts w:ascii="Times New Roman" w:cs="Times New Roman" w:eastAsia="Times New Roman" w:hAnsi="Times New Roman"/>
          <w:sz w:val="18"/>
          <w:szCs w:val="18"/>
          <w:color w:val="auto"/>
        </w:rPr>
        <w:t>” means a Director who qualifies, as of the date of such Director’s election or appointment to the Board (or any committee thereof) and as of any other date on which the determination is being made, as an “independent director” under the applicable rules of the</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500" w:top="268" w:right="539" w:bottom="1440" w:gutter="0" w:footer="0" w:header="0"/>
        </w:sectPr>
      </w:pPr>
    </w:p>
    <w:bookmarkStart w:id="382" w:name="page383"/>
    <w:bookmarkEnd w:id="382"/>
    <w:p>
      <w:pPr>
        <w:ind w:right="1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Stock Exchange, as determined by the Board and as an “Independent Director” under Rule 10A-3 under the Exchange Act and any corresponding requirement of Stock Exchange rules for audit committee members, as well as any other independence requirements of the U.S. securities laws that is then applicable to the Issuer, as determined by the Board.</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Public Offering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the first underwritten Public Offering of the Class A Common Stock of the Issuer.</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40" w:firstLine="43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means the amended and restated investor rights agreement, dated as of October 12, 2018, by and among the Issuer, SLP Geology Aggregator, L.P., Francisco Partners IV, L.P., Francisco Partners IV-A, L.P., Spectrum Equity VII, L.P., Spectrum VII Investment Managers’ Fund, L.P., Spectrum VII Co-Investment Fund, L.P. and Idea Men, LLC (as amended, restated, supplemented or otherwise modified from time to time).</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has the meaning set forth in the Recitals.</w:t>
      </w:r>
    </w:p>
    <w:p>
      <w:pPr>
        <w:spacing w:after="0" w:line="220" w:lineRule="exact"/>
        <w:rPr>
          <w:sz w:val="20"/>
          <w:szCs w:val="20"/>
          <w:color w:val="auto"/>
        </w:rPr>
      </w:pPr>
    </w:p>
    <w:p>
      <w:pPr>
        <w:ind w:firstLine="43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Competitor</w:t>
      </w:r>
      <w:r>
        <w:rPr>
          <w:rFonts w:ascii="Times New Roman" w:cs="Times New Roman" w:eastAsia="Times New Roman" w:hAnsi="Times New Roman"/>
          <w:sz w:val="18"/>
          <w:szCs w:val="18"/>
          <w:color w:val="auto"/>
        </w:rPr>
        <w:t>” means any Person that directly competes with the business of the Issuer and its direct and indirect Subsidiaries as of the time of determination.</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right="20" w:firstLine="43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with respect to any Person, means (a) all provisions of all laws, statutes, ordinances, rules, regulations, permits, certificates or orders of any governmental authority applicable to such Person or any of its assets or property or to which such Person or any of its assets or property is subject and (b) all judgments, injunctions, orders and decrees of all courts and arbitrators in proceedings or actions in which such Person is a party or by which it or any of its assets or properties is or may be bound or subject.</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has the meaning set forth in the definition of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right="520" w:firstLine="43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with respect to any Stockholder, any Person that such Stockholder is permitted to transfer shares of Class B Common Stock to in accordance with the provisions of the Amended and Restated Certificate of Incorporation of the Issuer without such shares automatically converting to Class A Common Stock upon the occurrence of such transfer.</w:t>
      </w:r>
    </w:p>
    <w:p>
      <w:pPr>
        <w:spacing w:after="0" w:line="177" w:lineRule="exact"/>
        <w:rPr>
          <w:sz w:val="20"/>
          <w:szCs w:val="20"/>
          <w:color w:val="auto"/>
        </w:rPr>
      </w:pPr>
    </w:p>
    <w:p>
      <w:pPr>
        <w:ind w:right="400" w:firstLine="436"/>
        <w:spacing w:after="0" w:line="30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partnership, corporation, business trust, joint stock company, trust, unincorporated association, joint venture, limited liability company or any other entity of whatever nature, and shall include any successor (by merger or otherwise) of such entity.</w:t>
      </w:r>
    </w:p>
    <w:p>
      <w:pPr>
        <w:spacing w:after="0" w:line="139" w:lineRule="exact"/>
        <w:rPr>
          <w:sz w:val="20"/>
          <w:szCs w:val="20"/>
          <w:color w:val="auto"/>
        </w:rPr>
      </w:pPr>
    </w:p>
    <w:p>
      <w:pPr>
        <w:ind w:right="20" w:firstLine="43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mean the issue and sale of Class A Common Stock to SLP Geology Aggregator, L.P. pursuant to that certain Stock Purchase Agreement, dated as of September [ ● ], 2020, by and among GoodRx Holdings, Inc. and SLP Geology Aggregator, L.P.</w:t>
      </w:r>
    </w:p>
    <w:p>
      <w:pPr>
        <w:spacing w:after="0" w:line="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80"/>
          </w:cols>
          <w:pgMar w:left="500" w:top="268" w:right="619" w:bottom="1440" w:gutter="0" w:footer="0" w:header="0"/>
        </w:sectPr>
      </w:pPr>
    </w:p>
    <w:bookmarkStart w:id="383" w:name="page384"/>
    <w:bookmarkEnd w:id="383"/>
    <w:p>
      <w:pPr>
        <w:ind w:right="300" w:firstLine="436"/>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Public Offering</w:t>
      </w:r>
      <w:r>
        <w:rPr>
          <w:rFonts w:ascii="Times New Roman" w:cs="Times New Roman" w:eastAsia="Times New Roman" w:hAnsi="Times New Roman"/>
          <w:sz w:val="18"/>
          <w:szCs w:val="18"/>
          <w:color w:val="auto"/>
        </w:rPr>
        <w:t>” means any offering and sale of equity securities of the Issuer or any successor to the Issuer for cash pursuant to an effective registration statement (other than on Form S-4, S-8 or a comparable form) under the Securities Act.</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under the Securities Act (or any successor rule or regulation).</w:t>
      </w:r>
    </w:p>
    <w:p>
      <w:pPr>
        <w:spacing w:after="0" w:line="220" w:lineRule="exact"/>
        <w:rPr>
          <w:sz w:val="20"/>
          <w:szCs w:val="20"/>
          <w:color w:val="auto"/>
        </w:rPr>
      </w:pPr>
    </w:p>
    <w:p>
      <w:pPr>
        <w:ind w:right="120"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 Pro Rata Portion</w:t>
      </w:r>
      <w:r>
        <w:rPr>
          <w:rFonts w:ascii="Times New Roman" w:cs="Times New Roman" w:eastAsia="Times New Roman" w:hAnsi="Times New Roman"/>
          <w:sz w:val="18"/>
          <w:szCs w:val="18"/>
          <w:color w:val="auto"/>
        </w:rPr>
        <w:t>” means, as of any time of determination, with respect to any Stockholder, the maximum aggregate number of shares of Class B Common Stock held by the Stockholders that are then permitted to be sold by the Stockholders as a group in accordance with Rule 144(e) (assuming for this purpose that each Stockholder is an affiliate and acting in concert for purposes of Rule 144), multiplied by such Stockholder’s percentage ownership of the total number of issued and outstanding shares of Class B Common Stock held by all Stockholders immediately prior to such time of determination. For the avoidance of doubt, the Rule 144 Pro Rata Portion shall not include any Shares purchased by a Stockholder in the Private Placement, IPO or on the open market following the IPO.</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 Transfer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0" w:lineRule="exact"/>
        <w:rPr>
          <w:sz w:val="20"/>
          <w:szCs w:val="20"/>
          <w:color w:val="auto"/>
        </w:rPr>
      </w:pPr>
    </w:p>
    <w:p>
      <w:pPr>
        <w:ind w:right="540" w:firstLine="43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 as the same may be amended from time to time.</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shares of Common Stock.</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Silver Lake Designee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Silver Lake Stockholders</w:t>
      </w:r>
      <w:r>
        <w:rPr>
          <w:rFonts w:ascii="Times New Roman" w:cs="Times New Roman" w:eastAsia="Times New Roman" w:hAnsi="Times New Roman"/>
          <w:sz w:val="17"/>
          <w:szCs w:val="17"/>
          <w:color w:val="auto"/>
        </w:rPr>
        <w:t>” means SLP Geology Aggregator, L.P. and any of its Permitted Transferees who hold Shares as of the applicable time.</w:t>
      </w:r>
    </w:p>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Spectrum Designee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2.1(a)(iii)</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260" w:firstLine="43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Spectrum Stockholders</w:t>
      </w:r>
      <w:r>
        <w:rPr>
          <w:rFonts w:ascii="Times New Roman" w:cs="Times New Roman" w:eastAsia="Times New Roman" w:hAnsi="Times New Roman"/>
          <w:sz w:val="18"/>
          <w:szCs w:val="18"/>
          <w:color w:val="auto"/>
        </w:rPr>
        <w:t>” means Spectrum Equity VII, L.P., Spectrum VII Investment Managers’ Fund, L.P. and Spectrum VII Co-Investment Fund, L.P., and any of their Permitted Transferees who hold Shares as of the applicable time.</w:t>
      </w:r>
    </w:p>
    <w:p>
      <w:pPr>
        <w:spacing w:after="0" w:line="163" w:lineRule="exact"/>
        <w:rPr>
          <w:sz w:val="20"/>
          <w:szCs w:val="20"/>
          <w:color w:val="auto"/>
        </w:rPr>
      </w:pPr>
    </w:p>
    <w:p>
      <w:pPr>
        <w:ind w:right="60" w:firstLine="43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means The NASDAQ Global Select Market or such other securities exchange or interdealer quotation system on which shares of Class A Common Stock are then listed or quoted.</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has the meaning set forth in the Preamble.</w:t>
      </w:r>
    </w:p>
    <w:p>
      <w:pPr>
        <w:spacing w:after="0" w:line="220"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Group</w:t>
      </w:r>
      <w:r>
        <w:rPr>
          <w:rFonts w:ascii="Times New Roman" w:cs="Times New Roman" w:eastAsia="Times New Roman" w:hAnsi="Times New Roman"/>
          <w:sz w:val="18"/>
          <w:szCs w:val="18"/>
          <w:color w:val="auto"/>
        </w:rPr>
        <w:t xml:space="preserve">” means the “group” (as such term is used in Section 13(d) of the Exchange Act) consisting of SLP Geology Aggregator, L.P., Francisco Partners IV, L.P., Francisco Partners IV-A, L.P., Spectrum Equity VII, L.P., Spectrum VII Investment Managers’ Fund, L.P., Spectrum VII Co-Investment Fund, L.P. and Idea Men, LLC, in each case together with their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none of Trevor Bezdek, Douglas Hirsch, The Bezdek Family Irrevocable Trust and The Hirsch Family Irrevocable Trust shall be deemed to be Affiliates of Idea Men, LLC or otherwise included in the Stockholder Group.</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20"/>
          </w:cols>
          <w:pgMar w:left="500" w:top="268" w:right="579" w:bottom="1440" w:gutter="0" w:footer="0" w:header="0"/>
        </w:sectPr>
      </w:pPr>
    </w:p>
    <w:bookmarkStart w:id="384" w:name="page385"/>
    <w:bookmarkEnd w:id="384"/>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party, any corporation, partnership, trust, limited liability company or other form of legal entity in which such party (or another Subsidiary of such party) holds stock or other ownership interests representing (a) more that 50% of the voting power of all outstanding stock or ownership interests of such entity, (b) the right to receive more than 50% of the net assets of such entity available for distribution to the holders of outstanding stock or ownership interests upon a liquidation or dissolution of such entity or (c) a general or managing partnership interest in such entity.</w:t>
      </w:r>
    </w:p>
    <w:p>
      <w:pPr>
        <w:spacing w:after="0" w:line="183" w:lineRule="exact"/>
        <w:rPr>
          <w:sz w:val="20"/>
          <w:szCs w:val="20"/>
          <w:color w:val="auto"/>
        </w:rPr>
      </w:pPr>
    </w:p>
    <w:p>
      <w:pPr>
        <w:ind w:right="100"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means, with respect to any Shares, a direct or indirect transfer (including through one or more transfers), sale, exchange, assignment, pledge, hypothecation or other encumbrance or other disposition of such Shares, including the grant of an option or other right, whether directly or indirectly, whether voluntarily, involuntarily or by operation of Law;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for the avoidance of doubt, a transfer of an interest in an investment fund which is, or indirectly has an interest in, a Francisco Partners Stockholder, a Silver Lake Stockholder or a Spectrum Stockholder and which is not intended to circumvent the provisions of this Agreement shall not constitute a “Transfer.”</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Transferring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shall each have a correlative meaning to the term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Restriction Period</w:t>
      </w:r>
      <w:r>
        <w:rPr>
          <w:rFonts w:ascii="Times New Roman" w:cs="Times New Roman" w:eastAsia="Times New Roman" w:hAnsi="Times New Roman"/>
          <w:sz w:val="18"/>
          <w:szCs w:val="18"/>
          <w:color w:val="auto"/>
        </w:rPr>
        <w:t>” means the period commencing on the Closing Date and terminating on the third anniversary of the Closing Date.</w:t>
      </w:r>
    </w:p>
    <w:p>
      <w:pPr>
        <w:spacing w:after="0" w:line="220" w:lineRule="exact"/>
        <w:rPr>
          <w:sz w:val="20"/>
          <w:szCs w:val="20"/>
          <w:color w:val="auto"/>
        </w:rPr>
      </w:pPr>
    </w:p>
    <w:p>
      <w:pPr>
        <w:ind w:right="80" w:firstLine="43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means, at any time, outstanding shares of any class of Equity Securities of the Issuer, which are then entitled to vote generally in the election of directors.</w:t>
      </w:r>
    </w:p>
    <w:p>
      <w:pPr>
        <w:spacing w:after="0" w:line="163"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General Interpretive Principles</w:t>
      </w:r>
      <w:r>
        <w:rPr>
          <w:rFonts w:ascii="Times New Roman" w:cs="Times New Roman" w:eastAsia="Times New Roman" w:hAnsi="Times New Roman"/>
          <w:sz w:val="18"/>
          <w:szCs w:val="18"/>
          <w:color w:val="auto"/>
        </w:rPr>
        <w:t>. The name assigned to this Agreement and the section captions used herein are for convenience of reference only and shall not be construed to affect the meaning, construction or effect hereof. Whenever required by the context, any pronoun used in this Agreement shall include the corresponding masculine, feminine or neuter forms, and the singular form of nouns, pronouns and verbs shall include the plural and vice versa. Reference to any agreement, document or instrument means such agreement, document or instrument as amended or otherwise modified from time to time in accordance with the terms thereof, and if applicable hereof. Unless otherwise specified, the terms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and similar terms refer to this Agreement as a whole, and references herein to Articles or Sections refer to Articles or Sections of this Agreement. For purposes of this Agreement, the words,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when used herein, shall be deemed in each case to be followed by the words “</w:t>
      </w:r>
      <w:r>
        <w:rPr>
          <w:rFonts w:ascii="Times New Roman" w:cs="Times New Roman" w:eastAsia="Times New Roman" w:hAnsi="Times New Roman"/>
          <w:sz w:val="18"/>
          <w:szCs w:val="18"/>
          <w:u w:val="single" w:color="auto"/>
          <w:color w:val="auto"/>
        </w:rPr>
        <w:t>without limitation</w:t>
      </w:r>
      <w:r>
        <w:rPr>
          <w:rFonts w:ascii="Times New Roman" w:cs="Times New Roman" w:eastAsia="Times New Roman" w:hAnsi="Times New Roman"/>
          <w:sz w:val="18"/>
          <w:szCs w:val="18"/>
          <w:color w:val="auto"/>
        </w:rPr>
        <w:t>.” The terms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shall mean United States dollars.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500" w:top="268" w:right="499" w:bottom="1440" w:gutter="0" w:footer="0" w:header="0"/>
        </w:sectPr>
      </w:pPr>
    </w:p>
    <w:bookmarkStart w:id="385" w:name="page386"/>
    <w:bookmarkEnd w:id="38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02" w:lineRule="exact"/>
        <w:rPr>
          <w:sz w:val="20"/>
          <w:szCs w:val="20"/>
          <w:color w:val="auto"/>
        </w:rPr>
      </w:pPr>
    </w:p>
    <w:p>
      <w:pPr>
        <w:ind w:left="40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left="-20" w:right="180" w:firstLine="430"/>
        <w:spacing w:after="0" w:line="253" w:lineRule="auto"/>
        <w:tabs>
          <w:tab w:leader="none" w:pos="83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Composition; Company Recommendation</w:t>
      </w:r>
      <w:r>
        <w:rPr>
          <w:rFonts w:ascii="Times New Roman" w:cs="Times New Roman" w:eastAsia="Times New Roman" w:hAnsi="Times New Roman"/>
          <w:sz w:val="18"/>
          <w:szCs w:val="18"/>
          <w:color w:val="auto"/>
        </w:rPr>
        <w:t xml:space="preserve">. Following the Closing Date, each Stockholder shall have the right, but not the obligation, to designate for election to the Board, and the Issuer shall include such designees as nominees for election to the Board at all of the Issuer’s applicable annual or special meetings of stockholders (or consents in lieu of a meeting) at which Directors are to be elected (adjusted as appropriate to take into account the Issuer’s classified Board structure), subject to satisfaction of all qualification and legal requirements regarding service as a Director in accordance with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 the number of designees that, if elected, will result in such Stockholder having the number of Directors serving on the Board as follows:</w:t>
      </w:r>
    </w:p>
    <w:p>
      <w:pPr>
        <w:spacing w:after="0" w:line="80" w:lineRule="exact"/>
        <w:rPr>
          <w:rFonts w:ascii="Times New Roman" w:cs="Times New Roman" w:eastAsia="Times New Roman" w:hAnsi="Times New Roman"/>
          <w:sz w:val="18"/>
          <w:szCs w:val="18"/>
          <w:color w:val="auto"/>
        </w:rPr>
      </w:pPr>
    </w:p>
    <w:p>
      <w:pPr>
        <w:ind w:left="400" w:right="80" w:firstLine="428"/>
        <w:spacing w:after="0" w:line="268" w:lineRule="auto"/>
        <w:tabs>
          <w:tab w:leader="none" w:pos="1165" w:val="left"/>
        </w:tabs>
        <w:numPr>
          <w:ilvl w:val="1"/>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the Silver Lake Stockholders continue to collectively Beneficially Own (A) at least 20% of the Shares outstanding immediately following the Closing Date, the Issuer shall include in its slate of nominees three (3) Directors designated by the Silver Lake Stockholders, (B) less than 20% but at least 10% of the Shares outstanding immediately following the Closing Date, two (2) Directors designated by the Silver Lake Stockholders, and (C) less than 10% but at least 5% of the Shares outstanding immediately following the Closing Date, one</w:t>
      </w:r>
    </w:p>
    <w:p>
      <w:pPr>
        <w:ind w:left="400" w:right="38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Director designated by the Silver Lake Stockholders (any such designee, a “</w:t>
      </w:r>
      <w:r>
        <w:rPr>
          <w:rFonts w:ascii="Times New Roman" w:cs="Times New Roman" w:eastAsia="Times New Roman" w:hAnsi="Times New Roman"/>
          <w:sz w:val="17"/>
          <w:szCs w:val="17"/>
          <w:u w:val="single" w:color="auto"/>
          <w:color w:val="auto"/>
        </w:rPr>
        <w:t>Silver Lake Designee</w:t>
      </w:r>
      <w:r>
        <w:rPr>
          <w:rFonts w:ascii="Times New Roman" w:cs="Times New Roman" w:eastAsia="Times New Roman" w:hAnsi="Times New Roman"/>
          <w:sz w:val="17"/>
          <w:szCs w:val="17"/>
          <w:color w:val="auto"/>
        </w:rPr>
        <w:t xml:space="preserve">”). For so long as the Silver Lake Stockholders are entitled to designate three (3) Directors, one (1) Silver Lake Designee shall be an Independent Director,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Silver Lake Stockholders are entitled to designate less than three (3) Directors, no Silver Lake Designee need be an Independent Director.</w:t>
      </w:r>
    </w:p>
    <w:p>
      <w:pPr>
        <w:spacing w:after="0" w:line="62" w:lineRule="exact"/>
        <w:rPr>
          <w:rFonts w:ascii="Times New Roman" w:cs="Times New Roman" w:eastAsia="Times New Roman" w:hAnsi="Times New Roman"/>
          <w:sz w:val="17"/>
          <w:szCs w:val="17"/>
          <w:color w:val="auto"/>
        </w:rPr>
      </w:pPr>
    </w:p>
    <w:p>
      <w:pPr>
        <w:jc w:val="both"/>
        <w:ind w:left="400" w:right="200" w:firstLine="428"/>
        <w:spacing w:after="0" w:line="257" w:lineRule="auto"/>
        <w:tabs>
          <w:tab w:leader="none" w:pos="121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Francisco Partners Stockholders continue to collectively Beneficially Own (A) at least 10% of the Shares outstanding immediately following the Closing Date, the Issuer shall include in its slate of nominees two (2) Directors designated by the Francisco Partners Stockholders, and (B) less than 10% but at least 5% of the Shares outstanding immediately following the Closing Date, one (1) Director designated by the Francisco Partners Stockholders (any such designee, a “</w:t>
      </w:r>
      <w:r>
        <w:rPr>
          <w:rFonts w:ascii="Times New Roman" w:cs="Times New Roman" w:eastAsia="Times New Roman" w:hAnsi="Times New Roman"/>
          <w:sz w:val="18"/>
          <w:szCs w:val="18"/>
          <w:u w:val="single" w:color="auto"/>
          <w:color w:val="auto"/>
        </w:rPr>
        <w:t>Francisco Partner Designee</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00" w:right="60" w:firstLine="428"/>
        <w:spacing w:after="0" w:line="262" w:lineRule="auto"/>
        <w:tabs>
          <w:tab w:leader="none" w:pos="126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Spectrum Stockholders continue to collectively Beneficially Own at least 5% of the shares of Common Stock outstanding immediately following the Closing Date, the Issuer shall include in its slate of nominees one (1) Director designated by the Spectrum Stockholders (any such designee, a “</w:t>
      </w:r>
      <w:r>
        <w:rPr>
          <w:rFonts w:ascii="Times New Roman" w:cs="Times New Roman" w:eastAsia="Times New Roman" w:hAnsi="Times New Roman"/>
          <w:sz w:val="18"/>
          <w:szCs w:val="18"/>
          <w:u w:val="single" w:color="auto"/>
          <w:color w:val="auto"/>
        </w:rPr>
        <w:t>Spectrum Designee</w:t>
      </w:r>
      <w:r>
        <w:rPr>
          <w:rFonts w:ascii="Times New Roman" w:cs="Times New Roman" w:eastAsia="Times New Roman" w:hAnsi="Times New Roman"/>
          <w:sz w:val="18"/>
          <w:szCs w:val="18"/>
          <w:color w:val="auto"/>
        </w:rPr>
        <w:t>”).</w:t>
      </w:r>
    </w:p>
    <w:p>
      <w:pPr>
        <w:spacing w:after="0" w:line="70" w:lineRule="exact"/>
        <w:rPr>
          <w:rFonts w:ascii="Times New Roman" w:cs="Times New Roman" w:eastAsia="Times New Roman" w:hAnsi="Times New Roman"/>
          <w:sz w:val="18"/>
          <w:szCs w:val="18"/>
          <w:color w:val="auto"/>
        </w:rPr>
      </w:pPr>
    </w:p>
    <w:p>
      <w:pPr>
        <w:ind w:left="400" w:firstLine="428"/>
        <w:spacing w:after="0" w:line="255" w:lineRule="auto"/>
        <w:tabs>
          <w:tab w:leader="none" w:pos="125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2.1(f), so long as the Idea Men Stockholders continue to collectively Beneficially Own at least 5% of the Shares outstanding immediately following the Closing Date, the Issuer shall include in its slate of nominees two (2) Directors designated by the Idea Men Stockholders (any such designee, an “</w:t>
      </w:r>
      <w:r>
        <w:rPr>
          <w:rFonts w:ascii="Times New Roman" w:cs="Times New Roman" w:eastAsia="Times New Roman" w:hAnsi="Times New Roman"/>
          <w:sz w:val="18"/>
          <w:szCs w:val="18"/>
          <w:u w:val="single" w:color="auto"/>
          <w:color w:val="auto"/>
        </w:rPr>
        <w:t>Idea Men Designee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Idea Men Designees shall be Trevor Bezdek for so long as he serves in his capacity as Chief Executive Officer or Co-Chief Executive Officer of the Issuer and/or Douglas Hirsch for so long as he serves in his capacity as Chief Executive Officer or Co-Chief Executive Officer of the Issuer. For the avoidance of doubt, for so long as the Idea</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40"/>
          </w:cols>
          <w:pgMar w:left="520" w:top="264" w:right="539" w:bottom="1440" w:gutter="0" w:footer="0" w:header="0"/>
        </w:sectPr>
      </w:pPr>
    </w:p>
    <w:bookmarkStart w:id="386" w:name="page387"/>
    <w:bookmarkEnd w:id="386"/>
    <w:p>
      <w:pPr>
        <w:ind w:left="400"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Men Stockholders are entitled to designate two (2) Directors and Trevor Bezdek and Douglas Hirsch each serve as Co-Chief Executive Officer of the Issuer, only Trevor Bezdek and Douglas Hirsch shall serve as the Idea Men Designees. To the extent Trevor Bezdek and Douglas Hirsch serve as Co-Chief Executive Officers or either of them serves as Chief Executive Officer and the Idea Men Stockholders no longer have the right pursuant to this </w:t>
      </w:r>
      <w:r>
        <w:rPr>
          <w:rFonts w:ascii="Times New Roman" w:cs="Times New Roman" w:eastAsia="Times New Roman" w:hAnsi="Times New Roman"/>
          <w:sz w:val="18"/>
          <w:szCs w:val="18"/>
          <w:u w:val="single" w:color="auto"/>
          <w:color w:val="auto"/>
        </w:rPr>
        <w:t>Section 2.1(a)(iv)</w:t>
      </w:r>
      <w:r>
        <w:rPr>
          <w:rFonts w:ascii="Times New Roman" w:cs="Times New Roman" w:eastAsia="Times New Roman" w:hAnsi="Times New Roman"/>
          <w:sz w:val="18"/>
          <w:szCs w:val="18"/>
          <w:color w:val="auto"/>
        </w:rPr>
        <w:t xml:space="preserve"> to nominate Idea Men Designees, the Issuer shall continue to include in its slate of director nominees Trevor Bezdek and/or Douglas Hirsch, as applicable, and each of the Silver Lake Stockholders, Francisco Partners Stockholders and Spectrum Stockholders shall take all actions necessary and within their control to nominate and elect such individuals.</w:t>
      </w:r>
    </w:p>
    <w:p>
      <w:pPr>
        <w:spacing w:after="0" w:line="187" w:lineRule="exact"/>
        <w:rPr>
          <w:sz w:val="20"/>
          <w:szCs w:val="20"/>
          <w:color w:val="auto"/>
        </w:rPr>
      </w:pPr>
    </w:p>
    <w:p>
      <w:pPr>
        <w:ind w:left="780" w:hanging="370"/>
        <w:spacing w:after="0"/>
        <w:tabs>
          <w:tab w:leader="none" w:pos="7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Board shall be comprised of ten (10) Directors as follows:</w:t>
      </w:r>
    </w:p>
    <w:p>
      <w:pPr>
        <w:spacing w:after="0" w:line="113" w:lineRule="exact"/>
        <w:rPr>
          <w:rFonts w:ascii="Times New Roman" w:cs="Times New Roman" w:eastAsia="Times New Roman" w:hAnsi="Times New Roman"/>
          <w:sz w:val="18"/>
          <w:szCs w:val="18"/>
          <w:color w:val="auto"/>
        </w:rPr>
      </w:pPr>
    </w:p>
    <w:p>
      <w:pPr>
        <w:ind w:left="400" w:right="140" w:firstLine="428"/>
        <w:spacing w:after="0" w:line="255" w:lineRule="auto"/>
        <w:tabs>
          <w:tab w:leader="none" w:pos="1161"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initially designated for appointment to the Board (i) by the Silver Lake Stockholders shall be Gregory Mondre, designated as a Class III Director, Adam Karol, designated as a Class II Director, and Agnes Rey Giraud, designated as a Class I Director, (ii) by the Francisco Partners Stockholders shall be Dipanjan Deb, designated as a Class III Director and Christopher Adams, designated as a Class II Director, (iii) by the Spectrum Stockholders shall be Stephen LeSieur, designated as a Class III Director, and (iv) by the Idea Men Stockholders shall be Trevor Bezdek, designated as a Class II Director, and Douglas Hirsch, designated as a Class I Director.</w:t>
      </w:r>
    </w:p>
    <w:p>
      <w:pPr>
        <w:spacing w:after="0" w:line="75" w:lineRule="exact"/>
        <w:rPr>
          <w:rFonts w:ascii="Times New Roman" w:cs="Times New Roman" w:eastAsia="Times New Roman" w:hAnsi="Times New Roman"/>
          <w:sz w:val="18"/>
          <w:szCs w:val="18"/>
          <w:color w:val="auto"/>
        </w:rPr>
      </w:pPr>
    </w:p>
    <w:p>
      <w:pPr>
        <w:ind w:left="400" w:right="340" w:firstLine="428"/>
        <w:spacing w:after="0" w:line="262" w:lineRule="auto"/>
        <w:tabs>
          <w:tab w:leader="none" w:pos="1211"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initially designated for appointment to the Board are (i) Jacqueline Kosecoff, designated as a Class I Director and (ii) Julie Bradley, designed as a Class III Director. For the avoidance of doubt, the initial Independent Director designee of Silver Lake Stockholders is Agnes Rey Giraud.</w:t>
      </w:r>
    </w:p>
    <w:p>
      <w:pPr>
        <w:spacing w:after="0" w:line="177" w:lineRule="exact"/>
        <w:rPr>
          <w:rFonts w:ascii="Times New Roman" w:cs="Times New Roman" w:eastAsia="Times New Roman" w:hAnsi="Times New Roman"/>
          <w:sz w:val="18"/>
          <w:szCs w:val="18"/>
          <w:color w:val="auto"/>
        </w:rPr>
      </w:pPr>
    </w:p>
    <w:p>
      <w:pPr>
        <w:ind w:left="-20" w:firstLine="430"/>
        <w:spacing w:after="0" w:line="257" w:lineRule="auto"/>
        <w:tabs>
          <w:tab w:leader="none" w:pos="788"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and each of the Stockholders shall take all actions necessary and within their control so that two (2) Independent Directors who are not affiliated with any Stockholder and who are independent for Audit Committee purposes are nominated and elected to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the Silver Lake Stockholders are no longer required to nominate an Independent Director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the number of Independent Directors to be nominated and elected to the Board pursuant to this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shall increase to three (3) Independent Directors.</w:t>
      </w:r>
    </w:p>
    <w:p>
      <w:pPr>
        <w:spacing w:after="0" w:line="182" w:lineRule="exact"/>
        <w:rPr>
          <w:rFonts w:ascii="Times New Roman" w:cs="Times New Roman" w:eastAsia="Times New Roman" w:hAnsi="Times New Roman"/>
          <w:sz w:val="18"/>
          <w:szCs w:val="18"/>
          <w:color w:val="auto"/>
        </w:rPr>
      </w:pPr>
    </w:p>
    <w:p>
      <w:pPr>
        <w:ind w:left="-20" w:right="20" w:firstLine="430"/>
        <w:spacing w:after="0" w:line="255" w:lineRule="auto"/>
        <w:tabs>
          <w:tab w:leader="none" w:pos="801"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Issuer’s Nominating and Corporate Governance Committee determines in good faith that a Director Designee (i) is not qualified to serve on the Board consistent with such committee’s duly adopted policies and procedures applicable to all directors or (ii) does not satisfy applicable legal requirements regarding service as a Director, the applicable designating Stockholder shall have the right to designate a different Director Designee. Notwithstanding the foregoing, with respect to each Stockholder, at least one member, partner or senior employee of such Stockholder shall be eligible to serve in such Stockholder’s Director Designee position.</w:t>
      </w:r>
    </w:p>
    <w:p>
      <w:pPr>
        <w:spacing w:after="0" w:line="182" w:lineRule="exact"/>
        <w:rPr>
          <w:rFonts w:ascii="Times New Roman" w:cs="Times New Roman" w:eastAsia="Times New Roman" w:hAnsi="Times New Roman"/>
          <w:sz w:val="18"/>
          <w:szCs w:val="18"/>
          <w:color w:val="auto"/>
        </w:rPr>
      </w:pPr>
    </w:p>
    <w:p>
      <w:pPr>
        <w:ind w:left="-20" w:right="120" w:firstLine="430"/>
        <w:spacing w:after="0" w:line="277" w:lineRule="auto"/>
        <w:tabs>
          <w:tab w:leader="none" w:pos="791"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if the number of individuals that any Stockholder has the right to designate for election to the Board is decreased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then the corresponding number of Director Designees of such Stockholder shall</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520" w:top="268" w:right="519" w:bottom="1440" w:gutter="0" w:footer="0" w:header="0"/>
        </w:sectPr>
      </w:pPr>
    </w:p>
    <w:bookmarkStart w:id="387" w:name="page388"/>
    <w:bookmarkEnd w:id="387"/>
    <w:p>
      <w:pPr>
        <w:ind w:right="1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immediately offer to tender his or her resignation for consideration by the Board and, if such resignation is requested by the Board, such Director Designee or Director Designees shall resign within thirty (30) days from the date that the Stockholder’s right to designate for election to the Board was decreased, subject to the proviso in the following sentence. In the event that the Board requests such resignation, the Issuer and the Stockholders shall immediately take any and all actions necessary or appropriate to cooperate in ensuring the removal of such individual upon receipt of his or her resignation;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resignation of the last remaining Director Designee designated by any Stockholder may, at his or her option, resign from the Board effective at the end of his or her then current term, and (ii) notwithstanding anything to the contrary herein, a Director Designee may resign at any time regardless of the period of time left in his or her then current term.</w:t>
      </w:r>
    </w:p>
    <w:p>
      <w:pPr>
        <w:spacing w:after="0" w:line="189" w:lineRule="exact"/>
        <w:rPr>
          <w:sz w:val="20"/>
          <w:szCs w:val="20"/>
          <w:color w:val="auto"/>
        </w:rPr>
      </w:pPr>
    </w:p>
    <w:p>
      <w:pPr>
        <w:ind w:right="60" w:firstLine="430"/>
        <w:spacing w:after="0" w:line="252" w:lineRule="auto"/>
        <w:tabs>
          <w:tab w:leader="none" w:pos="792"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resolution adopted by the Board which determines the number of Directors constituting the whole Board, for so long as the Idea Men Stockholders continue to collectively Beneficially Own at least 5% of the Shares outstanding, in the event that the number of individuals that the Silver Lake Stockholders, Francisco Partners Stockholders or Spectrum Stockholders have the right to designate for election to the Board is decreased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for such Stockholder, as applicable, number of Idea Men Designees shall automatically be increased by the corresponding number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so long as any of the Silver Lake Stockholders and/or the Francisco Partners Stockholders are entitled to designate at least one (1) Director at the time that the number of Silver Lake Designees, Francisco Partners Designees or Spectrum Designees is decreased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the consent of each such Silver Lake Stockholder and Francisco Partners Stockholder shall be required for any Idea Men Designee so designated to fill the vacancy caused by such decrease.</w:t>
      </w:r>
    </w:p>
    <w:p>
      <w:pPr>
        <w:spacing w:after="0" w:line="184" w:lineRule="exact"/>
        <w:rPr>
          <w:rFonts w:ascii="Times New Roman" w:cs="Times New Roman" w:eastAsia="Times New Roman" w:hAnsi="Times New Roman"/>
          <w:sz w:val="18"/>
          <w:szCs w:val="18"/>
          <w:color w:val="auto"/>
        </w:rPr>
      </w:pPr>
    </w:p>
    <w:p>
      <w:pPr>
        <w:ind w:right="20" w:firstLine="430"/>
        <w:spacing w:after="0" w:line="255" w:lineRule="auto"/>
        <w:tabs>
          <w:tab w:leader="none" w:pos="821"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above and subject to the applicable provisions of the Amended and Restated Certificate of Incorporation of the Issuer, each Stockholder shall have the sole and exclusive right to (i) direct the other Stockholders to vote all their Shares immediately for the removal of such Stockholder’s designees to the Board and (ii) designate a Silver Lake Designee, Francisco Partners Designee, Spectrum Designee or Idea Men Designee, as applicable (serving in the same class as the predecessor), to fill vacancies on the Board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that are created by reason of death, removal or resignation of such Stockholder’s designees, subject to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firstLine="430"/>
        <w:spacing w:after="0" w:line="268" w:lineRule="auto"/>
        <w:tabs>
          <w:tab w:leader="none" w:pos="818"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Issuer and each of the Stockholders shall take all actions necessary and within their control to give effect to the provisions contained in this Article II, including (i) in the case of the Issuer, soliciting proxies to vote for each Director Designee or Independent Directors designated by the Stockholders and otherwise using its best efforts to cause each Director Designee and any Independent Directors designated by the Stockholders to be included as the only directors in the slate of nominees recommended by the Issuer and elected as a Director of the Issuer, and (ii) in the case of the Stockholders, voting the Shares held directly or indirectly by such Stockholders (whether at a meeting or by consent) and any of their respective Affiliates, to cause the nomination, election, removal or replacement of the Director Designees or Independent Directors designated by the Stockholders, in each case as provided for herein and otherwise using their best efforts to cause the Issuer to comply with its obligations hereunder. No Person shall take any action that would be inconsistent with or otherwise circumvent the provisions of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each of the Stockholders may, in its sole discretion, elect not to designate any individual for election to the Board as such Stockholder’s respective Director Designee.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500" w:top="268" w:right="499" w:bottom="1440" w:gutter="0" w:footer="0" w:header="0"/>
        </w:sectPr>
      </w:pPr>
    </w:p>
    <w:bookmarkStart w:id="388" w:name="page389"/>
    <w:bookmarkEnd w:id="388"/>
    <w:p>
      <w:pPr>
        <w:ind w:right="60" w:firstLine="430"/>
        <w:spacing w:after="0" w:line="253" w:lineRule="auto"/>
        <w:tabs>
          <w:tab w:leader="none" w:pos="77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Issuer and its Subsidiaries shall reimburse the Directors for all reasonable out-of-pocket expenses incurred in connection with their attendance at meetings of the Board or the board of directors of any of the Issuer’s Subsidiaries, and any committees thereof, including without limitation travel, lodging and meal expenses, in accordance with the Issuer’s reimbursement policies. Except as otherwise determined by the Board, the Silver Lake Designees (other than any Independent Director), Francisco Partners Designees, Spectrum Designees and Idea Men Designees shall not be compensated for their services as members of the Board. If the Issuer adopts a policy that Directors own a minimum amount of equity in the Issuer, Director Designees shall not be subject to such policy.</w:t>
      </w:r>
    </w:p>
    <w:p>
      <w:pPr>
        <w:spacing w:after="0" w:line="186" w:lineRule="exact"/>
        <w:rPr>
          <w:rFonts w:ascii="Times New Roman" w:cs="Times New Roman" w:eastAsia="Times New Roman" w:hAnsi="Times New Roman"/>
          <w:sz w:val="18"/>
          <w:szCs w:val="18"/>
          <w:color w:val="auto"/>
        </w:rPr>
      </w:pPr>
    </w:p>
    <w:p>
      <w:pPr>
        <w:jc w:val="both"/>
        <w:ind w:right="360" w:firstLine="430"/>
        <w:spacing w:after="0" w:line="257" w:lineRule="auto"/>
        <w:tabs>
          <w:tab w:leader="none" w:pos="77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and its Subsidiaries shall obtain customary director and officer indemnity insurance on commercially reasonable terms which insurance shall cover each member of the Board and the members of each board of directors of each of the Issuer’s Subsidiaries. The Issuer and its Subsidiaries shall enter into director and officer indemnification agreements substantially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with each of the Stockholders’ designees on the Board.</w:t>
      </w:r>
    </w:p>
    <w:p>
      <w:pPr>
        <w:spacing w:after="0" w:line="289" w:lineRule="exact"/>
        <w:rPr>
          <w:sz w:val="20"/>
          <w:szCs w:val="20"/>
          <w:color w:val="auto"/>
        </w:rPr>
      </w:pPr>
    </w:p>
    <w:p>
      <w:pPr>
        <w:ind w:left="420"/>
        <w:spacing w:after="0"/>
        <w:tabs>
          <w:tab w:leader="none" w:pos="138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u w:val="single" w:color="auto"/>
          <w:color w:val="auto"/>
        </w:rPr>
        <w:t>Controlled Company</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220" w:firstLine="430"/>
        <w:spacing w:after="0" w:line="262" w:lineRule="auto"/>
        <w:tabs>
          <w:tab w:leader="none" w:pos="80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acknowledge and agree that, (i) by virtue of this Article II, they are acting as a “group” within the meaning of the Stock Exchange rules as of the date hereof, and (ii) by virtue of the Combined Voting Power of Common Stock held by the Stockholders, the Issuer shall qualify as a “controlled company” within the meaning of Stock Exchange rules as of the Closing Date.</w:t>
      </w:r>
    </w:p>
    <w:p>
      <w:pPr>
        <w:spacing w:after="0" w:line="177" w:lineRule="exact"/>
        <w:rPr>
          <w:rFonts w:ascii="Times New Roman" w:cs="Times New Roman" w:eastAsia="Times New Roman" w:hAnsi="Times New Roman"/>
          <w:sz w:val="18"/>
          <w:szCs w:val="18"/>
          <w:color w:val="auto"/>
        </w:rPr>
      </w:pPr>
    </w:p>
    <w:p>
      <w:pPr>
        <w:ind w:right="80" w:firstLine="430"/>
        <w:spacing w:after="0" w:line="255" w:lineRule="auto"/>
        <w:tabs>
          <w:tab w:leader="none" w:pos="821"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Issuer qualifies as a “controlled company” for purposes of Stock Exchange rules, the Issuer may elect to be a “controlled company” for purposes of Stock Exchange rules, and will disclose in its annual meeting proxy statement that it is a “controlled company” and the basis for that determination. If the Issuer ceases to qualify as a “controlled company” for purposes of Stock Exchange rules, the Stockholders and the Issuer will take whatever action may be reasonably necessary in relation to such party, if any, to cause the Issuer to comply with Stock Exchange rules as then in effect within the timeframe for compliance available under such rules.</w:t>
      </w: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POST-IPO TRANSFERS</w:t>
      </w:r>
    </w:p>
    <w:p>
      <w:pPr>
        <w:spacing w:after="0" w:line="202" w:lineRule="exact"/>
        <w:rPr>
          <w:sz w:val="20"/>
          <w:szCs w:val="20"/>
          <w:color w:val="auto"/>
        </w:rPr>
      </w:pPr>
    </w:p>
    <w:p>
      <w:pPr>
        <w:ind w:firstLine="436"/>
        <w:spacing w:after="0" w:line="273" w:lineRule="auto"/>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xml:space="preserve">. Notwithstanding any terms applicable to, or obligations of, the Stockholders under the Investor Rights Agreement, each Stockholder agrees that until the expiration of the Transfer Restriction Period (or, if earlier, termination of this Article III in accordance with </w:t>
      </w:r>
      <w:r>
        <w:rPr>
          <w:rFonts w:ascii="Times New Roman" w:cs="Times New Roman" w:eastAsia="Times New Roman" w:hAnsi="Times New Roman"/>
          <w:sz w:val="17"/>
          <w:szCs w:val="17"/>
          <w:u w:val="single" w:color="auto"/>
          <w:color w:val="auto"/>
        </w:rPr>
        <w:t>Section 3.9</w:t>
      </w:r>
      <w:r>
        <w:rPr>
          <w:rFonts w:ascii="Times New Roman" w:cs="Times New Roman" w:eastAsia="Times New Roman" w:hAnsi="Times New Roman"/>
          <w:sz w:val="17"/>
          <w:szCs w:val="17"/>
          <w:color w:val="auto"/>
        </w:rPr>
        <w:t xml:space="preserve"> hereof) and subject to the exceptions in </w:t>
      </w:r>
      <w:r>
        <w:rPr>
          <w:rFonts w:ascii="Times New Roman" w:cs="Times New Roman" w:eastAsia="Times New Roman" w:hAnsi="Times New Roman"/>
          <w:sz w:val="17"/>
          <w:szCs w:val="17"/>
          <w:u w:val="single" w:color="auto"/>
          <w:color w:val="auto"/>
        </w:rPr>
        <w:t>Section 3.7</w:t>
      </w:r>
      <w:r>
        <w:rPr>
          <w:rFonts w:ascii="Times New Roman" w:cs="Times New Roman" w:eastAsia="Times New Roman" w:hAnsi="Times New Roman"/>
          <w:sz w:val="17"/>
          <w:szCs w:val="17"/>
          <w:color w:val="auto"/>
        </w:rPr>
        <w:t xml:space="preserve"> hereof, it will, prior to (i) exercising any registration rights granted to such Stockholder pursuant to the Investor Rights Agreement or (ii) otherwise making any Transfer of such Stockholder’s Shares (which, for the avoidance of doubt, shall include but not be limited to any underwritten public offering of Shares registered under the Securities Act, any Transfer pursuant to an exemption from registration</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40"/>
          </w:cols>
          <w:pgMar w:left="500" w:top="268" w:right="559" w:bottom="1440" w:gutter="0" w:footer="0" w:header="0"/>
        </w:sectPr>
      </w:pPr>
    </w:p>
    <w:bookmarkStart w:id="389" w:name="page390"/>
    <w:bookmarkEnd w:id="389"/>
    <w:p>
      <w:pPr>
        <w:ind w:left="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under the Securities Act, including pursuant to Rule 144, and any distribution), deliver a written notice (a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to each other Stockholder setting forth the expected material terms, conditions and details of the Transfer (including the method of Transfer, the number of Shares, the proposed trade date and, in the case of a Rule 144 sale, the volume limit applicable for the initial measurement period as of the notice date), as applicable.</w:t>
      </w:r>
    </w:p>
    <w:p>
      <w:pPr>
        <w:spacing w:after="0" w:line="177" w:lineRule="exact"/>
        <w:rPr>
          <w:sz w:val="20"/>
          <w:szCs w:val="20"/>
          <w:color w:val="auto"/>
        </w:rPr>
      </w:pPr>
    </w:p>
    <w:p>
      <w:pPr>
        <w:ind w:left="6" w:right="20" w:firstLine="436"/>
        <w:spacing w:after="0" w:line="25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Following the delivery of a Notice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regarding the exercise of registration rights under the Investor Rights Agreement (which, for the avoidance of doubt, include demand registration, company registration and shelf takedown request rights) the rights of the Stockholders to participate in any registered offering shall be governed by the terms of such Investor Rights Agreement; provided, that, notwithstanding anything to the contrary in the Investor Rights Agreement, each Stockholder’s pro rata participation as calculated pursuant to the terms of the Investor Rights Agreement shall not include any Shares purchased by such Stockholder in the Private Placement, IPO or on the open market following the IPO. Any Notice delivered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regarding the exercise of registration rights under the Investor Rights Agreement shall be made prior to or concurrent with a notice to the Issuer under the Investor Rights Agreement.</w:t>
      </w:r>
    </w:p>
    <w:p>
      <w:pPr>
        <w:spacing w:after="0" w:line="189" w:lineRule="exact"/>
        <w:rPr>
          <w:sz w:val="20"/>
          <w:szCs w:val="20"/>
          <w:color w:val="auto"/>
        </w:rPr>
      </w:pPr>
    </w:p>
    <w:p>
      <w:pPr>
        <w:ind w:left="6" w:right="100" w:firstLine="436"/>
        <w:spacing w:after="0" w:line="268" w:lineRule="auto"/>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u w:val="single" w:color="auto"/>
          <w:color w:val="auto"/>
        </w:rPr>
        <w:t>Private Placements</w:t>
      </w:r>
      <w:r>
        <w:rPr>
          <w:rFonts w:ascii="Times New Roman" w:cs="Times New Roman" w:eastAsia="Times New Roman" w:hAnsi="Times New Roman"/>
          <w:sz w:val="17"/>
          <w:szCs w:val="17"/>
          <w:color w:val="auto"/>
        </w:rPr>
        <w:t xml:space="preserve">. Following the delivery of a Notice pursuant to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regarding a Transfer of Shares other than a sale or distribution pursuant to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above or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xml:space="preserve"> below, no Stockholder shall consummate such Transfer until seven (7) Business Days after the Notice has been delivered to the other Stockholders (the “</w:t>
      </w:r>
      <w:r>
        <w:rPr>
          <w:rFonts w:ascii="Times New Roman" w:cs="Times New Roman" w:eastAsia="Times New Roman" w:hAnsi="Times New Roman"/>
          <w:sz w:val="17"/>
          <w:szCs w:val="17"/>
          <w:u w:val="single" w:color="auto"/>
          <w:color w:val="auto"/>
        </w:rPr>
        <w:t>Election Period</w:t>
      </w:r>
      <w:r>
        <w:rPr>
          <w:rFonts w:ascii="Times New Roman" w:cs="Times New Roman" w:eastAsia="Times New Roman" w:hAnsi="Times New Roman"/>
          <w:sz w:val="17"/>
          <w:szCs w:val="17"/>
          <w:color w:val="auto"/>
        </w:rPr>
        <w:t>”). Following receipt of such a Notice from a Stockholder, each other Stockholder shall have the right to participate in the proposed Transfer by delivering written notice to the initiating Stockholder within three</w:t>
      </w:r>
    </w:p>
    <w:p>
      <w:pPr>
        <w:spacing w:after="0" w:line="1" w:lineRule="exact"/>
        <w:rPr>
          <w:sz w:val="20"/>
          <w:szCs w:val="20"/>
          <w:color w:val="auto"/>
        </w:rPr>
      </w:pPr>
    </w:p>
    <w:p>
      <w:pPr>
        <w:ind w:left="6" w:right="80" w:hanging="6"/>
        <w:spacing w:after="0" w:line="248" w:lineRule="auto"/>
        <w:tabs>
          <w:tab w:leader="none" w:pos="25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The failure by any Stockholder to deliver any such written notice to the initiating Stockholder within such period shall be deemed to be an election by such Stockholder not to exercise its participation rights under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with respect to such contemplated Transfer. Subject to the exercise of such right to participate by any other Stockholder under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the initiating Stockholder shall thereafter be free to sell the number of Shares identified in the Notice in the manner and on terms and conditions no more favorable to the Stockholder than contemplated in the respective Notice. If a Stockholder elects to participate in such Transfer, such participating Stockholder shall be entitled to participate in such Transfer on a pro rata basis based on such Stockholder’s proportionate ownership of all shares of Class B Common Stock held by all Stockholders participating in such Transfer. For the avoidance of doubt, the determination of each Stockholder’s pro rata participation shall not include any Shares purchased by such Stockholder in the Private Placement, IPO or on the open market following the IPO.</w:t>
      </w:r>
    </w:p>
    <w:p>
      <w:pPr>
        <w:spacing w:after="0" w:line="300" w:lineRule="exact"/>
        <w:rPr>
          <w:sz w:val="20"/>
          <w:szCs w:val="20"/>
          <w:color w:val="auto"/>
        </w:rPr>
      </w:pPr>
    </w:p>
    <w:p>
      <w:pPr>
        <w:ind w:left="426"/>
        <w:spacing w:after="0"/>
        <w:tabs>
          <w:tab w:leader="none" w:pos="1386"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7"/>
          <w:szCs w:val="17"/>
          <w:u w:val="single" w:color="auto"/>
          <w:color w:val="auto"/>
        </w:rPr>
        <w:t>Coordination of Rule 144 Sales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6" w:right="220" w:firstLine="430"/>
        <w:spacing w:after="0" w:line="255" w:lineRule="auto"/>
        <w:tabs>
          <w:tab w:leader="none" w:pos="81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delivery of a Notice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regarding a sale pursuant to Rule 144 (each, a “</w:t>
      </w:r>
      <w:r>
        <w:rPr>
          <w:rFonts w:ascii="Times New Roman" w:cs="Times New Roman" w:eastAsia="Times New Roman" w:hAnsi="Times New Roman"/>
          <w:sz w:val="18"/>
          <w:szCs w:val="18"/>
          <w:u w:val="single" w:color="auto"/>
          <w:color w:val="auto"/>
        </w:rPr>
        <w:t>Rule 144 Transfer</w:t>
      </w:r>
      <w:r>
        <w:rPr>
          <w:rFonts w:ascii="Times New Roman" w:cs="Times New Roman" w:eastAsia="Times New Roman" w:hAnsi="Times New Roman"/>
          <w:sz w:val="18"/>
          <w:szCs w:val="18"/>
          <w:color w:val="auto"/>
        </w:rPr>
        <w:t>”), no Stockholder shall consummate such Rule 144 Transfer until three (3) Business Days after the Notice has been delivered to the other Stockholders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Each other Stockholder shall have the right to participate in a Rule 144 Transfer by delivering written notice to the initiating Stockholder within two (2) Business Days following receipt of such Notice. The failure by any Stockholder to deliver any such written notice of participation within such period shall be deemed to be an election by such Stockholder not to</w:t>
      </w:r>
    </w:p>
    <w:p>
      <w:pPr>
        <w:spacing w:after="0" w:line="11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6"/>
          </w:cols>
          <w:pgMar w:left="494" w:top="268" w:right="519" w:bottom="1440" w:gutter="0" w:footer="0" w:header="0"/>
        </w:sectPr>
      </w:pPr>
    </w:p>
    <w:bookmarkStart w:id="390" w:name="page391"/>
    <w:bookmarkEnd w:id="390"/>
    <w:p>
      <w:pPr>
        <w:ind w:left="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exercise its participation rights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with respect to such contemplated Rule 144 Transfer. Subject to the exercise of such right to participate by any other Stockholder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the initiating Stockholder shall thereafter be free to sell the number of Shares identified in the Notice in the manner and on the general terms and conditions contemplated in the respective Notice during the initial Rule 144 measurement period (measured from the time of the original Notice) up to such Stockholder’s Rule 144 Pro Rata Portion;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Stockholder waives, in writing, its Rule 144 Pro Rata Portion for the relevant measurement period, the other Stockholders may increase their respective number of Shares to be Transferred, on a pro rata basis, up to the amount of such non-participating Stockholder’s Rule 144 Pro Rata Portion. All Stockholders electing to transfer Shares for value in a Rule 144 Transfer agree to use commercially reasonable efforts to coordinate the timing and process for transferring their Shares, including, but not limited, selling through a single broker to be mutually agreed among such Stockholders.</w:t>
      </w:r>
    </w:p>
    <w:p>
      <w:pPr>
        <w:spacing w:after="0" w:line="185" w:lineRule="exact"/>
        <w:rPr>
          <w:sz w:val="20"/>
          <w:szCs w:val="20"/>
          <w:color w:val="auto"/>
        </w:rPr>
      </w:pPr>
    </w:p>
    <w:p>
      <w:pPr>
        <w:ind w:left="6" w:right="100" w:firstLine="430"/>
        <w:spacing w:after="0" w:line="252" w:lineRule="auto"/>
        <w:tabs>
          <w:tab w:leader="none" w:pos="81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Stockholder may allocate Shares to a Rule 10b5-1 plan which authorizes a broker to sell the allocated Shares in one or more Rule 144 Transfers provided that the broker for such plan agrees that, prior to effectuating any Rule 144 Transfers, the broker will provide the notice required by Section 3.4(a) and each of the other Stockholders will have the opportunity to sell its Rule 144 Pro Rata Portion in such Rule 144 Transfer. If an initiating Stockholder provides notice under Section 3.4(a) that it intends to sell Shares in a Rule 144 Transfer, any other Stockholder may sell its Rule 144 Pro Rata Portion of Shares (including any Catch-up Shares) pursuant to a Rule 10b5-1 plan; provided that, unless the broker for such plan has made the agreements specified in the preceding sentence that the broker will provide the notice required by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prior to effectuating any Rule 144 Transfer, any Shares that remain unsold under such Rule 10b5-1 plan shall count against such Stockholders Rule 144 Pro Rata Portion in a subsequent Rule 144 Transfer.</w:t>
      </w:r>
    </w:p>
    <w:p>
      <w:pPr>
        <w:spacing w:after="0" w:line="185" w:lineRule="exact"/>
        <w:rPr>
          <w:sz w:val="20"/>
          <w:szCs w:val="20"/>
          <w:color w:val="auto"/>
        </w:rPr>
      </w:pPr>
    </w:p>
    <w:p>
      <w:pPr>
        <w:ind w:left="6" w:firstLine="436"/>
        <w:spacing w:after="0" w:line="265" w:lineRule="auto"/>
        <w:rPr>
          <w:sz w:val="20"/>
          <w:szCs w:val="20"/>
          <w:color w:val="auto"/>
        </w:rPr>
      </w:pPr>
      <w:r>
        <w:rPr>
          <w:rFonts w:ascii="Times New Roman" w:cs="Times New Roman" w:eastAsia="Times New Roman" w:hAnsi="Times New Roman"/>
          <w:sz w:val="17"/>
          <w:szCs w:val="17"/>
          <w:color w:val="auto"/>
        </w:rPr>
        <w:t xml:space="preserve">Section 3.5 </w:t>
      </w:r>
      <w:r>
        <w:rPr>
          <w:rFonts w:ascii="Times New Roman" w:cs="Times New Roman" w:eastAsia="Times New Roman" w:hAnsi="Times New Roman"/>
          <w:sz w:val="17"/>
          <w:szCs w:val="17"/>
          <w:u w:val="single" w:color="auto"/>
          <w:color w:val="auto"/>
        </w:rPr>
        <w:t>Partner Distributions</w:t>
      </w:r>
      <w:r>
        <w:rPr>
          <w:rFonts w:ascii="Times New Roman" w:cs="Times New Roman" w:eastAsia="Times New Roman" w:hAnsi="Times New Roman"/>
          <w:sz w:val="17"/>
          <w:szCs w:val="17"/>
          <w:color w:val="auto"/>
        </w:rPr>
        <w:t>. The Stockholders shall use commercially reasonable efforts to coordinate any partner distributions or similar redemption of equity interests (any such distribution or redemption, a “</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xml:space="preserve">”) in accordance with this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Prior to the first anniversary of the Closing Date and provided that, as of the date of the distribution Notice, the last reported closing price of the Class A Common Stock on the exchange on which the Class A Common Stock is listed (the “</w:t>
      </w:r>
      <w:r>
        <w:rPr>
          <w:rFonts w:ascii="Times New Roman" w:cs="Times New Roman" w:eastAsia="Times New Roman" w:hAnsi="Times New Roman"/>
          <w:sz w:val="17"/>
          <w:szCs w:val="17"/>
          <w:u w:val="single" w:color="auto"/>
          <w:color w:val="auto"/>
        </w:rPr>
        <w:t>Closing Price</w:t>
      </w:r>
      <w:r>
        <w:rPr>
          <w:rFonts w:ascii="Times New Roman" w:cs="Times New Roman" w:eastAsia="Times New Roman" w:hAnsi="Times New Roman"/>
          <w:sz w:val="17"/>
          <w:szCs w:val="17"/>
          <w:color w:val="auto"/>
        </w:rPr>
        <w:t>”) was at least 1.5 times the price per share set forth on the cover page of the final prospectus for the IPO (the “</w:t>
      </w:r>
      <w:r>
        <w:rPr>
          <w:rFonts w:ascii="Times New Roman" w:cs="Times New Roman" w:eastAsia="Times New Roman" w:hAnsi="Times New Roman"/>
          <w:sz w:val="17"/>
          <w:szCs w:val="17"/>
          <w:u w:val="single" w:color="auto"/>
          <w:color w:val="auto"/>
        </w:rPr>
        <w:t>IPO Price</w:t>
      </w:r>
      <w:r>
        <w:rPr>
          <w:rFonts w:ascii="Times New Roman" w:cs="Times New Roman" w:eastAsia="Times New Roman" w:hAnsi="Times New Roman"/>
          <w:sz w:val="17"/>
          <w:szCs w:val="17"/>
          <w:color w:val="auto"/>
        </w:rPr>
        <w:t xml:space="preserve">”) (subject to adjustment for any stock split, reverse stock split, reclassification or otherwise), the Stockholders shall be entitled to make one Distribution up to the Distribution Cap (as defined below). Subsequent to the first anniversary of the Closing Date, the Stockholders shall be entitled to make one Distribution up to the Distribution Cap (as defined below) per quarter. Following the delivery of a Notice from a Stockholder pursuant to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regarding such a Distribution, no Stockholder shall consummate any such Distribution until ten</w:t>
      </w:r>
    </w:p>
    <w:p>
      <w:pPr>
        <w:spacing w:after="0" w:line="2" w:lineRule="exact"/>
        <w:rPr>
          <w:sz w:val="20"/>
          <w:szCs w:val="20"/>
          <w:color w:val="auto"/>
        </w:rPr>
      </w:pPr>
    </w:p>
    <w:p>
      <w:pPr>
        <w:ind w:left="6" w:right="100" w:hanging="6"/>
        <w:spacing w:after="0" w:line="249" w:lineRule="auto"/>
        <w:tabs>
          <w:tab w:leader="none" w:pos="347"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after the Notice has been delivered to the other Stockholders. Each other Stockholder shall have the right to conduct a substantially concurrent Distribution by delivering written notice to the initiating Stockholder within five (5) Business Days of receipt of such Notice. The failure by any Stockholder to deliver any such written notice within such period shall be deemed to be an election by such Stockholder not to exercise its participation rights under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with respect to such contemplated Transfer. Subject to the exercise of such right to participate by any other Stockholder under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the initiating Stockholder shall thereafter be free to distribute the Shares identified in the Transfer Notice in the manner and on the general terms and conditions contemplated in the respective</w:t>
      </w:r>
    </w:p>
    <w:p>
      <w:pPr>
        <w:spacing w:after="0" w:line="1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6"/>
          </w:cols>
          <w:pgMar w:left="494" w:top="268" w:right="519" w:bottom="1440" w:gutter="0" w:footer="0" w:header="0"/>
        </w:sectPr>
      </w:pPr>
    </w:p>
    <w:bookmarkStart w:id="391" w:name="page392"/>
    <w:bookmarkEnd w:id="39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Transfer Notice, including the proposed timing of such Distribution. Each Stockholder shall be entitled to Distribute no more than the greater of (i) such Stockholder’s Rule 144 Pro Rata Portion or (ii) one percent (1%) of the Issuer’s market capitalization as of the date of delivery of the Notice described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Distribution 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Stockholder elects not to make any such Distribution (or effect a substantially contemporaneous sale under Section 3.2, 3.3 or 3.4, which for purposes of this proviso, shall be treated as Shares distributed in the Distribution), the other Stockholders may increase their respective number of Shares to be distributed or redeemed in the Distribution, on a pro rata basis, up to the amount of such non-distributing Stockholder’s Distribution Cap. Notwithstanding anything to the contrary,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not govern with respect to Distributions of the sort described in </w:t>
      </w:r>
      <w:r>
        <w:rPr>
          <w:rFonts w:ascii="Times New Roman" w:cs="Times New Roman" w:eastAsia="Times New Roman" w:hAnsi="Times New Roman"/>
          <w:sz w:val="18"/>
          <w:szCs w:val="18"/>
          <w:u w:val="single" w:color="auto"/>
          <w:color w:val="auto"/>
        </w:rPr>
        <w:t>Section 3.7(c)</w:t>
      </w:r>
      <w:r>
        <w:rPr>
          <w:rFonts w:ascii="Times New Roman" w:cs="Times New Roman" w:eastAsia="Times New Roman" w:hAnsi="Times New Roman"/>
          <w:sz w:val="18"/>
          <w:szCs w:val="18"/>
          <w:color w:val="auto"/>
        </w:rPr>
        <w:t xml:space="preserve"> and shall not be deemed to apply to the Idea Men Stockholders.</w:t>
      </w:r>
    </w:p>
    <w:p>
      <w:pPr>
        <w:spacing w:after="0" w:line="189" w:lineRule="exact"/>
        <w:rPr>
          <w:sz w:val="20"/>
          <w:szCs w:val="20"/>
          <w:color w:val="auto"/>
        </w:rPr>
      </w:pPr>
    </w:p>
    <w:p>
      <w:pPr>
        <w:ind w:right="120" w:firstLine="436"/>
        <w:spacing w:after="0" w:line="257"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Other Restrictions on Transfer</w:t>
      </w:r>
      <w:r>
        <w:rPr>
          <w:rFonts w:ascii="Times New Roman" w:cs="Times New Roman" w:eastAsia="Times New Roman" w:hAnsi="Times New Roman"/>
          <w:sz w:val="18"/>
          <w:szCs w:val="18"/>
          <w:color w:val="auto"/>
        </w:rPr>
        <w:t>. The restrictions on Transfer contained in this Agreement are in addition to any other restrictions on Transfer to which a Stockholder may be subject, including any restrictions on Transfer contained in any equity incentive plan, restricted stock agreement, stock option agreement, stock subscription agreement or other agreement to which such Stockholder is a party or instrument by which such Stockholder is bound.</w:t>
      </w:r>
    </w:p>
    <w:p>
      <w:pPr>
        <w:spacing w:after="0" w:line="182" w:lineRule="exact"/>
        <w:rPr>
          <w:sz w:val="20"/>
          <w:szCs w:val="20"/>
          <w:color w:val="auto"/>
        </w:rPr>
      </w:pPr>
    </w:p>
    <w:p>
      <w:pPr>
        <w:ind w:left="420"/>
        <w:spacing w:after="0"/>
        <w:tabs>
          <w:tab w:leader="none" w:pos="1380" w:val="left"/>
        </w:tabs>
        <w:rPr>
          <w:sz w:val="20"/>
          <w:szCs w:val="20"/>
          <w:color w:val="auto"/>
        </w:rPr>
      </w:pPr>
      <w:r>
        <w:rPr>
          <w:rFonts w:ascii="Times New Roman" w:cs="Times New Roman" w:eastAsia="Times New Roman" w:hAnsi="Times New Roman"/>
          <w:sz w:val="18"/>
          <w:szCs w:val="18"/>
          <w:color w:val="auto"/>
        </w:rPr>
        <w:t>Section 3.7</w:t>
      </w:r>
      <w:r>
        <w:rPr>
          <w:sz w:val="20"/>
          <w:szCs w:val="20"/>
          <w:color w:val="auto"/>
        </w:rPr>
        <w:tab/>
      </w:r>
      <w:r>
        <w:rPr>
          <w:rFonts w:ascii="Times New Roman" w:cs="Times New Roman" w:eastAsia="Times New Roman" w:hAnsi="Times New Roman"/>
          <w:sz w:val="17"/>
          <w:szCs w:val="17"/>
          <w:u w:val="single" w:color="auto"/>
          <w:color w:val="auto"/>
        </w:rPr>
        <w:t>Permitted Transfers</w:t>
      </w:r>
      <w:r>
        <w:rPr>
          <w:rFonts w:ascii="Times New Roman" w:cs="Times New Roman" w:eastAsia="Times New Roman" w:hAnsi="Times New Roman"/>
          <w:sz w:val="17"/>
          <w:szCs w:val="17"/>
          <w:color w:val="auto"/>
        </w:rPr>
        <w:t>. Notwithstanding anything to the contrary herein, the restrictions set forth in this Article III, shall not apply to:</w:t>
      </w:r>
    </w:p>
    <w:p>
      <w:pPr>
        <w:spacing w:after="0" w:line="220" w:lineRule="exact"/>
        <w:rPr>
          <w:sz w:val="20"/>
          <w:szCs w:val="20"/>
          <w:color w:val="auto"/>
        </w:rPr>
      </w:pPr>
    </w:p>
    <w:p>
      <w:pPr>
        <w:ind w:right="120" w:firstLine="430"/>
        <w:spacing w:after="0" w:line="257" w:lineRule="auto"/>
        <w:tabs>
          <w:tab w:leader="none" w:pos="80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by a Stockholder to another corporation, partnership, limited liability company or other business entity that is an affiliate (as defined in Rule 405 promulgated under the Securities Act of 1933, as amended) of such transferring Stockholder, or to any investment fund or other entity controlled or managed by such Stockholder or affiliates of such Stockholder,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Distributions shall be subject to the provisions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3.7(c)</w:t>
      </w:r>
      <w:r>
        <w:rPr>
          <w:rFonts w:ascii="Times New Roman" w:cs="Times New Roman" w:eastAsia="Times New Roman" w:hAnsi="Times New Roman"/>
          <w:sz w:val="18"/>
          <w:szCs w:val="18"/>
          <w:color w:val="auto"/>
        </w:rPr>
        <w:t>, as applicable, hereof.</w:t>
      </w:r>
    </w:p>
    <w:p>
      <w:pPr>
        <w:spacing w:after="0" w:line="182" w:lineRule="exact"/>
        <w:rPr>
          <w:rFonts w:ascii="Times New Roman" w:cs="Times New Roman" w:eastAsia="Times New Roman" w:hAnsi="Times New Roman"/>
          <w:sz w:val="18"/>
          <w:szCs w:val="18"/>
          <w:color w:val="auto"/>
        </w:rPr>
      </w:pPr>
    </w:p>
    <w:p>
      <w:pPr>
        <w:ind w:right="80" w:firstLine="430"/>
        <w:spacing w:after="0" w:line="255" w:lineRule="auto"/>
        <w:tabs>
          <w:tab w:leader="none" w:pos="81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 bona fide third-party tender offer, merger, consolidation or other similar transaction that is approved by the Board involving the Transfer (whether by tender offer, merger, consolidation or other similar transaction), in one transaction or a series of related transactions, to a person or group of affiliated persons (as defined in Section 13(d)(3) of the Exchange Act), of shares of capital stock if, after such Transfer, such person or group of affiliated persons would beneficially own (as defined in Rules 13d-3 and 13d-5 under the Exchange Act) at least a majority of the outstanding voting securities of the Issuer (or the surviving entity).</w:t>
      </w:r>
    </w:p>
    <w:p>
      <w:pPr>
        <w:spacing w:after="0" w:line="182" w:lineRule="exact"/>
        <w:rPr>
          <w:rFonts w:ascii="Times New Roman" w:cs="Times New Roman" w:eastAsia="Times New Roman" w:hAnsi="Times New Roman"/>
          <w:sz w:val="18"/>
          <w:szCs w:val="18"/>
          <w:color w:val="auto"/>
        </w:rPr>
      </w:pPr>
    </w:p>
    <w:p>
      <w:pPr>
        <w:ind w:right="80" w:firstLine="430"/>
        <w:spacing w:after="0" w:line="252" w:lineRule="auto"/>
        <w:tabs>
          <w:tab w:leader="none" w:pos="80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in connection with distributions to certain current and/or former officers, employees or partners of the general partner, managing member or other controlling entity of, or investment advisor to, a Stockholder and/or its affiliates which are made in conjunction with a Transfer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unless otherwise consented to by the other Stockholders participating in the applicable Transfer, the aggregate number of such transferred shares of Common Stock by all such officers, employees and partners pursuant to this clause (c) in conjunction with a particular Transfer shall not exceed 25% of the number of shares of Common Stock being Transferred by the applicable Stockholder and its Affiliates in such Transfer, and (ii) the aggregate number of such transferred shares of Common Stock pursuant to this clause (c) shall be counted as Transferred by the distributing Stockholder in the accompanying Transfer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for purposes of calculating such Stockholder’s pro rata portion.</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60"/>
          </w:cols>
          <w:pgMar w:left="500" w:top="267" w:right="539" w:bottom="1440" w:gutter="0" w:footer="0" w:header="0"/>
        </w:sectPr>
      </w:pPr>
    </w:p>
    <w:bookmarkStart w:id="392" w:name="page393"/>
    <w:bookmarkEnd w:id="392"/>
    <w:p>
      <w:pPr>
        <w:ind w:left="820" w:hanging="390"/>
        <w:spacing w:after="0"/>
        <w:tabs>
          <w:tab w:leader="none" w:pos="82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Transfers by a Stockholder in connection with the Private Placement or IPO.</w:t>
      </w:r>
    </w:p>
    <w:p>
      <w:pPr>
        <w:spacing w:after="0" w:line="220" w:lineRule="exact"/>
        <w:rPr>
          <w:rFonts w:ascii="Times New Roman" w:cs="Times New Roman" w:eastAsia="Times New Roman" w:hAnsi="Times New Roman"/>
          <w:sz w:val="18"/>
          <w:szCs w:val="18"/>
          <w:color w:val="auto"/>
        </w:rPr>
      </w:pPr>
    </w:p>
    <w:p>
      <w:pPr>
        <w:ind w:right="580" w:firstLine="430"/>
        <w:spacing w:after="0" w:line="277" w:lineRule="auto"/>
        <w:tabs>
          <w:tab w:leader="none" w:pos="80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equity interests in SLP Geology Aggregator, L.P. which reflect an indirect interest in not more than 20% of the Shares purchased by the Silver Lake Stockholders in, or at the time of, the IPO.</w:t>
      </w:r>
    </w:p>
    <w:p>
      <w:pPr>
        <w:spacing w:after="0" w:line="163" w:lineRule="exact"/>
        <w:rPr>
          <w:sz w:val="20"/>
          <w:szCs w:val="20"/>
          <w:color w:val="auto"/>
        </w:rPr>
      </w:pPr>
    </w:p>
    <w:p>
      <w:pPr>
        <w:ind w:right="40" w:firstLine="436"/>
        <w:spacing w:after="0" w:line="251"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Idea Men Participation</w:t>
      </w:r>
      <w:r>
        <w:rPr>
          <w:rFonts w:ascii="Times New Roman" w:cs="Times New Roman" w:eastAsia="Times New Roman" w:hAnsi="Times New Roman"/>
          <w:sz w:val="18"/>
          <w:szCs w:val="18"/>
          <w:color w:val="auto"/>
        </w:rPr>
        <w:t xml:space="preserve">. Notwithstanding anything to the contrary herein, in the event that any Idea Men Stockholder declines or is otherwise unable to participate in any Transfer proposed by another Stockholder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as a result of such Idea Men Stockholder or any of its principals, managing members or affiliates (as defined in Rule 405 promulgated under the Securities Act of 1933, as amended) being subject to trading restrictions under the Issuer’s insider trading policy, determined in good faith by such Idea Men Stockholder to be in possession of material non-public information, or for any other reason, the Idea Men Stockholders shall have the right, but not the obligation, to include the Idea Men Stockholders’ pro rata portion of Shares not so transferred (the “</w:t>
      </w:r>
      <w:r>
        <w:rPr>
          <w:rFonts w:ascii="Times New Roman" w:cs="Times New Roman" w:eastAsia="Times New Roman" w:hAnsi="Times New Roman"/>
          <w:sz w:val="18"/>
          <w:szCs w:val="18"/>
          <w:u w:val="single" w:color="auto"/>
          <w:color w:val="auto"/>
        </w:rPr>
        <w:t>Catch-Up Shares</w:t>
      </w:r>
      <w:r>
        <w:rPr>
          <w:rFonts w:ascii="Times New Roman" w:cs="Times New Roman" w:eastAsia="Times New Roman" w:hAnsi="Times New Roman"/>
          <w:sz w:val="18"/>
          <w:szCs w:val="18"/>
          <w:color w:val="auto"/>
        </w:rPr>
        <w:t xml:space="preserve">“) in any future Rule 144 Transfer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To the extent the Idea Men Stockholder elects to include any Catch-up Shares in a future Rule 144 Transfer, the shares of the Stockholders that are to be included in such Rule 144 Transfer shall be allocated as follows: first, to Idea Men up to the amount of Catch-up Shares elected to include in such Rule 144 Transfer; and second, among all the Stockholders (including Idea Men) based on their Rule 144 Pro Rata Portion (which, in the case of Idea Men, shall disregard any Catch-up Shares) of the remaining Shares, if any,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Termination of Article III</w:t>
      </w:r>
      <w:r>
        <w:rPr>
          <w:rFonts w:ascii="Times New Roman" w:cs="Times New Roman" w:eastAsia="Times New Roman" w:hAnsi="Times New Roman"/>
          <w:sz w:val="18"/>
          <w:szCs w:val="18"/>
          <w:color w:val="auto"/>
        </w:rPr>
        <w:t>. The restrictions set forth in this Article III with respect to any Stockholder shall be of no further effect with respect to the Shares as of the earlier of (i) the completion of the Transfer Restriction Period and (ii) provided that such Stockholder does not have a Director Designee on the Board, the time at which such Stockholder and its Affiliates Beneficially Owns less than 5% of the shares of Common Stock outstanding.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AGREEMENTS OF THE PARTIES</w:t>
      </w:r>
    </w:p>
    <w:p>
      <w:pPr>
        <w:spacing w:after="0" w:line="202"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Exculpation Among Stockholders</w:t>
      </w:r>
      <w:r>
        <w:rPr>
          <w:rFonts w:ascii="Times New Roman" w:cs="Times New Roman" w:eastAsia="Times New Roman" w:hAnsi="Times New Roman"/>
          <w:sz w:val="18"/>
          <w:szCs w:val="18"/>
          <w:color w:val="auto"/>
        </w:rPr>
        <w:t>. Each Stockholder acknowledges that it is not relying upon any person, firm or corporation, other than the public information filed by the Issuer with the SEC relating to its Shares, in making its investment or decision to sell, retain or further invest in the Issuer. Each Stockholder agrees that none of the Stockholders or the respective controlling persons, officers, directors, partners, agents, or employees of any Stockholder shall be liable to any other Stockholder for any action heretofore or hereafter taken or omitted to be taken by any of them in connection with the purchase of the Shares.</w:t>
      </w:r>
    </w:p>
    <w:p>
      <w:pPr>
        <w:spacing w:after="0" w:line="183" w:lineRule="exact"/>
        <w:rPr>
          <w:sz w:val="20"/>
          <w:szCs w:val="20"/>
          <w:color w:val="auto"/>
        </w:rPr>
      </w:pPr>
    </w:p>
    <w:p>
      <w:pPr>
        <w:ind w:right="620" w:firstLine="436"/>
        <w:spacing w:after="0" w:line="262"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Stockholder agrees, for so long as such Stockholder owns any Shares and for a period of two (2) years following the date upon which such Stockholder ceases to own any Shares, to keep confidential, any non-public information provided to such Stockholder by the Issuer; provided, however, that nothing herein will limit the disclosure of any</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80"/>
          </w:cols>
          <w:pgMar w:left="500" w:top="268" w:right="519" w:bottom="1440" w:gutter="0" w:footer="0" w:header="0"/>
        </w:sectPr>
      </w:pPr>
    </w:p>
    <w:bookmarkStart w:id="393" w:name="page394"/>
    <w:bookmarkEnd w:id="393"/>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information (i) to the extent required by law, statute, rule, regulation, judicial process, subpoena or court order or required by any governmental agency or other regulatory authority (including, without limitation, by deposition, interrogatory, request for documents, oral questions, subpoena, civil investigative demand, administrative proceeding or similar process); (ii) that is in the public domain or becomes generally available to the public, in each case, other than as a result of the disclosure by the parties in violation of this Agreement; (iii) is or becomes available on a non-confidential basis to a Stockholder from a source other than the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source is not subject to any obligation of confidentiality to Issuer; (iv) is independently developed by Stockholder without violating this Agreement (v) to a Stockholder’s advisors, representatives and Affiliates (which for the Silver Lake Stockholders, Francisco Partners Stockholders and the Spectrum Stockholders shall include, directors, officers, employees, agents, financing sources and direct and indirect, current and prospective limited partners and investors in the ordinary course of their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advisors, representatives and Affiliates shall have been advised of this Agreement and shall have been directed to comply with the confidentiality provisions hereof, or shall otherwise be bound by customary obligations of confidentiality, and the applicable Stockholder shall be responsible for any breach of or failure to comply with the provisions of this Section 4.2 applicable to Affiliates who receive confidential information about the Issuer from such Stockholder ; or (vi) to any prospective purchaser of a Stockholder’s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prospective purchaser shall have been advised of this Agreement and shall have expressly agreed to be bound by the confidentiality provisions hereof, (B) such prospective purchaser is not an Issuer Competitor or a Person who controls any Issuer Competitor, and (C) the prospective purchaser shall be responsible for any breach of or failure to comply with this Agreement by any of its Affiliates and such prospective purchaser agrees, at its sole expense, to take reasonable measures (including but not limited to court proceedings) to restrain its advisors, representatives and Affiliates from prohibited or unauthorized disclosure or use of any confidential information.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PARTIES</w:t>
      </w:r>
    </w:p>
    <w:p>
      <w:pPr>
        <w:spacing w:after="0" w:line="202" w:lineRule="exact"/>
        <w:rPr>
          <w:sz w:val="20"/>
          <w:szCs w:val="20"/>
          <w:color w:val="auto"/>
        </w:rPr>
      </w:pPr>
    </w:p>
    <w:p>
      <w:pPr>
        <w:ind w:right="14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Additional Parties</w:t>
      </w:r>
      <w:r>
        <w:rPr>
          <w:rFonts w:ascii="Times New Roman" w:cs="Times New Roman" w:eastAsia="Times New Roman" w:hAnsi="Times New Roman"/>
          <w:sz w:val="18"/>
          <w:szCs w:val="18"/>
          <w:color w:val="auto"/>
        </w:rPr>
        <w:t xml:space="preserve">. Additional parties, provided they are Permitted Holders, may be added to and be bound by and receive the benefits afforded by this Agreement upon the signing and delivery of a joinder to this Agreement substantially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by the Issuer and the acceptance thereof by such additional parties and, to the extent permitted by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amendments may be effected to this Agreement reflecting such rights and obligations, consistent with the terms of this Agreement, of such party as the Issuer, the Stockholders and such party may agree.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2" w:lineRule="exact"/>
        <w:rPr>
          <w:sz w:val="20"/>
          <w:szCs w:val="20"/>
          <w:color w:val="auto"/>
        </w:rPr>
      </w:pPr>
    </w:p>
    <w:p>
      <w:pPr>
        <w:ind w:right="220" w:firstLine="436"/>
        <w:spacing w:after="0" w:line="26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The terms and provisions of this Agreement may be modified or amended at any time and from time to time only by the written consent of each party hereto;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consent of any party for whom the provisions of Article III have terminated pursuant to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shall not be required for any amendment to Article III.</w:t>
      </w:r>
    </w:p>
    <w:p>
      <w:pPr>
        <w:spacing w:after="0" w:line="177" w:lineRule="exact"/>
        <w:rPr>
          <w:sz w:val="20"/>
          <w:szCs w:val="20"/>
          <w:color w:val="auto"/>
        </w:rPr>
      </w:pPr>
    </w:p>
    <w:p>
      <w:pPr>
        <w:ind w:right="120" w:firstLine="436"/>
        <w:spacing w:after="0" w:line="277"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Corporate Opportunities</w:t>
      </w:r>
      <w:r>
        <w:rPr>
          <w:rFonts w:ascii="Times New Roman" w:cs="Times New Roman" w:eastAsia="Times New Roman" w:hAnsi="Times New Roman"/>
          <w:sz w:val="18"/>
          <w:szCs w:val="18"/>
          <w:color w:val="auto"/>
        </w:rPr>
        <w:t>. Each Stockholder hereby represents, warrants and covenants to the Issuer and each other Stockholder that such Stockholder (i) understands that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0"/>
          </w:cols>
          <w:pgMar w:left="500" w:top="268" w:right="519" w:bottom="1440" w:gutter="0" w:footer="0" w:header="0"/>
        </w:sectPr>
      </w:pPr>
    </w:p>
    <w:bookmarkStart w:id="394" w:name="page395"/>
    <w:bookmarkEnd w:id="394"/>
    <w:p>
      <w:pPr>
        <w:ind w:right="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2">
                      <a:extLst>
                        <a:ext uri="{28A0092B-C50C-407E-A947-70E740481C1C}"/>
                      </a:extLst>
                    </a:blip>
                    <a:srcRect/>
                    <a:stretch>
                      <a:fillRect/>
                    </a:stretch>
                  </pic:blipFill>
                  <pic:spPr bwMode="auto">
                    <a:xfrm>
                      <a:off x="0" y="0"/>
                      <a:ext cx="7150735" cy="24765"/>
                    </a:xfrm>
                    <a:prstGeom prst="rect">
                      <a:avLst/>
                    </a:prstGeom>
                    <a:noFill/>
                  </pic:spPr>
                </pic:pic>
              </a:graphicData>
            </a:graphic>
          </wp:anchor>
        </w:drawing>
        <w:t>Article XI of the Amended and Restated Certificate of Incorporation includes provisions that provide that the Issuer, to the fullest extent permitted by law and in accordance with Section 122(17) of the General Corporation Law of the State of Delaware, renounce any interest or expectancy in certain corporate opportunities that are presented to the parties hereto, subject to certain exceptions, and (ii) shall not vote in favor of amending, or otherwise seek to amend, Article XI of the Issuer’s Amended and Restated Certificate of Incorporation without the written consent of each Stockholder that is a then-current Stockholder under the terms of this Agreement. In addition, the Issuer hereby agrees that it shall not seek to amend or remove Article XI of the Amended and Restated Certificate of Incorporation in a manner adverse to any then-current Stockholder under the terms of this Agreement without the prior consent of such adversely effected Stockholder(s).</w:t>
      </w:r>
    </w:p>
    <w:p>
      <w:pPr>
        <w:spacing w:after="0" w:line="189"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terminate upon the earlier of (i) a Change in Control; (ii) written agreement of each Stockholder who holds Shares at such time; or (iii) solely with respect to a particular Stockholder, the dissolution or liquidation of such Stockholder. In the event of any termination of this Agreement as provided in clauses (i) or (ii)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this Agreement shall forthwith become wholly void and of no further force or effect (except for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there shall be no liability on the part of any parties hereto or their respective officers or directors, except as provided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Notwithstanding the foregoing, no party hereto shall be relieved from liability for any willful breach of this Agreement.</w:t>
      </w:r>
    </w:p>
    <w:p>
      <w:pPr>
        <w:spacing w:after="0" w:line="187"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Notwithstanding anything that may be expressed or implied in this Agreement or any document or instrument delivered in connection herewith, and notwithstanding the fact that certain of the Stockholders may be partnerships or limited liability companies, by its acceptance of the benefits of this Agreement, the Issuer and each Stockholder covenant, agree and acknowledge that no Person (other than the parties hereto) has any obligations hereunder, and that, to the fullest extent permitted by law, no recourse under this Agreement or any documents or instruments delivered in connection with this Agreement shall be had against any current or future director, officer, employee, general or limited partner or member of any Stockholder or of any Affiliate or assignee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the former, current and future equity holders, controlling persons, directors, officers, employees, agents, affiliates, members, managers, general or limited partners or assignees of the Stockholders or any former, current or future stockholder, controlling person, director, officer, employee, general or limited partner, member, manager, Affiliate, agent or assignee of any of the foregoing, as such for any obligation of any Stockholder under this Agreement or any documents or instruments delivered in connection with this Agreement for any claim based on, in respect of or by reason of such obligations or their creation.</w:t>
      </w:r>
    </w:p>
    <w:p>
      <w:pPr>
        <w:spacing w:after="0" w:line="191"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This Agreement shall be binding upon and inure solely to the benefit of the parties hereto and their permitted assigns and successors, and, except as provided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nothing herein, express or implied, is intended to or shall confer upon any other Person or entity, any legal or equitable right, benefit or remedy of any nature whatsoever under or by reason of this Agreement.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500" w:top="267" w:right="499" w:bottom="1440" w:gutter="0" w:footer="0" w:header="0"/>
        </w:sectPr>
      </w:pPr>
    </w:p>
    <w:bookmarkStart w:id="395" w:name="page396"/>
    <w:bookmarkEnd w:id="395"/>
    <w:p>
      <w:pPr>
        <w:ind w:right="40" w:firstLine="436"/>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3">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Section 6.6 </w:t>
      </w:r>
      <w:r>
        <w:rPr>
          <w:rFonts w:ascii="Times New Roman" w:cs="Times New Roman" w:eastAsia="Times New Roman" w:hAnsi="Times New Roman"/>
          <w:sz w:val="18"/>
          <w:szCs w:val="18"/>
          <w:u w:val="single" w:color="auto"/>
          <w:color w:val="auto"/>
        </w:rPr>
        <w:t>Recapitalizations; Exchanges, Etc.</w:t>
      </w:r>
      <w:r>
        <w:rPr>
          <w:rFonts w:ascii="Times New Roman" w:cs="Times New Roman" w:eastAsia="Times New Roman" w:hAnsi="Times New Roman"/>
          <w:sz w:val="18"/>
          <w:szCs w:val="18"/>
          <w:color w:val="auto"/>
        </w:rPr>
        <w:t xml:space="preserve"> The provisions of this Agreement shall apply to the full extent set forth herein with respect to Shares, to any and all shares of capital stock of the Issuer or any successor or assign of the Issuer (whether by merger, consolidation, sale of assets or otherwise) which may be issued in respect of, in exchange for, or in substitution of the Shares, by reason of a stock dividend, stock split, stock issuance, reverse stock split, combination, recapitalization, reclassification, merger, consolidation or otherwise.</w:t>
      </w:r>
    </w:p>
    <w:p>
      <w:pPr>
        <w:spacing w:after="0" w:line="182"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Addresses and Notices</w:t>
      </w:r>
      <w:r>
        <w:rPr>
          <w:rFonts w:ascii="Times New Roman" w:cs="Times New Roman" w:eastAsia="Times New Roman" w:hAnsi="Times New Roman"/>
          <w:sz w:val="18"/>
          <w:szCs w:val="18"/>
          <w:color w:val="auto"/>
        </w:rPr>
        <w:t>. Any notice provided for in this Agreement will be in writing and will be either personally delivered, or received by certified mail, return receipt requested, sent by reputable overnight courier service (charges prepaid) or facsimile or electronic mail to the Issuer at the address set forth below and to any other recipient and to any holder of Shares at such address as indicated by the Issuer’s records, or at such address or to the attention of such other person as the recipient party has specified by prior written notice to the sending party. Notices will be deemed to have been given hereunder when delivered personally or sent by electronic mail (provided confirmation of such electronic mail is received or such electronic mail is delivered during regular business hours on any Business Day to the respective email addresses below and no bounce-back or error message is received by the sender), three days after deposit in the U.S. mail and one day after deposit with a reputable overnight courier service. If notice is given to the Issuer or to the Stockholders, a copy shall be sent to such party at the addresses set forth below:</w:t>
      </w:r>
    </w:p>
    <w:p>
      <w:pPr>
        <w:spacing w:after="0" w:line="91" w:lineRule="exact"/>
        <w:rPr>
          <w:sz w:val="20"/>
          <w:szCs w:val="20"/>
          <w:color w:val="auto"/>
        </w:rPr>
      </w:pPr>
    </w:p>
    <w:p>
      <w:pPr>
        <w:ind w:left="1400" w:hanging="431"/>
        <w:spacing w:after="0"/>
        <w:tabs>
          <w:tab w:leader="none" w:pos="14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Issuer, to:</w:t>
      </w:r>
    </w:p>
    <w:p>
      <w:pPr>
        <w:spacing w:after="0" w:line="113"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GoodRx Holdings, Inc.</w:t>
      </w:r>
    </w:p>
    <w:p>
      <w:pPr>
        <w:spacing w:after="0" w:line="25" w:lineRule="exact"/>
        <w:rPr>
          <w:rFonts w:ascii="Times New Roman" w:cs="Times New Roman" w:eastAsia="Times New Roman" w:hAnsi="Times New Roman"/>
          <w:sz w:val="18"/>
          <w:szCs w:val="18"/>
          <w:color w:val="auto"/>
        </w:rPr>
      </w:pPr>
    </w:p>
    <w:p>
      <w:pPr>
        <w:ind w:left="1420" w:right="73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233 Wilshire Blvd., Suite 900 Santa Monica, CA 90401</w:t>
      </w: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Karsten Voermann; Gracye Cheng</w:t>
      </w:r>
    </w:p>
    <w:p>
      <w:pPr>
        <w:spacing w:after="0" w:line="6"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written notice) to:</w:t>
      </w:r>
    </w:p>
    <w:p>
      <w:pPr>
        <w:spacing w:after="0" w:line="94" w:lineRule="exact"/>
        <w:rPr>
          <w:rFonts w:ascii="Times New Roman" w:cs="Times New Roman" w:eastAsia="Times New Roman" w:hAnsi="Times New Roman"/>
          <w:sz w:val="18"/>
          <w:szCs w:val="18"/>
          <w:color w:val="auto"/>
        </w:rPr>
      </w:pPr>
    </w:p>
    <w:p>
      <w:pPr>
        <w:ind w:left="1420" w:right="70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Latham &amp; Watkins LLP 885 Third Avenue New York, NY 10022 Attention: Marc Jaffe; Ben Cohen</w:t>
      </w:r>
    </w:p>
    <w:p>
      <w:pPr>
        <w:spacing w:after="0" w:line="75" w:lineRule="exact"/>
        <w:rPr>
          <w:rFonts w:ascii="Times New Roman" w:cs="Times New Roman" w:eastAsia="Times New Roman" w:hAnsi="Times New Roman"/>
          <w:sz w:val="18"/>
          <w:szCs w:val="18"/>
          <w:color w:val="auto"/>
        </w:rPr>
      </w:pPr>
    </w:p>
    <w:p>
      <w:pPr>
        <w:ind w:left="1420" w:right="3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 each of the Silver Lake Stockholders, the Francisco Partners Stockholders, the Spectrum Stockholders and the Idea Men Stockholders as specified in sub-parts (x) and (y) below;</w:t>
      </w:r>
    </w:p>
    <w:p>
      <w:pPr>
        <w:spacing w:after="0" w:line="69" w:lineRule="exact"/>
        <w:rPr>
          <w:rFonts w:ascii="Times New Roman" w:cs="Times New Roman" w:eastAsia="Times New Roman" w:hAnsi="Times New Roman"/>
          <w:sz w:val="18"/>
          <w:szCs w:val="18"/>
          <w:color w:val="auto"/>
        </w:rPr>
      </w:pPr>
    </w:p>
    <w:p>
      <w:pPr>
        <w:ind w:left="1400" w:hanging="431"/>
        <w:spacing w:after="0"/>
        <w:tabs>
          <w:tab w:leader="none" w:pos="14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Silver Lake Stockholder, to:</w:t>
      </w:r>
    </w:p>
    <w:p>
      <w:pPr>
        <w:spacing w:after="0" w:line="113"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 Lake</w:t>
      </w:r>
    </w:p>
    <w:p>
      <w:pPr>
        <w:spacing w:after="0" w:line="25"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Hudson Yards</w:t>
      </w:r>
    </w:p>
    <w:p>
      <w:pPr>
        <w:spacing w:after="0" w:line="6" w:lineRule="exact"/>
        <w:rPr>
          <w:rFonts w:ascii="Times New Roman" w:cs="Times New Roman" w:eastAsia="Times New Roman" w:hAnsi="Times New Roman"/>
          <w:sz w:val="18"/>
          <w:szCs w:val="18"/>
          <w:color w:val="auto"/>
        </w:rPr>
      </w:pPr>
    </w:p>
    <w:p>
      <w:pPr>
        <w:ind w:left="1420" w:right="7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 West 34th Street, 40th Floor New York, NY 10001</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60"/>
          </w:cols>
          <w:pgMar w:left="500" w:top="267" w:right="539" w:bottom="1440" w:gutter="0" w:footer="0" w:header="0"/>
        </w:sectPr>
      </w:pPr>
    </w:p>
    <w:bookmarkStart w:id="396" w:name="page397"/>
    <w:bookmarkEnd w:id="396"/>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Attention: Andrew J. Schader</w:t>
      </w:r>
    </w:p>
    <w:p>
      <w:pPr>
        <w:spacing w:after="0" w:line="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(which shall not constitute written notice) to:</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Three Embarcadero Center</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Francisco, CA 94111-4006</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Thomas Holden and Eric Issadore</w:t>
      </w:r>
    </w:p>
    <w:p>
      <w:pPr>
        <w:spacing w:after="0" w:line="108" w:lineRule="exact"/>
        <w:rPr>
          <w:sz w:val="20"/>
          <w:szCs w:val="20"/>
          <w:color w:val="auto"/>
        </w:rPr>
      </w:pPr>
    </w:p>
    <w:p>
      <w:pPr>
        <w:ind w:left="1400" w:hanging="431"/>
        <w:spacing w:after="0"/>
        <w:tabs>
          <w:tab w:leader="none" w:pos="140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Francisco Partners Stockholders, to:</w:t>
      </w:r>
    </w:p>
    <w:p>
      <w:pPr>
        <w:spacing w:after="0" w:line="113" w:lineRule="exact"/>
        <w:rPr>
          <w:rFonts w:ascii="Times New Roman" w:cs="Times New Roman" w:eastAsia="Times New Roman" w:hAnsi="Times New Roman"/>
          <w:sz w:val="18"/>
          <w:szCs w:val="18"/>
          <w:color w:val="auto"/>
        </w:rPr>
      </w:pPr>
    </w:p>
    <w:p>
      <w:pPr>
        <w:ind w:left="1420" w:right="76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Francisco Partners One Letterman Drive Building C - Suite 410 San Francisco, CA 94129</w:t>
      </w: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Chris Adams or Steve Eisner</w:t>
      </w:r>
    </w:p>
    <w:p>
      <w:pPr>
        <w:spacing w:after="0" w:line="108" w:lineRule="exact"/>
        <w:rPr>
          <w:rFonts w:ascii="Times New Roman" w:cs="Times New Roman" w:eastAsia="Times New Roman" w:hAnsi="Times New Roman"/>
          <w:sz w:val="18"/>
          <w:szCs w:val="18"/>
          <w:color w:val="auto"/>
        </w:rPr>
      </w:pPr>
    </w:p>
    <w:p>
      <w:pPr>
        <w:ind w:left="1400" w:hanging="431"/>
        <w:spacing w:after="0"/>
        <w:tabs>
          <w:tab w:leader="none" w:pos="140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Spectrum Stockholders, to:</w:t>
      </w:r>
    </w:p>
    <w:p>
      <w:pPr>
        <w:spacing w:after="0" w:line="113"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Spectrum Equity</w:t>
      </w:r>
    </w:p>
    <w:p>
      <w:pPr>
        <w:spacing w:after="0" w:line="25" w:lineRule="exact"/>
        <w:rPr>
          <w:rFonts w:ascii="Times New Roman" w:cs="Times New Roman" w:eastAsia="Times New Roman" w:hAnsi="Times New Roman"/>
          <w:sz w:val="18"/>
          <w:szCs w:val="18"/>
          <w:color w:val="auto"/>
        </w:rPr>
      </w:pPr>
    </w:p>
    <w:p>
      <w:pPr>
        <w:ind w:left="1420" w:right="68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 New Montgomery St., 20th Floor San Francisco, CA 94105 Attention: Stephen LeSieur</w:t>
      </w:r>
    </w:p>
    <w:p>
      <w:pPr>
        <w:spacing w:after="0" w:line="79" w:lineRule="exact"/>
        <w:rPr>
          <w:rFonts w:ascii="Times New Roman" w:cs="Times New Roman" w:eastAsia="Times New Roman" w:hAnsi="Times New Roman"/>
          <w:sz w:val="18"/>
          <w:szCs w:val="18"/>
          <w:color w:val="auto"/>
        </w:rPr>
      </w:pPr>
    </w:p>
    <w:p>
      <w:pPr>
        <w:ind w:left="1360" w:hanging="385"/>
        <w:spacing w:after="0"/>
        <w:tabs>
          <w:tab w:leader="none" w:pos="136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Idea Men Stockholders, to:</w:t>
      </w:r>
    </w:p>
    <w:p>
      <w:pPr>
        <w:spacing w:after="0" w:line="1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Idea Men</w:t>
      </w:r>
    </w:p>
    <w:p>
      <w:pPr>
        <w:spacing w:after="0" w:line="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8605 Santa Monica Blvd., Ste 30736</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West Hollywood, CA 90069-4109</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Trevor Bezdek</w:t>
      </w:r>
    </w:p>
    <w:p>
      <w:pPr>
        <w:spacing w:after="0" w:line="202" w:lineRule="exact"/>
        <w:rPr>
          <w:sz w:val="20"/>
          <w:szCs w:val="20"/>
          <w:color w:val="auto"/>
        </w:rPr>
      </w:pPr>
    </w:p>
    <w:p>
      <w:pPr>
        <w:ind w:right="580" w:firstLine="436"/>
        <w:spacing w:after="0" w:line="277"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parties hereto and their heirs, executors, administrators, successors, legal representatives and permitted assigns.</w:t>
      </w:r>
    </w:p>
    <w:p>
      <w:pPr>
        <w:spacing w:after="0" w:line="163" w:lineRule="exact"/>
        <w:rPr>
          <w:sz w:val="20"/>
          <w:szCs w:val="20"/>
          <w:color w:val="auto"/>
        </w:rPr>
      </w:pPr>
    </w:p>
    <w:p>
      <w:pPr>
        <w:ind w:right="40" w:firstLine="436"/>
        <w:spacing w:after="0" w:line="262"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77" w:lineRule="exact"/>
        <w:rPr>
          <w:sz w:val="20"/>
          <w:szCs w:val="20"/>
          <w:color w:val="auto"/>
        </w:rPr>
      </w:pPr>
    </w:p>
    <w:p>
      <w:pPr>
        <w:ind w:firstLine="436"/>
        <w:spacing w:after="0" w:line="277"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separate counterparts, each of which will be an original and all of which together shall constitute one and the same agreement binding on all the parties hereto.</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500" w:top="268" w:right="499" w:bottom="1440" w:gutter="0" w:footer="0" w:header="0"/>
        </w:sectPr>
      </w:pPr>
    </w:p>
    <w:bookmarkStart w:id="397" w:name="page398"/>
    <w:bookmarkEnd w:id="397"/>
    <w:p>
      <w:pPr>
        <w:ind w:right="60" w:firstLine="436"/>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6.11 </w:t>
      </w:r>
      <w:r>
        <w:rPr>
          <w:rFonts w:ascii="Times New Roman" w:cs="Times New Roman" w:eastAsia="Times New Roman" w:hAnsi="Times New Roman"/>
          <w:sz w:val="17"/>
          <w:szCs w:val="17"/>
          <w:u w:val="single" w:color="auto"/>
          <w:color w:val="auto"/>
        </w:rPr>
        <w:t>Applicable Law; Waiver of Jury Trial</w:t>
      </w:r>
      <w:r>
        <w:rPr>
          <w:rFonts w:ascii="Times New Roman" w:cs="Times New Roman" w:eastAsia="Times New Roman" w:hAnsi="Times New Roman"/>
          <w:sz w:val="17"/>
          <w:szCs w:val="17"/>
          <w:color w:val="auto"/>
        </w:rPr>
        <w:t>. 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Court of Chancery of the State of Delaware (or in the event, but only in the event, that such court does not have subject matter jurisdiction over such action or proceeding, the Superior Court of the State of Delaware (Complex Commercial Division) or, if subject matter jurisdiction over the action or proceeding is vested exclusively in the federal courts of the United States of America, the United States District Court for the District of Delaware)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THE PARTIES HERETO HEREBY IRREVOCABLY WAIVE ANY AND ALL RIGHT TO TRIAL BY JURY IN ANY LEGAL PROCEEDING ARISING OUT OF OR RELATED TO THIS AGREEMENT OR THE TRANSACTIONS CONTEMPLATED HEREBY.</w:t>
      </w:r>
    </w:p>
    <w:p>
      <w:pPr>
        <w:spacing w:after="0" w:line="184"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83"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Delivery by Facsimile</w:t>
      </w:r>
      <w:r>
        <w:rPr>
          <w:rFonts w:ascii="Times New Roman" w:cs="Times New Roman" w:eastAsia="Times New Roman" w:hAnsi="Times New Roman"/>
          <w:sz w:val="18"/>
          <w:szCs w:val="18"/>
          <w:color w:val="auto"/>
        </w:rPr>
        <w:t>. This Agreement and any signed agreement or instrument entered into in connection with this Agreement or contemplated hereby, and any amendments hereto or thereto, to the extent signed and delivered by means of a facsimile machine or electronic transmission (i.e., in portable document format),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transmission to deliver a signature or the fact that any signature or agreement or instrument was transmitted or communicated through the use of a facsimile machine or electronic transmission as a defense to the formation of a contract and each such party forever waives any such defense.</w:t>
      </w:r>
    </w:p>
    <w:p>
      <w:pPr>
        <w:spacing w:after="0" w:line="185" w:lineRule="exact"/>
        <w:rPr>
          <w:sz w:val="20"/>
          <w:szCs w:val="20"/>
          <w:color w:val="auto"/>
        </w:rPr>
      </w:pPr>
    </w:p>
    <w:p>
      <w:pPr>
        <w:ind w:right="600" w:firstLine="436"/>
        <w:spacing w:after="0" w:line="277"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Investor Rights Agreement, and all of the other exhibits, annexes and schedules hereto and thereto constitute the entire understanding and agreement between the parties as to restrictions on the transferability of</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80"/>
          </w:cols>
          <w:pgMar w:left="500" w:top="268" w:right="519" w:bottom="1440" w:gutter="0" w:footer="0" w:header="0"/>
        </w:sectPr>
      </w:pPr>
    </w:p>
    <w:bookmarkStart w:id="398" w:name="page399"/>
    <w:bookmarkEnd w:id="398"/>
    <w:p>
      <w:pPr>
        <w:ind w:right="2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6">
                      <a:extLst>
                        <a:ext uri="{28A0092B-C50C-407E-A947-70E740481C1C}"/>
                      </a:extLst>
                    </a:blip>
                    <a:srcRect/>
                    <a:stretch>
                      <a:fillRect/>
                    </a:stretch>
                  </pic:blipFill>
                  <pic:spPr bwMode="auto">
                    <a:xfrm>
                      <a:off x="0" y="0"/>
                      <a:ext cx="7150735" cy="24765"/>
                    </a:xfrm>
                    <a:prstGeom prst="rect">
                      <a:avLst/>
                    </a:prstGeom>
                    <a:noFill/>
                  </pic:spPr>
                </pic:pic>
              </a:graphicData>
            </a:graphic>
          </wp:anchor>
        </w:drawing>
        <w:t>Shares and the other matters covered herein and therein and supersede and replace any prior understanding, agreement between the parties as to restrictions on the transferability of Shares and the other matters covered herein and therein and supersede and replace any prior understanding, agreement or statement of intent, in each case, written or oral, of any and every nature with respect thereto. In the event of any inconsistency between this Agreement and any agreement executed or delivered to effect the purposes of this Agreement, this Agreement shall govern as among the parties hereto.</w:t>
      </w:r>
    </w:p>
    <w:p>
      <w:pPr>
        <w:spacing w:after="0" w:line="183"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Issuer and the Stockholders shall be entitled to enforce their rights under this Agreement specifically, to recover damages by reason of any breach of any provision of this Agreement (including, without limitation, costs of enforcement) and to exercise all other rights existing in their favor. The parties hereto agree and acknowledge that money damages may not be an adequate remedy for any breach of the provisions of this Agreement, and that the Issuer or any Stockholder may in its sole discretion apply to any court of law or equity of competent jurisdiction for specific performance or injunctive relief (without posting a bond or other security) in order to enforce or prevent any violation of the provisions of this Agreement. All remedies, either under this Agreement or by Law or otherwise afforded to any party, shall be cumulative and not alternative. All obligations hereunder shall be satisfied in full without set-off, defense or counterclaim.</w:t>
      </w:r>
    </w:p>
    <w:p>
      <w:pPr>
        <w:spacing w:after="0" w:line="189" w:lineRule="exact"/>
        <w:rPr>
          <w:sz w:val="20"/>
          <w:szCs w:val="20"/>
          <w:color w:val="auto"/>
        </w:rPr>
      </w:pPr>
    </w:p>
    <w:p>
      <w:pPr>
        <w:jc w:val="both"/>
        <w:ind w:right="60" w:firstLine="436"/>
        <w:spacing w:after="0" w:line="262"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Issuer hereby agrees that it shall use commercially reasonable efforts to effect the settlement of any conversion of Class B Common Stock to Class A Common Stock within two (2) Business Days following the receipt of notice from the Stockholder that is the subject of such conversion.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intentionally left blank</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80"/>
          </w:cols>
          <w:pgMar w:left="500" w:top="267" w:right="519" w:bottom="1440" w:gutter="0" w:footer="0" w:header="0"/>
        </w:sectPr>
      </w:pPr>
    </w:p>
    <w:bookmarkStart w:id="399" w:name="page400"/>
    <w:bookmarkEnd w:id="399"/>
    <w:p>
      <w:pPr>
        <w:ind w:firstLine="436"/>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7">
                      <a:extLst>
                        <a:ext uri="{28A0092B-C50C-407E-A947-70E740481C1C}"/>
                      </a:extLst>
                    </a:blip>
                    <a:srcRect/>
                    <a:stretch>
                      <a:fillRect/>
                    </a:stretch>
                  </pic:blipFill>
                  <pic:spPr bwMode="auto">
                    <a:xfrm>
                      <a:off x="0" y="0"/>
                      <a:ext cx="7150735" cy="24765"/>
                    </a:xfrm>
                    <a:prstGeom prst="rect">
                      <a:avLst/>
                    </a:prstGeom>
                    <a:noFill/>
                  </pic:spPr>
                </pic:pic>
              </a:graphicData>
            </a:graphic>
          </wp:anchor>
        </w:drawing>
        <w:t>IN WITNESS WHEREOF, each of the undersigned has executed this Agreement or caused this Agreement to be executed on its behalf as of the date first written above.</w:t>
      </w:r>
    </w:p>
    <w:p>
      <w:pPr>
        <w:spacing w:after="0" w:line="18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22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8">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Exchange Agreement</w:t>
      </w:r>
      <w:r>
        <w:rPr>
          <w:rFonts w:ascii="Times New Roman" w:cs="Times New Roman" w:eastAsia="Times New Roman" w:hAnsi="Times New Roman"/>
          <w:sz w:val="18"/>
          <w:szCs w:val="18"/>
          <w:color w:val="auto"/>
        </w:rPr>
        <w:t>]</w:t>
      </w:r>
    </w:p>
    <w:p>
      <w:pPr>
        <w:sectPr>
          <w:pgSz w:w="11900" w:h="16838" w:orient="portrait"/>
          <w:cols w:equalWidth="0" w:num="1">
            <w:col w:w="10700"/>
          </w:cols>
          <w:pgMar w:left="500" w:top="267" w:right="699" w:bottom="1440" w:gutter="0" w:footer="0" w:header="0"/>
        </w:sectPr>
      </w:pPr>
    </w:p>
    <w:bookmarkStart w:id="400" w:name="page401"/>
    <w:bookmarkEnd w:id="400"/>
    <w:p>
      <w:pPr>
        <w:ind w:left="56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STOCKHOLDERS:</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SLP GEOLOGY AGGREGATOR, L.P.</w:t>
      </w:r>
    </w:p>
    <w:p>
      <w:pPr>
        <w:spacing w:after="0" w:line="2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SLP Geology GP, L.L.C., its general partner</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By: Silver Lake Technology Associates V, L.P., its managing</w:t>
      </w:r>
    </w:p>
    <w:p>
      <w:pPr>
        <w:spacing w:after="0" w:line="3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member</w:t>
      </w:r>
    </w:p>
    <w:p>
      <w:pPr>
        <w:spacing w:after="0" w:line="20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SLTA V (GP), L.L.C., its general partner</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Silver Lake Group, L.L.C., 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287655</wp:posOffset>
            </wp:positionV>
            <wp:extent cx="276542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0">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w:t>
      </w:r>
    </w:p>
    <w:p>
      <w:pPr>
        <w:spacing w:after="0" w:line="13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GoodRx Holdings, Inc. Stockholders Agreement</w:t>
      </w:r>
      <w:r>
        <w:rPr>
          <w:rFonts w:ascii="Times New Roman" w:cs="Times New Roman" w:eastAsia="Times New Roman" w:hAnsi="Times New Roman"/>
          <w:sz w:val="18"/>
          <w:szCs w:val="18"/>
          <w:color w:val="auto"/>
        </w:rPr>
        <w:t>]</w:t>
      </w:r>
    </w:p>
    <w:p>
      <w:pPr>
        <w:sectPr>
          <w:pgSz w:w="11900" w:h="16838" w:orient="portrait"/>
          <w:cols w:equalWidth="0" w:num="1">
            <w:col w:w="9940"/>
          </w:cols>
          <w:pgMar w:left="1440" w:top="264" w:right="519" w:bottom="1440" w:gutter="0" w:footer="0" w:header="0"/>
        </w:sectPr>
      </w:pPr>
    </w:p>
    <w:bookmarkStart w:id="401" w:name="page402"/>
    <w:bookmarkEnd w:id="401"/>
    <w:p>
      <w:pPr>
        <w:ind w:left="5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FRANCISCO PARTNERS IV, L.P.</w:t>
      </w:r>
    </w:p>
    <w:p>
      <w:pPr>
        <w:spacing w:after="0" w:line="2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Francisco Partners GP IV, L.P.</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By: Francisco Partners GP IV Management Limited</w:t>
      </w:r>
    </w:p>
    <w:p>
      <w:pPr>
        <w:spacing w:after="0" w:line="3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275590</wp:posOffset>
            </wp:positionV>
            <wp:extent cx="27654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2">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FRANCISCO PARTNERS IV-A, L.P.</w:t>
      </w:r>
    </w:p>
    <w:p>
      <w:pPr>
        <w:spacing w:after="0" w:line="2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Francisco Partners GP IV, L.P.</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By: Francisco Partners GP IV Management Limited</w:t>
      </w:r>
    </w:p>
    <w:p>
      <w:pPr>
        <w:spacing w:after="0" w:line="3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275590</wp:posOffset>
            </wp:positionV>
            <wp:extent cx="27654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3">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w:t>
      </w:r>
    </w:p>
    <w:p>
      <w:pPr>
        <w:spacing w:after="0" w:line="13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GoodRx Holdings, Inc. Stockholders Agreement</w:t>
      </w:r>
      <w:r>
        <w:rPr>
          <w:rFonts w:ascii="Times New Roman" w:cs="Times New Roman" w:eastAsia="Times New Roman" w:hAnsi="Times New Roman"/>
          <w:sz w:val="18"/>
          <w:szCs w:val="18"/>
          <w:color w:val="auto"/>
        </w:rPr>
        <w:t>]</w:t>
      </w:r>
    </w:p>
    <w:p>
      <w:pPr>
        <w:sectPr>
          <w:pgSz w:w="11900" w:h="16838" w:orient="portrait"/>
          <w:cols w:equalWidth="0" w:num="1">
            <w:col w:w="9300"/>
          </w:cols>
          <w:pgMar w:left="1440" w:top="264" w:right="1159" w:bottom="1440" w:gutter="0" w:footer="0" w:header="0"/>
        </w:sectPr>
      </w:pPr>
    </w:p>
    <w:bookmarkStart w:id="402" w:name="page403"/>
    <w:bookmarkEnd w:id="402"/>
    <w:p>
      <w:pPr>
        <w:ind w:left="56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SPECTRUM VII INVESTMENT MANAGERS’ FUND,</w:t>
      </w:r>
    </w:p>
    <w:p>
      <w:pPr>
        <w:spacing w:after="0" w:line="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0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SEA VII Management, LLC,</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275590</wp:posOffset>
            </wp:positionV>
            <wp:extent cx="27654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5">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SPECTRUM VII CO-INVESTMENT FUND, L.P.</w:t>
      </w:r>
    </w:p>
    <w:p>
      <w:pPr>
        <w:spacing w:after="0" w:line="2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SEA VII Management, LLC,</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275590</wp:posOffset>
            </wp:positionV>
            <wp:extent cx="27654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6">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w:t>
      </w:r>
    </w:p>
    <w:p>
      <w:pPr>
        <w:spacing w:after="0" w:line="13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GoodRx Holdings, Inc. Stockholders Agreement</w:t>
      </w:r>
      <w:r>
        <w:rPr>
          <w:rFonts w:ascii="Times New Roman" w:cs="Times New Roman" w:eastAsia="Times New Roman" w:hAnsi="Times New Roman"/>
          <w:sz w:val="18"/>
          <w:szCs w:val="18"/>
          <w:color w:val="auto"/>
        </w:rPr>
        <w:t>]</w:t>
      </w:r>
    </w:p>
    <w:p>
      <w:pPr>
        <w:sectPr>
          <w:pgSz w:w="11900" w:h="16838" w:orient="portrait"/>
          <w:cols w:equalWidth="0" w:num="1">
            <w:col w:w="9880"/>
          </w:cols>
          <w:pgMar w:left="1440" w:top="264" w:right="579" w:bottom="1440" w:gutter="0" w:footer="0" w:header="0"/>
        </w:sectPr>
      </w:pPr>
    </w:p>
    <w:bookmarkStart w:id="403" w:name="page404"/>
    <w:bookmarkEnd w:id="403"/>
    <w:p>
      <w:pPr>
        <w:ind w:left="5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SPECTRUM EQUITY VII, L.P.</w:t>
      </w:r>
    </w:p>
    <w:p>
      <w:pPr>
        <w:spacing w:after="0" w:line="2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By: Spectrum Equity Associates VII, L.P.,</w:t>
      </w:r>
    </w:p>
    <w:p>
      <w:pPr>
        <w:spacing w:after="0" w:line="3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SEA VII Management, LLC,</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275590</wp:posOffset>
            </wp:positionV>
            <wp:extent cx="276542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8">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GoodRx Holdings, Inc. Stockholders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4" w:right="1440" w:bottom="1440" w:gutter="0" w:footer="0" w:header="0"/>
        </w:sectPr>
      </w:pPr>
    </w:p>
    <w:bookmarkStart w:id="404" w:name="page405"/>
    <w:bookmarkEnd w:id="404"/>
    <w:p>
      <w:pPr>
        <w:jc w:val="right"/>
        <w:ind w:right="20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IDEA MEN,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290195</wp:posOffset>
            </wp:positionV>
            <wp:extent cx="276542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0">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GoodRx Holdings, Inc. Stockholders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4" w:right="1440" w:bottom="1440" w:gutter="0" w:footer="0" w:header="0"/>
        </w:sectPr>
      </w:pPr>
    </w:p>
    <w:bookmarkStart w:id="405" w:name="page406"/>
    <w:bookmarkEnd w:id="405"/>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OF JOINDER TO STOCKHOLDERS’ AGREEMENT</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This Joinder Agreement (this “</w:t>
      </w:r>
      <w:r>
        <w:rPr>
          <w:rFonts w:ascii="Times New Roman" w:cs="Times New Roman" w:eastAsia="Times New Roman" w:hAnsi="Times New Roman"/>
          <w:sz w:val="17"/>
          <w:szCs w:val="17"/>
          <w:u w:val="single" w:color="auto"/>
          <w:color w:val="auto"/>
        </w:rPr>
        <w:t>Joinder Agreement</w:t>
      </w:r>
      <w:r>
        <w:rPr>
          <w:rFonts w:ascii="Times New Roman" w:cs="Times New Roman" w:eastAsia="Times New Roman" w:hAnsi="Times New Roman"/>
          <w:sz w:val="17"/>
          <w:szCs w:val="17"/>
          <w:color w:val="auto"/>
        </w:rPr>
        <w:t>”) is made as of the date written below by the undersigned (the “</w:t>
      </w:r>
      <w:r>
        <w:rPr>
          <w:rFonts w:ascii="Times New Roman" w:cs="Times New Roman" w:eastAsia="Times New Roman" w:hAnsi="Times New Roman"/>
          <w:sz w:val="17"/>
          <w:szCs w:val="17"/>
          <w:u w:val="single" w:color="auto"/>
          <w:color w:val="auto"/>
        </w:rPr>
        <w:t>Joining Party</w:t>
      </w:r>
      <w:r>
        <w:rPr>
          <w:rFonts w:ascii="Times New Roman" w:cs="Times New Roman" w:eastAsia="Times New Roman" w:hAnsi="Times New Roman"/>
          <w:sz w:val="17"/>
          <w:szCs w:val="17"/>
          <w:color w:val="auto"/>
        </w:rPr>
        <w:t>”) in accordance</w:t>
      </w:r>
    </w:p>
    <w:p>
      <w:pPr>
        <w:spacing w:after="0" w:line="3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with the Stockholders’ Agreement dated as of [ ,] 2020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among GoodRx Holdings, Inc. and certain other persons named therein, as the same may be amended from time to time. Capitalized terms used, but not defined, herein shall have the meaning ascribed to such terms in the Stockholders’ Agreement.</w:t>
      </w:r>
    </w:p>
    <w:p>
      <w:pPr>
        <w:spacing w:after="0" w:line="187"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color w:val="auto"/>
        </w:rPr>
        <w:t>The Joining Party hereby acknowledges, agrees and confirms that, by its execution of this Joinder Agreement, the Joining Party shall be deemed to be a party to and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under the Stockholders’ Agreement as of the date hereof and shall have all of the rights and obligations of the Stockholder from whom it has acquired Shares (to the extent permitted by the Stockholders’ Agreement) as if it had executed the Stockholders’ Agreement. The Joining Party hereby ratifies, as of the date hereof, and agrees to be bound by, all of the terms, provisions and conditions contained in the Stockholders’ Agreement.</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WITNESS WHEREOF, the undersigned has executed this Joinder Agreement as of the date written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260" w:type="dxa"/>
            <w:vAlign w:val="bottom"/>
            <w:tcBorders>
              <w:bottom w:val="single" w:sz="8" w:color="auto"/>
            </w:tcBorders>
          </w:tcPr>
          <w:p>
            <w:pPr>
              <w:spacing w:after="0"/>
              <w:rPr>
                <w:sz w:val="17"/>
                <w:szCs w:val="17"/>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 20[●]</w:t>
            </w:r>
          </w:p>
        </w:tc>
      </w:tr>
    </w:tbl>
    <w:p>
      <w:pPr>
        <w:spacing w:after="0" w:line="2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OF JOINING PARTY]</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2">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ON THIS [●] day of [●], 20[●]:</w:t>
      </w:r>
    </w:p>
    <w:p>
      <w:pPr>
        <w:sectPr>
          <w:pgSz w:w="11900" w:h="16838" w:orient="portrait"/>
          <w:cols w:equalWidth="0" w:num="1">
            <w:col w:w="10780"/>
          </w:cols>
          <w:pgMar w:left="500" w:top="264" w:right="619" w:bottom="1440" w:gutter="0" w:footer="0" w:header="0"/>
        </w:sectPr>
      </w:pPr>
    </w:p>
    <w:bookmarkStart w:id="406" w:name="page407"/>
    <w:bookmarkEnd w:id="40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B</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DIRECTOR &amp; OFFICER INDEMNIFICATION AGREEMENT</w:t>
      </w:r>
    </w:p>
    <w:p>
      <w:pPr>
        <w:sectPr>
          <w:pgSz w:w="11900" w:h="16838" w:orient="portrait"/>
          <w:cols w:equalWidth="0" w:num="1">
            <w:col w:w="9019"/>
          </w:cols>
          <w:pgMar w:left="1440" w:top="264" w:right="1440" w:bottom="1440" w:gutter="0" w:footer="0" w:header="0"/>
        </w:sectPr>
      </w:pPr>
    </w:p>
    <w:bookmarkStart w:id="407" w:name="page408"/>
    <w:bookmarkEnd w:id="40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1"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53rd at Third</w:t>
      </w:r>
    </w:p>
    <w:p>
      <w:pPr>
        <w:spacing w:after="0" w:line="2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885 Third Avenue</w:t>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New York, New York 10022-4834</w:t>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Tel: +1.212.906.1200 Fax: +1.212.751.4864</w:t>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2069465" cy="2120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4">
                      <a:extLst>
                        <a:ext uri="{28A0092B-C50C-407E-A947-70E740481C1C}"/>
                      </a:extLst>
                    </a:blip>
                    <a:srcRect/>
                    <a:stretch>
                      <a:fillRect/>
                    </a:stretch>
                  </pic:blipFill>
                  <pic:spPr bwMode="auto">
                    <a:xfrm>
                      <a:off x="0" y="0"/>
                      <a:ext cx="2069465" cy="2120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00" w:type="dxa"/>
            <w:vAlign w:val="bottom"/>
          </w:tcPr>
          <w:p>
            <w:pPr>
              <w:spacing w:after="0"/>
              <w:rPr>
                <w:sz w:val="19"/>
                <w:szCs w:val="19"/>
                <w:color w:val="auto"/>
              </w:rPr>
            </w:pPr>
          </w:p>
        </w:tc>
        <w:tc>
          <w:tcPr>
            <w:tcW w:w="484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FIRM / AFFILIATE OFFICES</w:t>
            </w:r>
          </w:p>
        </w:tc>
      </w:tr>
      <w:tr>
        <w:trPr>
          <w:trHeight w:val="214"/>
        </w:trPr>
        <w:tc>
          <w:tcPr>
            <w:tcW w:w="4500" w:type="dxa"/>
            <w:vAlign w:val="bottom"/>
          </w:tcPr>
          <w:p>
            <w:pPr>
              <w:spacing w:after="0"/>
              <w:rPr>
                <w:sz w:val="18"/>
                <w:szCs w:val="18"/>
                <w:color w:val="auto"/>
              </w:rPr>
            </w:pPr>
          </w:p>
        </w:tc>
        <w:tc>
          <w:tcPr>
            <w:tcW w:w="34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Beijing</w:t>
            </w: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Moscow</w:t>
            </w:r>
          </w:p>
        </w:tc>
      </w:tr>
      <w:tr>
        <w:trPr>
          <w:trHeight w:val="214"/>
        </w:trPr>
        <w:tc>
          <w:tcPr>
            <w:tcW w:w="4500" w:type="dxa"/>
            <w:vAlign w:val="bottom"/>
          </w:tcPr>
          <w:p>
            <w:pPr>
              <w:spacing w:after="0"/>
              <w:rPr>
                <w:sz w:val="18"/>
                <w:szCs w:val="18"/>
                <w:color w:val="auto"/>
              </w:rPr>
            </w:pPr>
          </w:p>
        </w:tc>
        <w:tc>
          <w:tcPr>
            <w:tcW w:w="34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Boston</w:t>
            </w: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Munich</w:t>
            </w:r>
          </w:p>
        </w:tc>
      </w:tr>
      <w:tr>
        <w:trPr>
          <w:trHeight w:val="214"/>
        </w:trPr>
        <w:tc>
          <w:tcPr>
            <w:tcW w:w="4500" w:type="dxa"/>
            <w:vAlign w:val="bottom"/>
          </w:tcPr>
          <w:p>
            <w:pPr>
              <w:spacing w:after="0"/>
              <w:rPr>
                <w:sz w:val="18"/>
                <w:szCs w:val="18"/>
                <w:color w:val="auto"/>
              </w:rPr>
            </w:pPr>
          </w:p>
        </w:tc>
        <w:tc>
          <w:tcPr>
            <w:tcW w:w="34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Brussels</w:t>
            </w: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York</w:t>
            </w:r>
          </w:p>
        </w:tc>
      </w:tr>
      <w:tr>
        <w:trPr>
          <w:trHeight w:val="21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September 14, 2020</w:t>
            </w:r>
          </w:p>
        </w:tc>
        <w:tc>
          <w:tcPr>
            <w:tcW w:w="34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Century City</w:t>
            </w: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4"/>
        </w:trPr>
        <w:tc>
          <w:tcPr>
            <w:tcW w:w="4500" w:type="dxa"/>
            <w:vAlign w:val="bottom"/>
          </w:tcPr>
          <w:p>
            <w:pPr>
              <w:spacing w:after="0"/>
              <w:rPr>
                <w:sz w:val="18"/>
                <w:szCs w:val="18"/>
                <w:color w:val="auto"/>
              </w:rPr>
            </w:pPr>
          </w:p>
        </w:tc>
        <w:tc>
          <w:tcPr>
            <w:tcW w:w="34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Chicago</w:t>
            </w: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Paris</w:t>
            </w:r>
          </w:p>
        </w:tc>
      </w:tr>
      <w:tr>
        <w:trPr>
          <w:trHeight w:val="214"/>
        </w:trPr>
        <w:tc>
          <w:tcPr>
            <w:tcW w:w="4500" w:type="dxa"/>
            <w:vAlign w:val="bottom"/>
          </w:tcPr>
          <w:p>
            <w:pPr>
              <w:spacing w:after="0"/>
              <w:rPr>
                <w:sz w:val="18"/>
                <w:szCs w:val="18"/>
                <w:color w:val="auto"/>
              </w:rPr>
            </w:pPr>
          </w:p>
        </w:tc>
        <w:tc>
          <w:tcPr>
            <w:tcW w:w="34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Dubai</w:t>
            </w: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Riyadh</w:t>
            </w:r>
          </w:p>
        </w:tc>
      </w:tr>
      <w:tr>
        <w:trPr>
          <w:trHeight w:val="214"/>
        </w:trPr>
        <w:tc>
          <w:tcPr>
            <w:tcW w:w="4500" w:type="dxa"/>
            <w:vAlign w:val="bottom"/>
          </w:tcPr>
          <w:p>
            <w:pPr>
              <w:spacing w:after="0"/>
              <w:rPr>
                <w:sz w:val="18"/>
                <w:szCs w:val="18"/>
                <w:color w:val="auto"/>
              </w:rPr>
            </w:pPr>
          </w:p>
        </w:tc>
        <w:tc>
          <w:tcPr>
            <w:tcW w:w="34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Düsseldorf</w:t>
            </w: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San Diego</w:t>
            </w:r>
          </w:p>
        </w:tc>
      </w:tr>
      <w:tr>
        <w:trPr>
          <w:trHeight w:val="214"/>
        </w:trPr>
        <w:tc>
          <w:tcPr>
            <w:tcW w:w="4500" w:type="dxa"/>
            <w:vAlign w:val="bottom"/>
          </w:tcPr>
          <w:p>
            <w:pPr>
              <w:spacing w:after="0"/>
              <w:rPr>
                <w:sz w:val="18"/>
                <w:szCs w:val="18"/>
                <w:color w:val="auto"/>
              </w:rPr>
            </w:pPr>
          </w:p>
        </w:tc>
        <w:tc>
          <w:tcPr>
            <w:tcW w:w="34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Frankfurt</w:t>
            </w: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4"/>
        </w:trPr>
        <w:tc>
          <w:tcPr>
            <w:tcW w:w="4500" w:type="dxa"/>
            <w:vAlign w:val="bottom"/>
          </w:tcPr>
          <w:p>
            <w:pPr>
              <w:spacing w:after="0"/>
              <w:rPr>
                <w:sz w:val="18"/>
                <w:szCs w:val="18"/>
                <w:color w:val="auto"/>
              </w:rPr>
            </w:pPr>
          </w:p>
        </w:tc>
        <w:tc>
          <w:tcPr>
            <w:tcW w:w="34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Hamburg</w:t>
            </w: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Seoul</w:t>
            </w:r>
          </w:p>
        </w:tc>
      </w:tr>
      <w:tr>
        <w:trPr>
          <w:trHeight w:val="214"/>
        </w:trPr>
        <w:tc>
          <w:tcPr>
            <w:tcW w:w="4500" w:type="dxa"/>
            <w:vAlign w:val="bottom"/>
          </w:tcPr>
          <w:p>
            <w:pPr>
              <w:spacing w:after="0"/>
              <w:rPr>
                <w:sz w:val="18"/>
                <w:szCs w:val="18"/>
                <w:color w:val="auto"/>
              </w:rPr>
            </w:pPr>
          </w:p>
        </w:tc>
        <w:tc>
          <w:tcPr>
            <w:tcW w:w="34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Hong Kong</w:t>
            </w: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Shanghai</w:t>
            </w:r>
          </w:p>
        </w:tc>
      </w:tr>
      <w:tr>
        <w:trPr>
          <w:trHeight w:val="21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GoodRx Holdings, Inc.</w:t>
            </w:r>
          </w:p>
        </w:tc>
        <w:tc>
          <w:tcPr>
            <w:tcW w:w="34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Houston</w:t>
            </w: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233 Wilshire Blvd., Suite 990</w:t>
            </w:r>
          </w:p>
        </w:tc>
        <w:tc>
          <w:tcPr>
            <w:tcW w:w="34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London</w:t>
            </w: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Singapore</w:t>
            </w:r>
          </w:p>
        </w:tc>
      </w:tr>
      <w:tr>
        <w:trPr>
          <w:trHeight w:val="21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Santa Monica, CA 90401</w:t>
            </w:r>
          </w:p>
        </w:tc>
        <w:tc>
          <w:tcPr>
            <w:tcW w:w="34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Los Angeles</w:t>
            </w: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Tokyo</w:t>
            </w:r>
          </w:p>
        </w:tc>
      </w:tr>
      <w:tr>
        <w:trPr>
          <w:trHeight w:val="214"/>
        </w:trPr>
        <w:tc>
          <w:tcPr>
            <w:tcW w:w="4500" w:type="dxa"/>
            <w:vAlign w:val="bottom"/>
          </w:tcPr>
          <w:p>
            <w:pPr>
              <w:spacing w:after="0"/>
              <w:rPr>
                <w:sz w:val="18"/>
                <w:szCs w:val="18"/>
                <w:color w:val="auto"/>
              </w:rPr>
            </w:pPr>
          </w:p>
        </w:tc>
        <w:tc>
          <w:tcPr>
            <w:tcW w:w="34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Madrid</w:t>
            </w: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Washington, D.C.</w:t>
            </w:r>
          </w:p>
        </w:tc>
      </w:tr>
      <w:tr>
        <w:trPr>
          <w:trHeight w:val="233"/>
        </w:trPr>
        <w:tc>
          <w:tcPr>
            <w:tcW w:w="4500" w:type="dxa"/>
            <w:vAlign w:val="bottom"/>
          </w:tcPr>
          <w:p>
            <w:pPr>
              <w:spacing w:after="0"/>
              <w:rPr>
                <w:sz w:val="20"/>
                <w:szCs w:val="20"/>
                <w:color w:val="auto"/>
              </w:rPr>
            </w:pPr>
          </w:p>
        </w:tc>
        <w:tc>
          <w:tcPr>
            <w:tcW w:w="34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Milan</w:t>
            </w:r>
          </w:p>
        </w:tc>
        <w:tc>
          <w:tcPr>
            <w:tcW w:w="1400" w:type="dxa"/>
            <w:vAlign w:val="bottom"/>
          </w:tcPr>
          <w:p>
            <w:pPr>
              <w:spacing w:after="0"/>
              <w:rPr>
                <w:sz w:val="20"/>
                <w:szCs w:val="20"/>
                <w:color w:val="auto"/>
              </w:rPr>
            </w:pPr>
          </w:p>
        </w:tc>
      </w:tr>
    </w:tbl>
    <w:p>
      <w:pPr>
        <w:spacing w:after="0" w:line="222"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Registration Statement No. 333-248465;</w:t>
      </w:r>
    </w:p>
    <w:p>
      <w:pPr>
        <w:spacing w:after="0" w:line="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auto"/>
        </w:rPr>
        <w:t>39,807,691 shares of Class A common stock of GoodRx Holdings,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6"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We have acted as special counsel to GoodRx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proposed registration of up to 39,807,691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Class A common stock, par value $0.0001 per share, which include up to 28,615,034 shares of Class A common stock to be issued and sold by the Company (the “</w:t>
      </w:r>
      <w:r>
        <w:rPr>
          <w:rFonts w:ascii="Times New Roman" w:cs="Times New Roman" w:eastAsia="Times New Roman" w:hAnsi="Times New Roman"/>
          <w:sz w:val="18"/>
          <w:szCs w:val="18"/>
          <w:b w:val="1"/>
          <w:bCs w:val="1"/>
          <w:i w:val="1"/>
          <w:iCs w:val="1"/>
          <w:color w:val="auto"/>
        </w:rPr>
        <w:t>Company Shares</w:t>
      </w:r>
      <w:r>
        <w:rPr>
          <w:rFonts w:ascii="Times New Roman" w:cs="Times New Roman" w:eastAsia="Times New Roman" w:hAnsi="Times New Roman"/>
          <w:sz w:val="18"/>
          <w:szCs w:val="18"/>
          <w:color w:val="auto"/>
        </w:rPr>
        <w:t>”) and up to 11,192,657 shares of Class A common stock to be sold by certain selling stockholders (the “</w:t>
      </w:r>
      <w:r>
        <w:rPr>
          <w:rFonts w:ascii="Times New Roman" w:cs="Times New Roman" w:eastAsia="Times New Roman" w:hAnsi="Times New Roman"/>
          <w:sz w:val="18"/>
          <w:szCs w:val="18"/>
          <w:b w:val="1"/>
          <w:bCs w:val="1"/>
          <w:i w:val="1"/>
          <w:iCs w:val="1"/>
          <w:color w:val="auto"/>
        </w:rPr>
        <w:t>Stockholder Shares</w:t>
      </w:r>
      <w:r>
        <w:rPr>
          <w:rFonts w:ascii="Times New Roman" w:cs="Times New Roman" w:eastAsia="Times New Roman" w:hAnsi="Times New Roman"/>
          <w:sz w:val="18"/>
          <w:szCs w:val="18"/>
          <w:color w:val="auto"/>
        </w:rPr>
        <w:t>”). The Shares are included in a registration statement on Form S-1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initially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August 28, 2020 (Registration No. 333-248465) (as amended,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The term “Shares” shall include any additional shares of common stock registered by the Company pursuant to Rule 462(b) under the Act in connection with the offering contemplated by the Registration Statement.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pacing w:after="0" w:line="190" w:lineRule="exact"/>
        <w:rPr>
          <w:sz w:val="20"/>
          <w:szCs w:val="20"/>
          <w:color w:val="auto"/>
        </w:rPr>
      </w:pPr>
    </w:p>
    <w:p>
      <w:pPr>
        <w:ind w:right="160" w:firstLine="436"/>
        <w:spacing w:after="0" w:line="257"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General Corporation Law of the State of Delaware, and we express no opinion with respect to any other laws.</w:t>
      </w:r>
    </w:p>
    <w:p>
      <w:pPr>
        <w:spacing w:after="0" w:line="182" w:lineRule="exact"/>
        <w:rPr>
          <w:sz w:val="20"/>
          <w:szCs w:val="20"/>
          <w:color w:val="auto"/>
        </w:rPr>
      </w:pPr>
    </w:p>
    <w:p>
      <w:pPr>
        <w:jc w:val="both"/>
        <w:ind w:right="400" w:firstLine="436"/>
        <w:spacing w:after="0" w:line="262"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(i) when the amended and restated certificate of incorporation of the Company in the form most recently filed as an exhibit to the Registration Statement (the “</w:t>
      </w:r>
      <w:r>
        <w:rPr>
          <w:rFonts w:ascii="Times New Roman" w:cs="Times New Roman" w:eastAsia="Times New Roman" w:hAnsi="Times New Roman"/>
          <w:sz w:val="18"/>
          <w:szCs w:val="18"/>
          <w:b w:val="1"/>
          <w:bCs w:val="1"/>
          <w:i w:val="1"/>
          <w:iCs w:val="1"/>
          <w:color w:val="auto"/>
        </w:rPr>
        <w:t>Amended and 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has been duly filed with the Secretary of State of the</w:t>
      </w:r>
    </w:p>
    <w:p>
      <w:pPr>
        <w:sectPr>
          <w:pgSz w:w="11900" w:h="16838" w:orient="portrait"/>
          <w:cols w:equalWidth="0" w:num="1">
            <w:col w:w="10900"/>
          </w:cols>
          <w:pgMar w:left="500" w:top="117" w:right="49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September 14, 2020</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156845</wp:posOffset>
            </wp:positionV>
            <wp:extent cx="1374140" cy="1016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6">
                      <a:extLst>
                        <a:ext uri="{28A0092B-C50C-407E-A947-70E740481C1C}"/>
                      </a:extLst>
                    </a:blip>
                    <a:srcRect/>
                    <a:stretch>
                      <a:fillRect/>
                    </a:stretch>
                  </pic:blipFill>
                  <pic:spPr bwMode="auto">
                    <a:xfrm>
                      <a:off x="0" y="0"/>
                      <a:ext cx="1374140" cy="10160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State of Delaware and when the Company Shares shall have been duly registered on the books of the transfer agent and registrar therefor in the name or on behalf of the purchasers and have been issued by the Company against payment therefor (not less than par value) in the circumstances contemplated by the form of underwriting agreement most recently filed as an exhibit to the Registration Statement, the issue and sale of the Company Shares will have been duly authorized by all necessary corporate action of the Company and the Company Shares will be validly issued, fully paid and nonassessable and (ii) when the Amended and Restated Certificate of Incorporation has been duly filed with the Secretary of State of the State of Delaware, the Stockholder Shares will have been duly authorized by all necessary corporate action of the Company and will be validly issued, fully paid and non-assessable; provided, however, that with respect to those Stockholder Shares to be sold by certain selling stockholders that will be issued upon the exercise of vested options prior to such sale, such Stockholder Shares will be validly issued, fully paid and non-assessable upon the exercise and payment in compliance with the terms of the agreements pursuant to which such Stockholder Shares are to be issued prior to the completion of the offering that is the subject of the Registration Statement. In rendering the foregoing opinion, we have assumed that the Company will comply with all applicable notice requirements regarding uncertificated shares provided in the General Corporation Law of the State of Delaware.</w:t>
      </w:r>
    </w:p>
    <w:p>
      <w:pPr>
        <w:spacing w:after="0" w:line="193"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We further consent to the incorporation by reference of this letter and consent into any registration statement filed pursuant to Rule 462(b) with respect to the Shares. In giving such consent, we do not thereby admit that we are in the category of persons whose consent is required under Section 7 of the Act or the rules and regulations of the Commission thereunder.</w:t>
      </w:r>
    </w:p>
    <w:p>
      <w:pPr>
        <w:spacing w:after="0" w:line="18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Latham &amp; Watkins LLP</w:t>
      </w:r>
    </w:p>
    <w:p>
      <w:pPr>
        <w:sectPr>
          <w:pgSz w:w="11900" w:h="16838" w:orient="portrait"/>
          <w:cols w:equalWidth="0" w:num="1">
            <w:col w:w="10860"/>
          </w:cols>
          <w:pgMar w:left="500" w:top="264" w:right="539" w:bottom="1440" w:gutter="0" w:footer="0" w:header="0"/>
        </w:sectPr>
      </w:pPr>
    </w:p>
    <w:bookmarkStart w:id="409" w:name="page410"/>
    <w:bookmarkEnd w:id="409"/>
    <w:tbl>
      <w:tblPr>
        <w:tblLayout w:type="fixed"/>
        <w:tblInd w:w="0" w:type="dxa"/>
        <w:tblCellMar>
          <w:top w:w="0" w:type="dxa"/>
          <w:left w:w="0" w:type="dxa"/>
          <w:bottom w:w="0" w:type="dxa"/>
          <w:right w:w="0" w:type="dxa"/>
        </w:tblCellMar>
      </w:tblPr>
      <w:tr>
        <w:trPr>
          <w:trHeight w:val="237"/>
        </w:trPr>
        <w:tc>
          <w:tcPr>
            <w:tcW w:w="7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2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w w:val="96"/>
              </w:rPr>
              <w:t>Exhibit 10.1</w:t>
            </w:r>
          </w:p>
        </w:tc>
      </w:tr>
      <w:tr>
        <w:trPr>
          <w:trHeight w:val="427"/>
        </w:trPr>
        <w:tc>
          <w:tcPr>
            <w:tcW w:w="7740" w:type="dxa"/>
            <w:vAlign w:val="bottom"/>
          </w:tcPr>
          <w:p>
            <w:pPr>
              <w:jc w:val="center"/>
              <w:ind w:left="3051"/>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OOD</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X</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27"/>
        </w:trPr>
        <w:tc>
          <w:tcPr>
            <w:tcW w:w="7740" w:type="dxa"/>
            <w:vAlign w:val="bottom"/>
          </w:tcPr>
          <w:p>
            <w:pPr>
              <w:jc w:val="center"/>
              <w:ind w:left="3071"/>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NDEMNIFICATION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tc>
        <w:tc>
          <w:tcPr>
            <w:tcW w:w="5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87"/>
        </w:trPr>
        <w:tc>
          <w:tcPr>
            <w:tcW w:w="774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THIS INDEMNIFICATION AGREEMENT (the “</w:t>
            </w:r>
            <w:r>
              <w:rPr>
                <w:rFonts w:ascii="Times New Roman" w:cs="Times New Roman" w:eastAsia="Times New Roman" w:hAnsi="Times New Roman"/>
                <w:sz w:val="18"/>
                <w:szCs w:val="18"/>
                <w:b w:val="1"/>
                <w:bCs w:val="1"/>
                <w:i w:val="1"/>
                <w:iCs w:val="1"/>
                <w:color w:val="auto"/>
                <w:w w:val="98"/>
              </w:rPr>
              <w:t>Agreement</w:t>
            </w:r>
            <w:r>
              <w:rPr>
                <w:rFonts w:ascii="Times New Roman" w:cs="Times New Roman" w:eastAsia="Times New Roman" w:hAnsi="Times New Roman"/>
                <w:sz w:val="18"/>
                <w:szCs w:val="18"/>
                <w:color w:val="auto"/>
                <w:w w:val="98"/>
              </w:rPr>
              <w:t>”) is made and entered into as of</w:t>
            </w:r>
          </w:p>
        </w:tc>
        <w:tc>
          <w:tcPr>
            <w:tcW w:w="3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9"/>
              </w:rPr>
              <w:t>, 20[20] between GoodRx Holdings,</w:t>
            </w: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[Name]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spacing w:after="0"/>
              <w:rPr>
                <w:sz w:val="20"/>
                <w:szCs w:val="20"/>
                <w:color w:val="auto"/>
              </w:rPr>
            </w:pPr>
          </w:p>
        </w:tc>
        <w:tc>
          <w:tcPr>
            <w:tcW w:w="2620" w:type="dxa"/>
            <w:vAlign w:val="bottom"/>
          </w:tcPr>
          <w:p>
            <w:pPr>
              <w:spacing w:after="0"/>
              <w:rPr>
                <w:sz w:val="20"/>
                <w:szCs w:val="20"/>
                <w:color w:val="auto"/>
              </w:rPr>
            </w:pPr>
          </w:p>
        </w:tc>
      </w:tr>
      <w:tr>
        <w:trPr>
          <w:trHeight w:val="427"/>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WITNESSETH THAT:</w:t>
            </w:r>
          </w:p>
        </w:tc>
        <w:tc>
          <w:tcPr>
            <w:tcW w:w="54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pacing w:after="0" w:line="195" w:lineRule="exact"/>
        <w:rPr>
          <w:sz w:val="20"/>
          <w:szCs w:val="20"/>
          <w:color w:val="auto"/>
        </w:rPr>
      </w:pPr>
    </w:p>
    <w:p>
      <w:pPr>
        <w:ind w:right="120" w:firstLine="436"/>
        <w:spacing w:after="0" w:line="262" w:lineRule="auto"/>
        <w:rPr>
          <w:sz w:val="20"/>
          <w:szCs w:val="20"/>
          <w:color w:val="auto"/>
        </w:rPr>
      </w:pPr>
      <w:r>
        <w:rPr>
          <w:rFonts w:ascii="Times New Roman" w:cs="Times New Roman" w:eastAsia="Times New Roman" w:hAnsi="Times New Roman"/>
          <w:sz w:val="18"/>
          <w:szCs w:val="18"/>
          <w:color w:val="auto"/>
        </w:rPr>
        <w:t>WHEREAS, highly competent persons have become more reluctant to serve corporations as directors, officers or in other capacities unless they are provided with adequate protection through insurance or adequate indemnification against inordinate risks of claims and actions against them arising out of their service to and activities on behalf of the corporation;</w:t>
      </w:r>
    </w:p>
    <w:p>
      <w:pPr>
        <w:spacing w:after="0" w:line="173"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of the Company require indemnification of the officers and directors of the Company. Indemnitee may also be entitled to indemnification pursuant to the General Corporation Law of the State of Delaware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Bylaws and the DGCL expressly provide that the indemnification provisions set forth therein are not exclusive, and thereby contemplate that contracts may be entered into between the Company and members of the Board, officers and other persons with respect to indemnification;</w:t>
      </w:r>
    </w:p>
    <w:p>
      <w:pPr>
        <w:spacing w:after="0" w:line="188" w:lineRule="exact"/>
        <w:rPr>
          <w:sz w:val="20"/>
          <w:szCs w:val="20"/>
          <w:color w:val="auto"/>
        </w:rPr>
      </w:pPr>
    </w:p>
    <w:p>
      <w:pPr>
        <w:ind w:right="500" w:firstLine="436"/>
        <w:spacing w:after="0" w:line="277" w:lineRule="auto"/>
        <w:rPr>
          <w:sz w:val="20"/>
          <w:szCs w:val="20"/>
          <w:color w:val="auto"/>
        </w:rPr>
      </w:pPr>
      <w:r>
        <w:rPr>
          <w:rFonts w:ascii="Times New Roman" w:cs="Times New Roman" w:eastAsia="Times New Roman" w:hAnsi="Times New Roman"/>
          <w:sz w:val="18"/>
          <w:szCs w:val="18"/>
          <w:color w:val="auto"/>
        </w:rPr>
        <w:t>WHEREAS, the uncertainties relating to such insurance and to indemnification have increased the difficulty of attracting and retaining such persons;</w:t>
      </w:r>
    </w:p>
    <w:p>
      <w:pPr>
        <w:spacing w:after="0" w:line="163" w:lineRule="exact"/>
        <w:rPr>
          <w:sz w:val="20"/>
          <w:szCs w:val="20"/>
          <w:color w:val="auto"/>
        </w:rPr>
      </w:pPr>
    </w:p>
    <w:p>
      <w:pPr>
        <w:ind w:right="240" w:firstLine="436"/>
        <w:spacing w:after="0" w:line="262" w:lineRule="auto"/>
        <w:rPr>
          <w:sz w:val="20"/>
          <w:szCs w:val="20"/>
          <w:color w:val="auto"/>
        </w:rPr>
      </w:pPr>
      <w:r>
        <w:rPr>
          <w:rFonts w:ascii="Times New Roman" w:cs="Times New Roman" w:eastAsia="Times New Roman" w:hAnsi="Times New Roman"/>
          <w:sz w:val="18"/>
          <w:szCs w:val="18"/>
          <w:color w:val="auto"/>
        </w:rPr>
        <w:t>WHEREAS,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w:t>
      </w:r>
    </w:p>
    <w:p>
      <w:pPr>
        <w:spacing w:after="0" w:line="177" w:lineRule="exact"/>
        <w:rPr>
          <w:sz w:val="20"/>
          <w:szCs w:val="20"/>
          <w:color w:val="auto"/>
        </w:rPr>
      </w:pPr>
    </w:p>
    <w:p>
      <w:pPr>
        <w:ind w:right="340" w:firstLine="436"/>
        <w:spacing w:after="0" w:line="262" w:lineRule="auto"/>
        <w:rPr>
          <w:sz w:val="20"/>
          <w:szCs w:val="20"/>
          <w:color w:val="auto"/>
        </w:rPr>
      </w:pPr>
      <w:r>
        <w:rPr>
          <w:rFonts w:ascii="Times New Roman" w:cs="Times New Roman" w:eastAsia="Times New Roman" w:hAnsi="Times New Roman"/>
          <w:sz w:val="18"/>
          <w:szCs w:val="18"/>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77" w:lineRule="exact"/>
        <w:rPr>
          <w:sz w:val="20"/>
          <w:szCs w:val="20"/>
          <w:color w:val="auto"/>
        </w:rPr>
      </w:pPr>
    </w:p>
    <w:p>
      <w:pPr>
        <w:ind w:right="100" w:firstLine="436"/>
        <w:spacing w:after="0" w:line="262" w:lineRule="auto"/>
        <w:rPr>
          <w:sz w:val="20"/>
          <w:szCs w:val="20"/>
          <w:color w:val="auto"/>
        </w:rPr>
      </w:pPr>
      <w:r>
        <w:rPr>
          <w:rFonts w:ascii="Times New Roman" w:cs="Times New Roman" w:eastAsia="Times New Roman" w:hAnsi="Times New Roman"/>
          <w:sz w:val="18"/>
          <w:szCs w:val="18"/>
          <w:color w:val="auto"/>
        </w:rPr>
        <w:t>WHEREAS, the Company desires to provide such persons with rights to indemnification and advancement of expenses that are in addition to and in furtherance of the rights provided by the DGCL and the Bylaws of the Company and any resolutions adopted pursuant thereto, and shall not be deemed a substitute therefor, nor to diminish or abrogate any rights of Indemnitee thereunder; [and]</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500" w:top="117" w:right="499" w:bottom="1440" w:gutter="0" w:footer="0" w:header="0"/>
        </w:sectPr>
      </w:pPr>
    </w:p>
    <w:bookmarkStart w:id="410" w:name="page411"/>
    <w:bookmarkEnd w:id="410"/>
    <w:p>
      <w:pPr>
        <w:ind w:right="180" w:firstLine="436"/>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WHEREAS, Indemnitee does not regard the protection available under the Company’s Bylaws and insurance as adequate in the present circumstances, and may not be willing to serve as an officer or director without adequate protection, and the Company desires Indemnitee to serve in such capacity. Indemnitee is willing to serve, continue to serve and to take on additional service for or on behalf of the Company on the condition that [he][she] be so indemnified [; and]</w:t>
      </w:r>
    </w:p>
    <w:p>
      <w:pPr>
        <w:spacing w:after="0" w:line="182"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8"/>
          <w:szCs w:val="18"/>
          <w:color w:val="auto"/>
        </w:rPr>
        <w:t>[WHEREAS, Indemnitee has certain rights to indemnification and/or insurance provided by [NAME] which Indemnitee and [NAME] intend to be secondary to the primary obligation of the Company to indemnify Indemnitee as provided herein, with the Company’s acknowledgement and agreement to the foregoing being a material condition to Indemnitee’s willingness to serve on the Board].</w:t>
      </w:r>
    </w:p>
    <w:p>
      <w:pPr>
        <w:spacing w:after="0" w:line="177" w:lineRule="exact"/>
        <w:rPr>
          <w:sz w:val="20"/>
          <w:szCs w:val="20"/>
          <w:color w:val="auto"/>
        </w:rPr>
      </w:pPr>
    </w:p>
    <w:p>
      <w:pPr>
        <w:ind w:right="420" w:firstLine="436"/>
        <w:spacing w:after="0" w:line="277" w:lineRule="auto"/>
        <w:rPr>
          <w:sz w:val="20"/>
          <w:szCs w:val="20"/>
          <w:color w:val="auto"/>
        </w:rPr>
      </w:pPr>
      <w:r>
        <w:rPr>
          <w:rFonts w:ascii="Times New Roman" w:cs="Times New Roman" w:eastAsia="Times New Roman" w:hAnsi="Times New Roman"/>
          <w:sz w:val="18"/>
          <w:szCs w:val="18"/>
          <w:color w:val="auto"/>
        </w:rPr>
        <w:t>NOW, THEREFORE, in consideration of Indemnitee’s agreement to serve as an officer or director from and after the date hereof, the parties hereto agree as follows:</w:t>
      </w:r>
    </w:p>
    <w:p>
      <w:pPr>
        <w:spacing w:after="0" w:line="163" w:lineRule="exact"/>
        <w:rPr>
          <w:sz w:val="20"/>
          <w:szCs w:val="20"/>
          <w:color w:val="auto"/>
        </w:rPr>
      </w:pPr>
    </w:p>
    <w:p>
      <w:pPr>
        <w:ind w:right="160" w:firstLine="975"/>
        <w:spacing w:after="0" w:line="277" w:lineRule="auto"/>
        <w:tabs>
          <w:tab w:leader="none" w:pos="1292"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 of Indemnitee</w:t>
      </w:r>
      <w:r>
        <w:rPr>
          <w:rFonts w:ascii="Times New Roman" w:cs="Times New Roman" w:eastAsia="Times New Roman" w:hAnsi="Times New Roman"/>
          <w:sz w:val="18"/>
          <w:szCs w:val="18"/>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163" w:lineRule="exact"/>
        <w:rPr>
          <w:rFonts w:ascii="Times New Roman" w:cs="Times New Roman" w:eastAsia="Times New Roman" w:hAnsi="Times New Roman"/>
          <w:sz w:val="18"/>
          <w:szCs w:val="18"/>
          <w:color w:val="auto"/>
        </w:rPr>
      </w:pPr>
    </w:p>
    <w:p>
      <w:pPr>
        <w:ind w:right="20" w:firstLine="1411"/>
        <w:spacing w:after="0" w:line="255" w:lineRule="auto"/>
        <w:tabs>
          <w:tab w:leader="none" w:pos="1793"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Other Than Proceedings by or in the Right of the Company</w:t>
      </w:r>
      <w:r>
        <w:rPr>
          <w:rFonts w:ascii="Times New Roman" w:cs="Times New Roman" w:eastAsia="Times New Roman" w:hAnsi="Times New Roman"/>
          <w:sz w:val="18"/>
          <w:szCs w:val="18"/>
          <w:color w:val="auto"/>
        </w:rPr>
        <w:t xml:space="preserve">. Indemnitee shall be entitled to the rights of indemnification provided in this </w:t>
      </w:r>
      <w:r>
        <w:rPr>
          <w:rFonts w:ascii="Times New Roman" w:cs="Times New Roman" w:eastAsia="Times New Roman" w:hAnsi="Times New Roman"/>
          <w:sz w:val="18"/>
          <w:szCs w:val="18"/>
          <w:u w:val="single" w:color="auto"/>
          <w:color w:val="auto"/>
        </w:rPr>
        <w:t>Section l(a)</w:t>
      </w:r>
      <w:r>
        <w:rPr>
          <w:rFonts w:ascii="Times New Roman" w:cs="Times New Roman" w:eastAsia="Times New Roman" w:hAnsi="Times New Roman"/>
          <w:sz w:val="18"/>
          <w:szCs w:val="18"/>
          <w:color w:val="auto"/>
        </w:rPr>
        <w:t xml:space="preserve"> if, by reason of his Corporate Status (as hereinafter defined), the Indemnitee is, or is threatened to be made, a party to or participant in any Proceeding (as hereinafter defined) other than a Proceeding by or in the right of the Company. Pursuant to this</w:t>
      </w:r>
    </w:p>
    <w:p>
      <w:pPr>
        <w:ind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Indemnitee shall be indemnified against all Expenses (as hereinafter defined), judgments, penalties, fines and amounts paid in settlement actually and reasonably incurred by him, or on his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spacing w:after="0" w:line="187" w:lineRule="exact"/>
        <w:rPr>
          <w:rFonts w:ascii="Times New Roman" w:cs="Times New Roman" w:eastAsia="Times New Roman" w:hAnsi="Times New Roman"/>
          <w:sz w:val="18"/>
          <w:szCs w:val="18"/>
          <w:color w:val="auto"/>
        </w:rPr>
      </w:pPr>
    </w:p>
    <w:p>
      <w:pPr>
        <w:ind w:right="20" w:firstLine="1411"/>
        <w:spacing w:after="0" w:line="252" w:lineRule="auto"/>
        <w:tabs>
          <w:tab w:leader="none" w:pos="1803"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by or in the Right of the Company</w:t>
      </w:r>
      <w:r>
        <w:rPr>
          <w:rFonts w:ascii="Times New Roman" w:cs="Times New Roman" w:eastAsia="Times New Roman" w:hAnsi="Times New Roman"/>
          <w:sz w:val="18"/>
          <w:szCs w:val="18"/>
          <w:color w:val="auto"/>
        </w:rPr>
        <w:t xml:space="preserve">. Indemnitee shall be entitled to the rights of indemnification provided in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if, by reason of his Corporate Status, the Indemnitee is, or is threatened to be made, a party to or participant in any Proceeding brought by or in the right of the Company. Pursuant to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provided, however,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500" w:top="268" w:right="539" w:bottom="1440" w:gutter="0" w:footer="0" w:header="0"/>
        </w:sectPr>
      </w:pPr>
    </w:p>
    <w:bookmarkStart w:id="411" w:name="page412"/>
    <w:bookmarkEnd w:id="411"/>
    <w:p>
      <w:pPr>
        <w:ind w:firstLine="1411"/>
        <w:spacing w:after="0" w:line="252" w:lineRule="auto"/>
        <w:tabs>
          <w:tab w:leader="none" w:pos="1793"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Indemnification for Expenses of a Party Who is Wholly or Partly Successful</w:t>
      </w:r>
      <w:r>
        <w:rPr>
          <w:rFonts w:ascii="Times New Roman" w:cs="Times New Roman" w:eastAsia="Times New Roman" w:hAnsi="Times New Roman"/>
          <w:sz w:val="18"/>
          <w:szCs w:val="18"/>
          <w:color w:val="auto"/>
        </w:rPr>
        <w:t>. Notwithstanding any other provision of this Agreement, to the extent that Indemnitee is, by reason of his Corporate Status, a party to and is successful, on the merits or otherwise, in any Proceeding, he shall be indemnified to the maximum extent permitted by law, as such may be amended from time to time, against all Expenses actually and reasonably incurred by him or on his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84" w:lineRule="exact"/>
        <w:rPr>
          <w:rFonts w:ascii="Times New Roman" w:cs="Times New Roman" w:eastAsia="Times New Roman" w:hAnsi="Times New Roman"/>
          <w:sz w:val="18"/>
          <w:szCs w:val="18"/>
          <w:color w:val="auto"/>
        </w:rPr>
      </w:pPr>
    </w:p>
    <w:p>
      <w:pPr>
        <w:ind w:right="20" w:firstLine="1411"/>
        <w:spacing w:after="0" w:line="268" w:lineRule="auto"/>
        <w:tabs>
          <w:tab w:leader="none" w:pos="1803" w:val="left"/>
        </w:tabs>
        <w:numPr>
          <w:ilvl w:val="1"/>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of Appointing Stockholder.</w:t>
      </w:r>
      <w:r>
        <w:rPr>
          <w:rFonts w:ascii="Times New Roman" w:cs="Times New Roman" w:eastAsia="Times New Roman" w:hAnsi="Times New Roman"/>
          <w:sz w:val="17"/>
          <w:szCs w:val="17"/>
          <w:color w:val="auto"/>
        </w:rPr>
        <w:t xml:space="preserve"> If (i) Indemnitee is or was affiliated with one or more venture capital funds or investment funds that has invested in the Company (an “</w:t>
      </w:r>
      <w:r>
        <w:rPr>
          <w:rFonts w:ascii="Times New Roman" w:cs="Times New Roman" w:eastAsia="Times New Roman" w:hAnsi="Times New Roman"/>
          <w:sz w:val="17"/>
          <w:szCs w:val="17"/>
          <w:b w:val="1"/>
          <w:bCs w:val="1"/>
          <w:i w:val="1"/>
          <w:iCs w:val="1"/>
          <w:color w:val="auto"/>
        </w:rPr>
        <w:t>Appointing Stockholder</w:t>
      </w:r>
      <w:r>
        <w:rPr>
          <w:rFonts w:ascii="Times New Roman" w:cs="Times New Roman" w:eastAsia="Times New Roman" w:hAnsi="Times New Roman"/>
          <w:sz w:val="17"/>
          <w:szCs w:val="17"/>
          <w:color w:val="auto"/>
        </w:rPr>
        <w:t>”), and (ii) the Appointing Stockholder is, or is threatened to be made, a party to or a participant in any Proceeding relating to or arising by reason of Appointing Stockholder’s position as a stockholder of, or lender to, the Company, or Appointing Stockholder’s appointment of or affiliation with Indemnitee or any other director, including without limitation any alleged misappropriation of a Company asset or corporate opportunity, any claim of misappropriation or infringement of intellectual property relating to the Company, any alleged false or misleading statement or omission made by the Company (or on its behalf) or its employees or agents, or any allegation of inappropriate control or influence over the Company or its Board members, officers, equity holders or debt holders, then the Appointing Stockholder will be entitled to indemnification hereunder for Expenses to the same extent as Indemnitee, and the terms of this Agreement as they relate to procedures for indemnification of Indemnitee and advancement of Expenses shall apply to any such indemnification of Appointing Stockholder.</w:t>
      </w:r>
    </w:p>
    <w:p>
      <w:pPr>
        <w:spacing w:after="0" w:line="172" w:lineRule="exact"/>
        <w:rPr>
          <w:rFonts w:ascii="Times New Roman" w:cs="Times New Roman" w:eastAsia="Times New Roman" w:hAnsi="Times New Roman"/>
          <w:sz w:val="17"/>
          <w:szCs w:val="17"/>
          <w:color w:val="auto"/>
        </w:rPr>
      </w:pPr>
    </w:p>
    <w:p>
      <w:pPr>
        <w:ind w:right="280" w:firstLine="1411"/>
        <w:spacing w:after="0" w:line="253" w:lineRule="auto"/>
        <w:tabs>
          <w:tab w:leader="none" w:pos="1789"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to the Appointing Stockholder under this Section 1(d) shall (i) be suspended during any period during which the Appointing Stockholder does not have a representative on the Company’s Board and (ii) terminate on an initial public offering of the Company’s Common Stock; provided, however, that in the event of any such suspension or termination, the Appointing Stockholder’s rights to indemnification will not be suspended or terminated with respect to any Proceeding based in whole or in part on facts and circumstances occurring at any time prior to such suspension or termination regardless of whether the Proceeding arises before or after such suspension or termination. The Company and Indemnitee agree that the Appointing Stockholder is an express third party beneficiary of the terms of this Section 1(d).]</w:t>
      </w:r>
    </w:p>
    <w:p>
      <w:pPr>
        <w:spacing w:after="0" w:line="293" w:lineRule="exact"/>
        <w:rPr>
          <w:rFonts w:ascii="Times New Roman" w:cs="Times New Roman" w:eastAsia="Times New Roman" w:hAnsi="Times New Roman"/>
          <w:sz w:val="18"/>
          <w:szCs w:val="18"/>
          <w:color w:val="auto"/>
        </w:rPr>
      </w:pPr>
    </w:p>
    <w:p>
      <w:pPr>
        <w:ind w:left="1280" w:hanging="305"/>
        <w:spacing w:after="0"/>
        <w:tabs>
          <w:tab w:leader="none" w:pos="12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Indemnity</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right="120" w:firstLine="1411"/>
        <w:spacing w:after="0" w:line="257" w:lineRule="auto"/>
        <w:tabs>
          <w:tab w:leader="none" w:pos="1837"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and without regard to any limitations on, the indemnification provided for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Agreement, the Company shall and hereby does indemnify and hold harmless Indemnitee against all Expenses, judgments, penalties, fines and amounts paid in settlement actually and reasonably incurred by him or on his behalf if, by reason of his Corporate Status, he is, or is threatened to be made, a party to or participant in any Proceeding (including a Proceeding by or in the right of the Company), including, without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500" w:top="268" w:right="499" w:bottom="1440" w:gutter="0" w:footer="0" w:header="0"/>
        </w:sectPr>
      </w:pPr>
    </w:p>
    <w:bookmarkStart w:id="412" w:name="page413"/>
    <w:bookmarkEnd w:id="412"/>
    <w:p>
      <w:pPr>
        <w:ind w:right="1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hereof) to be unlawful.</w:t>
      </w:r>
    </w:p>
    <w:p>
      <w:pPr>
        <w:spacing w:after="0" w:line="177" w:lineRule="exact"/>
        <w:rPr>
          <w:sz w:val="20"/>
          <w:szCs w:val="20"/>
          <w:color w:val="auto"/>
        </w:rPr>
      </w:pPr>
    </w:p>
    <w:p>
      <w:pPr>
        <w:ind w:right="140" w:firstLine="1411"/>
        <w:spacing w:after="0" w:line="255" w:lineRule="auto"/>
        <w:tabs>
          <w:tab w:leader="none" w:pos="1799"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allowable under applicable law, the Company shall also indemnify against, and, if requested by Indemnitee, shall advance to Indemnitee subject to and in accordance with Section 5, any Expenses actually and reasonably paid or incurred by Indemnitee in connection with any action or proceeding by Indemnitee for indemnification or reimbursement or advance payment of Expenses by the Company under any provision of this Agreement, or under any other agreement or provision of the Certificate of Incorporation or Bylaws now or hereafter in effect.</w:t>
      </w:r>
    </w:p>
    <w:p>
      <w:pPr>
        <w:spacing w:after="0" w:line="289" w:lineRule="exact"/>
        <w:rPr>
          <w:rFonts w:ascii="Times New Roman" w:cs="Times New Roman" w:eastAsia="Times New Roman" w:hAnsi="Times New Roman"/>
          <w:sz w:val="18"/>
          <w:szCs w:val="18"/>
          <w:color w:val="auto"/>
        </w:rPr>
      </w:pPr>
    </w:p>
    <w:p>
      <w:pPr>
        <w:ind w:left="1280" w:hanging="305"/>
        <w:spacing w:after="0"/>
        <w:tabs>
          <w:tab w:leader="none" w:pos="12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right="40" w:firstLine="1411"/>
        <w:spacing w:after="0" w:line="271" w:lineRule="auto"/>
        <w:tabs>
          <w:tab w:leader="none" w:pos="1789" w:val="left"/>
        </w:tabs>
        <w:numPr>
          <w:ilvl w:val="1"/>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Whether or not the indemnification provided in </w:t>
      </w:r>
      <w:r>
        <w:rPr>
          <w:rFonts w:ascii="Times New Roman" w:cs="Times New Roman" w:eastAsia="Times New Roman" w:hAnsi="Times New Roman"/>
          <w:sz w:val="17"/>
          <w:szCs w:val="17"/>
          <w:u w:val="single" w:color="auto"/>
          <w:color w:val="auto"/>
        </w:rPr>
        <w:t>Sections 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w:t>
      </w:r>
      <w:r>
        <w:rPr>
          <w:rFonts w:ascii="Times New Roman" w:cs="Times New Roman" w:eastAsia="Times New Roman" w:hAnsi="Times New Roman"/>
          <w:sz w:val="17"/>
          <w:szCs w:val="17"/>
          <w:color w:val="auto"/>
        </w:rPr>
        <w:t xml:space="preserve"> hereof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spacing w:after="0" w:line="171" w:lineRule="exact"/>
        <w:rPr>
          <w:rFonts w:ascii="Times New Roman" w:cs="Times New Roman" w:eastAsia="Times New Roman" w:hAnsi="Times New Roman"/>
          <w:sz w:val="17"/>
          <w:szCs w:val="17"/>
          <w:color w:val="auto"/>
        </w:rPr>
      </w:pPr>
    </w:p>
    <w:p>
      <w:pPr>
        <w:ind w:firstLine="1411"/>
        <w:spacing w:after="0" w:line="249" w:lineRule="auto"/>
        <w:tabs>
          <w:tab w:leader="none" w:pos="1799"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or events from which such action, suit or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80"/>
          </w:cols>
          <w:pgMar w:left="500" w:top="268" w:right="619" w:bottom="1440" w:gutter="0" w:footer="0" w:header="0"/>
        </w:sectPr>
      </w:pPr>
    </w:p>
    <w:bookmarkStart w:id="413" w:name="page414"/>
    <w:bookmarkEnd w:id="413"/>
    <w:p>
      <w:pPr>
        <w:ind w:left="-20" w:right="160" w:firstLine="1411"/>
        <w:spacing w:after="0" w:line="277" w:lineRule="auto"/>
        <w:tabs>
          <w:tab w:leader="none" w:pos="1769"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163" w:lineRule="exact"/>
        <w:rPr>
          <w:rFonts w:ascii="Times New Roman" w:cs="Times New Roman" w:eastAsia="Times New Roman" w:hAnsi="Times New Roman"/>
          <w:sz w:val="18"/>
          <w:szCs w:val="18"/>
          <w:color w:val="auto"/>
        </w:rPr>
      </w:pPr>
    </w:p>
    <w:p>
      <w:pPr>
        <w:ind w:left="-20" w:firstLine="1411"/>
        <w:spacing w:after="0" w:line="252" w:lineRule="auto"/>
        <w:tabs>
          <w:tab w:leader="none" w:pos="1779"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88" w:lineRule="exact"/>
        <w:rPr>
          <w:rFonts w:ascii="Times New Roman" w:cs="Times New Roman" w:eastAsia="Times New Roman" w:hAnsi="Times New Roman"/>
          <w:sz w:val="18"/>
          <w:szCs w:val="18"/>
          <w:color w:val="auto"/>
        </w:rPr>
      </w:pPr>
    </w:p>
    <w:p>
      <w:pPr>
        <w:ind w:left="-20" w:right="120" w:firstLine="975"/>
        <w:spacing w:after="0" w:line="257" w:lineRule="auto"/>
        <w:tabs>
          <w:tab w:leader="none" w:pos="1272"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of a Witness</w:t>
      </w:r>
      <w:r>
        <w:rPr>
          <w:rFonts w:ascii="Times New Roman" w:cs="Times New Roman" w:eastAsia="Times New Roman" w:hAnsi="Times New Roman"/>
          <w:sz w:val="18"/>
          <w:szCs w:val="18"/>
          <w:color w:val="auto"/>
        </w:rPr>
        <w:t>. Notwithstanding any other provision of this Agreement, to the extent that Indemnitee is, by reason of his Corporate Status, a witness, or is made (or asked) to respond to discovery requests, in any Proceeding to which Indemnitee is not a party, he shall be indemnified against all Expenses actually and reasonably incurred by him or on his behalf in connection therewith and no standard of conduct determination shall be required.</w:t>
      </w:r>
    </w:p>
    <w:p>
      <w:pPr>
        <w:spacing w:after="0" w:line="182" w:lineRule="exact"/>
        <w:rPr>
          <w:rFonts w:ascii="Times New Roman" w:cs="Times New Roman" w:eastAsia="Times New Roman" w:hAnsi="Times New Roman"/>
          <w:sz w:val="18"/>
          <w:szCs w:val="18"/>
          <w:color w:val="auto"/>
        </w:rPr>
      </w:pPr>
    </w:p>
    <w:p>
      <w:pPr>
        <w:ind w:left="-20" w:firstLine="975"/>
        <w:spacing w:after="0" w:line="252" w:lineRule="auto"/>
        <w:tabs>
          <w:tab w:leader="none" w:pos="1272"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xml:space="preserve">. Notwithstanding any other provision of this Agreement, the Company shall advance all Expenses incurred by or on behalf of Indemnitee in connection with any Proceeding by reason of Indemnitee’s Corporate Status within ten (10) business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The Indemnitee shall qualify for advances upon the execution and delivery to the Company of this Agreement, which shall constitute an undertaking by Indemnitee to repay any Expenses advanced if it shall ultimately be determined that Indemnitee is not entitled to be indemnified against such Expenses. Any advances and undertakings to repay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unsecured and interest free.</w:t>
      </w:r>
    </w:p>
    <w:p>
      <w:pPr>
        <w:spacing w:after="0" w:line="188" w:lineRule="exact"/>
        <w:rPr>
          <w:rFonts w:ascii="Times New Roman" w:cs="Times New Roman" w:eastAsia="Times New Roman" w:hAnsi="Times New Roman"/>
          <w:sz w:val="18"/>
          <w:szCs w:val="18"/>
          <w:color w:val="auto"/>
        </w:rPr>
      </w:pPr>
    </w:p>
    <w:p>
      <w:pPr>
        <w:ind w:left="-20" w:right="100" w:firstLine="975"/>
        <w:spacing w:after="0" w:line="262" w:lineRule="auto"/>
        <w:tabs>
          <w:tab w:leader="none" w:pos="1317"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and Presumptions for Determination of Entitlement to Indemnification</w:t>
      </w:r>
      <w:r>
        <w:rPr>
          <w:rFonts w:ascii="Times New Roman" w:cs="Times New Roman" w:eastAsia="Times New Roman" w:hAnsi="Times New Roman"/>
          <w:sz w:val="18"/>
          <w:szCs w:val="18"/>
          <w:color w:val="auto"/>
        </w:rPr>
        <w:t>. It is the intent of this Agreement to secure for Indemnitee rights of indemnity that are as favorable as may be permitted under the DGCL. Accordingly, the parties agree that the following procedures and presumptions shall apply in the event of any question as to whether Indemnitee is entitled to indemnification under this Agreement:</w:t>
      </w:r>
    </w:p>
    <w:p>
      <w:pPr>
        <w:spacing w:after="0" w:line="177" w:lineRule="exact"/>
        <w:rPr>
          <w:rFonts w:ascii="Times New Roman" w:cs="Times New Roman" w:eastAsia="Times New Roman" w:hAnsi="Times New Roman"/>
          <w:sz w:val="18"/>
          <w:szCs w:val="18"/>
          <w:color w:val="auto"/>
        </w:rPr>
      </w:pPr>
    </w:p>
    <w:p>
      <w:pPr>
        <w:ind w:left="-20" w:firstLine="1411"/>
        <w:spacing w:after="0" w:line="262" w:lineRule="auto"/>
        <w:tabs>
          <w:tab w:leader="none" w:pos="1769"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40"/>
          </w:cols>
          <w:pgMar w:left="520" w:top="267" w:right="539" w:bottom="1440" w:gutter="0" w:footer="0" w:header="0"/>
        </w:sectPr>
      </w:pPr>
    </w:p>
    <w:bookmarkStart w:id="414" w:name="page415"/>
    <w:bookmarkEnd w:id="414"/>
    <w:p>
      <w:pPr>
        <w:ind w:left="6"/>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1">
                      <a:extLst>
                        <a:ext uri="{28A0092B-C50C-407E-A947-70E740481C1C}"/>
                      </a:extLst>
                    </a:blip>
                    <a:srcRect/>
                    <a:stretch>
                      <a:fillRect/>
                    </a:stretch>
                  </pic:blipFill>
                  <pic:spPr bwMode="auto">
                    <a:xfrm>
                      <a:off x="0" y="0"/>
                      <a:ext cx="7150735" cy="24765"/>
                    </a:xfrm>
                    <a:prstGeom prst="rect">
                      <a:avLst/>
                    </a:prstGeom>
                    <a:noFill/>
                  </pic:spPr>
                </pic:pic>
              </a:graphicData>
            </a:graphic>
          </wp:anchor>
        </w:drawing>
        <w:t>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182" w:lineRule="exact"/>
        <w:rPr>
          <w:sz w:val="20"/>
          <w:szCs w:val="20"/>
          <w:color w:val="auto"/>
        </w:rPr>
      </w:pPr>
    </w:p>
    <w:p>
      <w:pPr>
        <w:ind w:left="6" w:firstLine="1411"/>
        <w:spacing w:after="0" w:line="268" w:lineRule="auto"/>
        <w:tabs>
          <w:tab w:leader="none" w:pos="1809"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written request by Indemnitee for indemnification pursuant to the first sentence of </w:t>
      </w:r>
      <w:r>
        <w:rPr>
          <w:rFonts w:ascii="Times New Roman" w:cs="Times New Roman" w:eastAsia="Times New Roman" w:hAnsi="Times New Roman"/>
          <w:sz w:val="17"/>
          <w:szCs w:val="17"/>
          <w:u w:val="single" w:color="auto"/>
          <w:color w:val="auto"/>
        </w:rPr>
        <w:t>Section 6(a)</w:t>
      </w:r>
      <w:r>
        <w:rPr>
          <w:rFonts w:ascii="Times New Roman" w:cs="Times New Roman" w:eastAsia="Times New Roman" w:hAnsi="Times New Roman"/>
          <w:sz w:val="17"/>
          <w:szCs w:val="17"/>
          <w:color w:val="auto"/>
        </w:rPr>
        <w:t xml:space="preserve"> hereof, a determination with respect to Indemnitee’s entitlement thereto shall be made in the specific case by one of the following four methods, which shall be at the election of the Board: (1) by a majority vote of the disinterested directors, even though less than a quorum, (2) by a committee of disinterested directors designated by a majority vote of the disinterested directors, even though less than a quorum, (3) if there are no disinterested directors or if the disinterested directors so direct, by Independent Counsel in a written opinion to the Board, a copy of which shall be delivered to the Indemnitee, or (4) if so directed by the Board, by the stockholders of the Company. For purposes hereof, disinterested directors are those members of the Board who are not parties to the action, suit or proceeding in respect of which indemnification is sought by Indemnitee. In the event there has been a Change in Control, then the determination shall, at Indemnitee’s sole option, be made by Independent Counsel, pursuant to the procedures set forth in </w:t>
      </w:r>
      <w:r>
        <w:rPr>
          <w:rFonts w:ascii="Times New Roman" w:cs="Times New Roman" w:eastAsia="Times New Roman" w:hAnsi="Times New Roman"/>
          <w:sz w:val="17"/>
          <w:szCs w:val="17"/>
          <w:u w:val="single" w:color="auto"/>
          <w:color w:val="auto"/>
        </w:rPr>
        <w:t>Section 6(c)</w:t>
      </w:r>
      <w:r>
        <w:rPr>
          <w:rFonts w:ascii="Times New Roman" w:cs="Times New Roman" w:eastAsia="Times New Roman" w:hAnsi="Times New Roman"/>
          <w:sz w:val="17"/>
          <w:szCs w:val="17"/>
          <w:color w:val="auto"/>
        </w:rPr>
        <w:t xml:space="preserve"> hereof.</w:t>
      </w:r>
    </w:p>
    <w:p>
      <w:pPr>
        <w:spacing w:after="0" w:line="177" w:lineRule="exact"/>
        <w:rPr>
          <w:rFonts w:ascii="Times New Roman" w:cs="Times New Roman" w:eastAsia="Times New Roman" w:hAnsi="Times New Roman"/>
          <w:sz w:val="17"/>
          <w:szCs w:val="17"/>
          <w:color w:val="auto"/>
        </w:rPr>
      </w:pPr>
    </w:p>
    <w:p>
      <w:pPr>
        <w:ind w:left="6" w:firstLine="1411"/>
        <w:spacing w:after="0" w:line="264" w:lineRule="auto"/>
        <w:tabs>
          <w:tab w:leader="none" w:pos="1799"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determination of entitlement to indemnification is to be made by Independent Counsel pursuant to </w:t>
      </w:r>
      <w:r>
        <w:rPr>
          <w:rFonts w:ascii="Times New Roman" w:cs="Times New Roman" w:eastAsia="Times New Roman" w:hAnsi="Times New Roman"/>
          <w:sz w:val="17"/>
          <w:szCs w:val="17"/>
          <w:u w:val="single" w:color="auto"/>
          <w:color w:val="auto"/>
        </w:rPr>
        <w:t>Section 6(b)</w:t>
      </w:r>
      <w:r>
        <w:rPr>
          <w:rFonts w:ascii="Times New Roman" w:cs="Times New Roman" w:eastAsia="Times New Roman" w:hAnsi="Times New Roman"/>
          <w:sz w:val="17"/>
          <w:szCs w:val="17"/>
          <w:color w:val="auto"/>
        </w:rPr>
        <w:t xml:space="preserve"> hereof, the Independent Counsel shall be selected as provided in this </w:t>
      </w:r>
      <w:r>
        <w:rPr>
          <w:rFonts w:ascii="Times New Roman" w:cs="Times New Roman" w:eastAsia="Times New Roman" w:hAnsi="Times New Roman"/>
          <w:sz w:val="17"/>
          <w:szCs w:val="17"/>
          <w:u w:val="single" w:color="auto"/>
          <w:color w:val="auto"/>
        </w:rPr>
        <w:t>Section 6(c)</w:t>
      </w:r>
      <w:r>
        <w:rPr>
          <w:rFonts w:ascii="Times New Roman" w:cs="Times New Roman" w:eastAsia="Times New Roman" w:hAnsi="Times New Roman"/>
          <w:sz w:val="17"/>
          <w:szCs w:val="17"/>
          <w:color w:val="auto"/>
        </w:rPr>
        <w:t xml:space="preserve">. Prior to a Change in Control, the Independent Counsel shall be selected by the Board and the Company shall give written notice to Indemnitee advising him of the identity of the Independent Counsel so selected. After a Change in Control, the Independent Counsel shall be selected by the Indemnitee and the Indemnitee shall give written notice to the Company advising it of the identity of the Independent Counsel so selected. In either case, Indemnitee or the Company, as applicable, may, within ten (10) days after such written notice of selection shall have been given, deliver to the other a written objection to such selection; provided, however, that such objection may be asserted only on the ground that the Independent Counsel so selected does not meet the requirements of “Independent Counsel” as defined in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twenty</w:t>
      </w:r>
    </w:p>
    <w:p>
      <w:pPr>
        <w:spacing w:after="0" w:line="5" w:lineRule="exact"/>
        <w:rPr>
          <w:rFonts w:ascii="Times New Roman" w:cs="Times New Roman" w:eastAsia="Times New Roman" w:hAnsi="Times New Roman"/>
          <w:sz w:val="17"/>
          <w:szCs w:val="17"/>
          <w:color w:val="auto"/>
        </w:rPr>
      </w:pPr>
    </w:p>
    <w:p>
      <w:pPr>
        <w:ind w:left="6" w:right="80" w:hanging="6"/>
        <w:spacing w:after="0" w:line="248" w:lineRule="auto"/>
        <w:tabs>
          <w:tab w:leader="none" w:pos="347"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conclusion of the Proceeding giving rise to the request for indemnification, no Independent Counsel shall have been selected and not objected to, either the Company or Indemnitee may petition the Court of Chancery of the State of Delaware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The Company shall pay any and all reasonable fees and expenses of Independent Counsel incurred by such Independent Counsel in connection with acting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and the Company shall pay all reasonable fees and expenses incident to the procedures of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regardless of the manner in which such Independent Counsel was selected or appointed.</w:t>
      </w:r>
    </w:p>
    <w:p>
      <w:pPr>
        <w:spacing w:after="0" w:line="12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6"/>
          </w:cols>
          <w:pgMar w:left="494" w:top="267" w:right="519" w:bottom="1440" w:gutter="0" w:footer="0" w:header="0"/>
        </w:sectPr>
      </w:pPr>
    </w:p>
    <w:bookmarkStart w:id="415" w:name="page416"/>
    <w:bookmarkEnd w:id="415"/>
    <w:p>
      <w:pPr>
        <w:ind w:right="100" w:firstLine="1411"/>
        <w:spacing w:after="0" w:line="252" w:lineRule="auto"/>
        <w:tabs>
          <w:tab w:leader="none" w:pos="1803"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88" w:lineRule="exact"/>
        <w:rPr>
          <w:rFonts w:ascii="Times New Roman" w:cs="Times New Roman" w:eastAsia="Times New Roman" w:hAnsi="Times New Roman"/>
          <w:sz w:val="18"/>
          <w:szCs w:val="18"/>
          <w:color w:val="auto"/>
        </w:rPr>
      </w:pPr>
    </w:p>
    <w:p>
      <w:pPr>
        <w:ind w:firstLine="1411"/>
        <w:spacing w:after="0" w:line="251" w:lineRule="auto"/>
        <w:tabs>
          <w:tab w:leader="none" w:pos="1793"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Indemnitee shall be deemed to have acted in good faith if Indemnitee’s action is based on the records or books of account of the Enterprise (as hereinafter defined), including financial statements, or on information supplied to Indemnitee by the officers or employees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are satisfied, it shall in any event be presumed that Indemnitee has at all times acted in good faith and in a manner he reasonably believed to be in or not opposed to the best interests of the Company. Anyone seeking to overcome this presumption shall have the burden of proof and the burden of persuasion by clear and convincing evidence.</w:t>
      </w:r>
    </w:p>
    <w:p>
      <w:pPr>
        <w:spacing w:after="0" w:line="189" w:lineRule="exact"/>
        <w:rPr>
          <w:rFonts w:ascii="Times New Roman" w:cs="Times New Roman" w:eastAsia="Times New Roman" w:hAnsi="Times New Roman"/>
          <w:sz w:val="18"/>
          <w:szCs w:val="18"/>
          <w:color w:val="auto"/>
        </w:rPr>
      </w:pPr>
    </w:p>
    <w:p>
      <w:pPr>
        <w:ind w:right="40" w:firstLine="1411"/>
        <w:spacing w:after="0" w:line="250" w:lineRule="auto"/>
        <w:tabs>
          <w:tab w:leader="none" w:pos="177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reasonable best efforts to cause any determination as to entitlement to indemnification to be made as promptly as practicable. If the person, persons or entity empowered or selected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determine whether Indemnitee is entitled to indemnification shall not have made a determination within forty-five (45) days after the conclusion of the Proceeding giving rise to the request for indemnification,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forty-five (45)-day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provided, further, that the foregoing provisions of this </w:t>
      </w:r>
      <w:r>
        <w:rPr>
          <w:rFonts w:ascii="Times New Roman" w:cs="Times New Roman" w:eastAsia="Times New Roman" w:hAnsi="Times New Roman"/>
          <w:sz w:val="18"/>
          <w:szCs w:val="18"/>
          <w:u w:val="single" w:color="auto"/>
          <w:color w:val="auto"/>
        </w:rPr>
        <w:t>Section 6(f)</w:t>
      </w:r>
      <w:r>
        <w:rPr>
          <w:rFonts w:ascii="Times New Roman" w:cs="Times New Roman" w:eastAsia="Times New Roman" w:hAnsi="Times New Roman"/>
          <w:sz w:val="18"/>
          <w:szCs w:val="18"/>
          <w:color w:val="auto"/>
        </w:rPr>
        <w:t xml:space="preserve"> shall not apply if the determination of entitlement to indemnification is to be made by the stockholders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and if (A) within fifteen (15) days after the conclusion of the Proceeding giving rise to the request for indemnification, the Board or the Disinterested Directors, if appropriate, resolve to submit such determination to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500" w:top="268" w:right="519" w:bottom="1440" w:gutter="0" w:footer="0" w:header="0"/>
        </w:sectPr>
      </w:pPr>
    </w:p>
    <w:bookmarkStart w:id="416" w:name="page417"/>
    <w:bookmarkEnd w:id="416"/>
    <w:p>
      <w:pPr>
        <w:ind w:left="6" w:right="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stockholders for their consideration at an annual meeting thereof to be held within seventy-five (75) days after such resolution and such determination is made thereat, or (B) a special meeting of stockholders is called within fifteen (15) days after such resolution and such meeting is held for such purpose within sixty (60) days after having been so called and such determination is made thereat.</w:t>
      </w:r>
    </w:p>
    <w:p>
      <w:pPr>
        <w:spacing w:after="0" w:line="177" w:lineRule="exact"/>
        <w:rPr>
          <w:sz w:val="20"/>
          <w:szCs w:val="20"/>
          <w:color w:val="auto"/>
        </w:rPr>
      </w:pPr>
    </w:p>
    <w:p>
      <w:pPr>
        <w:ind w:left="6" w:right="20" w:firstLine="1411"/>
        <w:spacing w:after="0" w:line="252" w:lineRule="auto"/>
        <w:tabs>
          <w:tab w:leader="none" w:pos="1809" w:val="left"/>
        </w:tabs>
        <w:numPr>
          <w:ilvl w:val="2"/>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84" w:lineRule="exact"/>
        <w:rPr>
          <w:rFonts w:ascii="Times New Roman" w:cs="Times New Roman" w:eastAsia="Times New Roman" w:hAnsi="Times New Roman"/>
          <w:sz w:val="18"/>
          <w:szCs w:val="18"/>
          <w:color w:val="auto"/>
        </w:rPr>
      </w:pPr>
    </w:p>
    <w:p>
      <w:pPr>
        <w:ind w:left="6" w:right="40" w:firstLine="1411"/>
        <w:spacing w:after="0" w:line="252" w:lineRule="auto"/>
        <w:tabs>
          <w:tab w:leader="none" w:pos="1806" w:val="left"/>
        </w:tabs>
        <w:numPr>
          <w:ilvl w:val="2"/>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The Company shall not settle any action, suit or proceeding in any manner that would impose any penalty or limitation on the Indemnitee without the Indemnitee’s written consent. Anyone seeking to overcome this presumption shall have the burden of proof and the burden of persuasion by clear and convincing evidence.</w:t>
      </w:r>
    </w:p>
    <w:p>
      <w:pPr>
        <w:spacing w:after="0" w:line="188" w:lineRule="exact"/>
        <w:rPr>
          <w:rFonts w:ascii="Times New Roman" w:cs="Times New Roman" w:eastAsia="Times New Roman" w:hAnsi="Times New Roman"/>
          <w:sz w:val="18"/>
          <w:szCs w:val="18"/>
          <w:color w:val="auto"/>
        </w:rPr>
      </w:pPr>
    </w:p>
    <w:p>
      <w:pPr>
        <w:ind w:left="6" w:firstLine="1411"/>
        <w:spacing w:after="0" w:line="255" w:lineRule="auto"/>
        <w:tabs>
          <w:tab w:leader="none" w:pos="1766" w:val="left"/>
        </w:tabs>
        <w:numPr>
          <w:ilvl w:val="2"/>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spacing w:after="0" w:line="289" w:lineRule="exact"/>
        <w:rPr>
          <w:rFonts w:ascii="Times New Roman" w:cs="Times New Roman" w:eastAsia="Times New Roman" w:hAnsi="Times New Roman"/>
          <w:sz w:val="18"/>
          <w:szCs w:val="18"/>
          <w:color w:val="auto"/>
        </w:rPr>
      </w:pPr>
    </w:p>
    <w:p>
      <w:pPr>
        <w:ind w:left="1286" w:hanging="305"/>
        <w:spacing w:after="0"/>
        <w:tabs>
          <w:tab w:leader="none" w:pos="1286"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of Indemnitee</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6" w:firstLine="1411"/>
        <w:spacing w:after="0" w:line="268" w:lineRule="auto"/>
        <w:tabs>
          <w:tab w:leader="none" w:pos="1799" w:val="left"/>
        </w:tabs>
        <w:numPr>
          <w:ilvl w:val="2"/>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(i) a determination is made pursuant to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of this Agreement that Indemnitee is not entitled to indemnification under this Agreement, (ii) advancement of Expenses is not timely made pursuant to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of this Agreement, (iii) no determination of entitlement to indemnification is made pursuant to </w:t>
      </w:r>
      <w:r>
        <w:rPr>
          <w:rFonts w:ascii="Times New Roman" w:cs="Times New Roman" w:eastAsia="Times New Roman" w:hAnsi="Times New Roman"/>
          <w:sz w:val="17"/>
          <w:szCs w:val="17"/>
          <w:u w:val="single" w:color="auto"/>
          <w:color w:val="auto"/>
        </w:rPr>
        <w:t>Section 6(b)</w:t>
      </w:r>
      <w:r>
        <w:rPr>
          <w:rFonts w:ascii="Times New Roman" w:cs="Times New Roman" w:eastAsia="Times New Roman" w:hAnsi="Times New Roman"/>
          <w:sz w:val="17"/>
          <w:szCs w:val="17"/>
          <w:color w:val="auto"/>
        </w:rPr>
        <w:t xml:space="preserve"> of this Agreement within ninety (90) days after the conclusion of the Proceeding giving rise to the request for indemnification, (iv) payment of indemnification required by Section 4 is not made pursuant to this Agreement within thirty</w:t>
      </w:r>
    </w:p>
    <w:p>
      <w:pPr>
        <w:ind w:left="346" w:hanging="346"/>
        <w:spacing w:after="0"/>
        <w:tabs>
          <w:tab w:leader="none" w:pos="34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receipt by the Company of a written</w:t>
      </w:r>
    </w:p>
    <w:p>
      <w:pPr>
        <w:spacing w:after="0" w:line="13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6"/>
          </w:cols>
          <w:pgMar w:left="494" w:top="268" w:right="499" w:bottom="1440" w:gutter="0" w:footer="0" w:header="0"/>
        </w:sectPr>
      </w:pPr>
    </w:p>
    <w:bookmarkStart w:id="417" w:name="page418"/>
    <w:bookmarkEnd w:id="417"/>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4">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request therefor or (v) payment of indemnification is not made within ten (10) days after a determination has been made that Indemnitee is entitled to indemnification or such determination is deemed to have been made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Indemnitee shall be entitled to an adjudication in Court of Chancery of the State of Delaware of Indemnitee’s entitlement to such indemnification. Indemnitee shall commence such proceeding seeking an adjudication within one hundred eighty (180) days following the date on which Indemnitee first has the right to commence such proceeding pursuant to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The Company shall not oppose Indemnitee’s right to seek any such adjudication.</w:t>
      </w:r>
    </w:p>
    <w:p>
      <w:pPr>
        <w:spacing w:after="0" w:line="183" w:lineRule="exact"/>
        <w:rPr>
          <w:sz w:val="20"/>
          <w:szCs w:val="20"/>
          <w:color w:val="auto"/>
        </w:rPr>
      </w:pPr>
    </w:p>
    <w:p>
      <w:pPr>
        <w:ind w:right="280" w:firstLine="1411"/>
        <w:spacing w:after="0" w:line="262" w:lineRule="auto"/>
        <w:tabs>
          <w:tab w:leader="none" w:pos="1803"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determination shall have been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that Indemnitee is not entitled to indemnification, any judicial proceeding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conducted in all respects as a de novo trial on the merits, and Indemnitee shall not be prejudiced by reason of the adverse determination under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ind w:firstLine="1411"/>
        <w:spacing w:after="0" w:line="257" w:lineRule="auto"/>
        <w:tabs>
          <w:tab w:leader="none" w:pos="1793"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determination shall have been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that Indemnitee is entitled to indemnification, the Company shall be bound by such determination in any judicial proceeding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182" w:lineRule="exact"/>
        <w:rPr>
          <w:rFonts w:ascii="Times New Roman" w:cs="Times New Roman" w:eastAsia="Times New Roman" w:hAnsi="Times New Roman"/>
          <w:sz w:val="18"/>
          <w:szCs w:val="18"/>
          <w:color w:val="auto"/>
        </w:rPr>
      </w:pPr>
    </w:p>
    <w:p>
      <w:pPr>
        <w:ind w:right="20" w:firstLine="1411"/>
        <w:spacing w:after="0" w:line="255" w:lineRule="auto"/>
        <w:tabs>
          <w:tab w:leader="none" w:pos="1803"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Indemnitee,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seeks a judicial adjudication of his rights under, or to recover damages for breach of, this Agreement, or to recover under any directors’ and officers’ liability insurance policies maintained by the Company, the Company shall pay on his behalf, in advance, any and all expenses (of the types described in the definition of Expenses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this Agreement) actually and reasonably incurred by him in such judicial adjudication, regardless of whether Indemnitee ultimately is determined to be entitled to such indemnification, advancement of expenses or insurance recovery.</w:t>
      </w:r>
    </w:p>
    <w:p>
      <w:pPr>
        <w:spacing w:after="0" w:line="182" w:lineRule="exact"/>
        <w:rPr>
          <w:rFonts w:ascii="Times New Roman" w:cs="Times New Roman" w:eastAsia="Times New Roman" w:hAnsi="Times New Roman"/>
          <w:sz w:val="18"/>
          <w:szCs w:val="18"/>
          <w:color w:val="auto"/>
        </w:rPr>
      </w:pPr>
    </w:p>
    <w:p>
      <w:pPr>
        <w:ind w:right="80" w:firstLine="1411"/>
        <w:spacing w:after="0" w:line="270" w:lineRule="auto"/>
        <w:tabs>
          <w:tab w:leader="none" w:pos="1789"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be precluded from asserting in any judicial proceeding commenced pursuant to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 (10) 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170" w:lineRule="exact"/>
        <w:rPr>
          <w:rFonts w:ascii="Times New Roman" w:cs="Times New Roman" w:eastAsia="Times New Roman" w:hAnsi="Times New Roman"/>
          <w:sz w:val="17"/>
          <w:szCs w:val="17"/>
          <w:color w:val="auto"/>
        </w:rPr>
      </w:pPr>
    </w:p>
    <w:p>
      <w:pPr>
        <w:ind w:right="180" w:firstLine="1411"/>
        <w:spacing w:after="0" w:line="277" w:lineRule="auto"/>
        <w:tabs>
          <w:tab w:leader="none" w:pos="1773"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to indemnification under this Agreement shall be required to be made prior to the final disposition of the Proceeding.</w:t>
      </w:r>
    </w:p>
    <w:p>
      <w:pPr>
        <w:spacing w:after="0" w:line="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20"/>
          </w:cols>
          <w:pgMar w:left="500" w:top="267" w:right="579" w:bottom="1440" w:gutter="0" w:footer="0" w:header="0"/>
        </w:sectPr>
      </w:pPr>
    </w:p>
    <w:bookmarkStart w:id="418" w:name="page419"/>
    <w:bookmarkEnd w:id="418"/>
    <w:p>
      <w:pPr>
        <w:ind w:left="1280" w:hanging="305"/>
        <w:spacing w:after="0"/>
        <w:tabs>
          <w:tab w:leader="none" w:pos="128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5">
                      <a:extLst>
                        <a:ext uri="{28A0092B-C50C-407E-A947-70E740481C1C}"/>
                      </a:extLst>
                    </a:blip>
                    <a:srcRect/>
                    <a:stretch>
                      <a:fillRect/>
                    </a:stretch>
                  </pic:blipFill>
                  <pic:spPr bwMode="auto">
                    <a:xfrm>
                      <a:off x="0" y="0"/>
                      <a:ext cx="7150735" cy="24765"/>
                    </a:xfrm>
                    <a:prstGeom prst="rect">
                      <a:avLst/>
                    </a:prstGeom>
                    <a:noFill/>
                  </pic:spPr>
                </pic:pic>
              </a:graphicData>
            </a:graphic>
          </wp:anchor>
        </w:drawing>
        <w:t>Non-Exclusivity; Survival of Rights; Insurance; Primacy of Indemnification; Subrogation</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right="80" w:firstLine="1411"/>
        <w:spacing w:after="0" w:line="251" w:lineRule="auto"/>
        <w:tabs>
          <w:tab w:leader="none" w:pos="1789"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indemnification as provided by this Agreement shall not be deemed exclusive of any other rights to which Indemnitee may at any time be entitled under applicable law, the Certificate of Incorporation, the Bylaws, any agreement, a vote of stockholders, a resolution of directors of the Company,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the DGCL, whether by statute or judicial decision, permits greater indemnification than would be afforded currently under the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86" w:lineRule="exact"/>
        <w:rPr>
          <w:rFonts w:ascii="Times New Roman" w:cs="Times New Roman" w:eastAsia="Times New Roman" w:hAnsi="Times New Roman"/>
          <w:sz w:val="18"/>
          <w:szCs w:val="18"/>
          <w:color w:val="auto"/>
        </w:rPr>
      </w:pPr>
    </w:p>
    <w:p>
      <w:pPr>
        <w:ind w:firstLine="1411"/>
        <w:spacing w:after="0" w:line="252" w:lineRule="auto"/>
        <w:tabs>
          <w:tab w:leader="none" w:pos="1799"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84" w:lineRule="exact"/>
        <w:rPr>
          <w:rFonts w:ascii="Times New Roman" w:cs="Times New Roman" w:eastAsia="Times New Roman" w:hAnsi="Times New Roman"/>
          <w:sz w:val="18"/>
          <w:szCs w:val="18"/>
          <w:color w:val="auto"/>
        </w:rPr>
      </w:pPr>
    </w:p>
    <w:p>
      <w:pPr>
        <w:ind w:right="60" w:firstLine="1411"/>
        <w:spacing w:after="0" w:line="251" w:lineRule="auto"/>
        <w:tabs>
          <w:tab w:leader="none" w:pos="1793"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acknowledges that Indemnitee has certain rights to indemnification, advancement of expenses and/or insurance provided by [●] and certain of its affiliates (collectively, the “</w:t>
      </w:r>
      <w:r>
        <w:rPr>
          <w:rFonts w:ascii="Times New Roman" w:cs="Times New Roman" w:eastAsia="Times New Roman" w:hAnsi="Times New Roman"/>
          <w:sz w:val="18"/>
          <w:szCs w:val="18"/>
          <w:b w:val="1"/>
          <w:bCs w:val="1"/>
          <w:i w:val="1"/>
          <w:iCs w:val="1"/>
          <w:color w:val="auto"/>
        </w:rPr>
        <w:t>Fund Indemnitors</w:t>
      </w:r>
      <w:r>
        <w:rPr>
          <w:rFonts w:ascii="Times New Roman" w:cs="Times New Roman" w:eastAsia="Times New Roman" w:hAnsi="Times New Roman"/>
          <w:sz w:val="18"/>
          <w:szCs w:val="18"/>
          <w:color w:val="auto"/>
        </w:rPr>
        <w:t>”).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or Bylaws of the Company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500" w:top="267" w:right="499" w:bottom="1440" w:gutter="0" w:footer="0" w:header="0"/>
        </w:sectPr>
      </w:pPr>
    </w:p>
    <w:bookmarkStart w:id="419" w:name="page420"/>
    <w:bookmarkEnd w:id="419"/>
    <w:p>
      <w:pPr>
        <w:ind w:right="6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8(c).]</w:t>
      </w:r>
    </w:p>
    <w:p>
      <w:pPr>
        <w:spacing w:after="0" w:line="177" w:lineRule="exact"/>
        <w:rPr>
          <w:sz w:val="20"/>
          <w:szCs w:val="20"/>
          <w:color w:val="auto"/>
        </w:rPr>
      </w:pPr>
    </w:p>
    <w:p>
      <w:pPr>
        <w:ind w:firstLine="1411"/>
        <w:spacing w:after="0" w:line="257" w:lineRule="auto"/>
        <w:tabs>
          <w:tab w:leader="none" w:pos="1803"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(c) above,] 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w:t>
      </w:r>
    </w:p>
    <w:p>
      <w:pPr>
        <w:spacing w:after="0" w:line="182" w:lineRule="exact"/>
        <w:rPr>
          <w:rFonts w:ascii="Times New Roman" w:cs="Times New Roman" w:eastAsia="Times New Roman" w:hAnsi="Times New Roman"/>
          <w:sz w:val="18"/>
          <w:szCs w:val="18"/>
          <w:color w:val="auto"/>
        </w:rPr>
      </w:pPr>
    </w:p>
    <w:p>
      <w:pPr>
        <w:ind w:right="220" w:firstLine="1411"/>
        <w:spacing w:after="0" w:line="262" w:lineRule="auto"/>
        <w:tabs>
          <w:tab w:leader="none" w:pos="1793"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(c) above,] 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177" w:lineRule="exact"/>
        <w:rPr>
          <w:rFonts w:ascii="Times New Roman" w:cs="Times New Roman" w:eastAsia="Times New Roman" w:hAnsi="Times New Roman"/>
          <w:sz w:val="18"/>
          <w:szCs w:val="18"/>
          <w:color w:val="auto"/>
        </w:rPr>
      </w:pPr>
    </w:p>
    <w:p>
      <w:pPr>
        <w:ind w:right="320" w:firstLine="1411"/>
        <w:spacing w:after="0" w:line="257" w:lineRule="auto"/>
        <w:tabs>
          <w:tab w:leader="none" w:pos="1773"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(c) above,] 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182" w:lineRule="exact"/>
        <w:rPr>
          <w:rFonts w:ascii="Times New Roman" w:cs="Times New Roman" w:eastAsia="Times New Roman" w:hAnsi="Times New Roman"/>
          <w:sz w:val="18"/>
          <w:szCs w:val="18"/>
          <w:color w:val="auto"/>
        </w:rPr>
      </w:pPr>
    </w:p>
    <w:p>
      <w:pPr>
        <w:ind w:right="160" w:firstLine="975"/>
        <w:spacing w:after="0" w:line="277" w:lineRule="auto"/>
        <w:tabs>
          <w:tab w:leader="none" w:pos="1292"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 to Right of Indemnification</w:t>
      </w:r>
      <w:r>
        <w:rPr>
          <w:rFonts w:ascii="Times New Roman" w:cs="Times New Roman" w:eastAsia="Times New Roman" w:hAnsi="Times New Roman"/>
          <w:sz w:val="18"/>
          <w:szCs w:val="18"/>
          <w:color w:val="auto"/>
        </w:rPr>
        <w:t>. Notwithstanding any provision in this Agreement, the Company shall not be obligated under this Agreement to make any indemnity in connection with any claim made against Indemnitee:</w:t>
      </w:r>
    </w:p>
    <w:p>
      <w:pPr>
        <w:spacing w:after="0" w:line="163" w:lineRule="exact"/>
        <w:rPr>
          <w:rFonts w:ascii="Times New Roman" w:cs="Times New Roman" w:eastAsia="Times New Roman" w:hAnsi="Times New Roman"/>
          <w:sz w:val="18"/>
          <w:szCs w:val="18"/>
          <w:color w:val="auto"/>
        </w:rPr>
      </w:pPr>
    </w:p>
    <w:p>
      <w:pPr>
        <w:jc w:val="both"/>
        <w:ind w:right="500" w:firstLine="1411"/>
        <w:spacing w:after="0" w:line="262" w:lineRule="auto"/>
        <w:tabs>
          <w:tab w:leader="none" w:pos="1793"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made to or on behalf of Indemnitee under any insurance policy or other indemnity provision, except with respect to any excess beyond the amount paid under any insurance policy or other indemnity provision[, provided, that the foregoing shall not affect the rights of Indemnitee or the Fund Indemnitors set forth in Section 8(c) above]; or</w:t>
      </w:r>
    </w:p>
    <w:p>
      <w:pPr>
        <w:spacing w:after="0" w:line="177" w:lineRule="exact"/>
        <w:rPr>
          <w:rFonts w:ascii="Times New Roman" w:cs="Times New Roman" w:eastAsia="Times New Roman" w:hAnsi="Times New Roman"/>
          <w:sz w:val="18"/>
          <w:szCs w:val="18"/>
          <w:color w:val="auto"/>
        </w:rPr>
      </w:pPr>
    </w:p>
    <w:p>
      <w:pPr>
        <w:ind w:right="480" w:firstLine="1411"/>
        <w:spacing w:after="0" w:line="262" w:lineRule="auto"/>
        <w:tabs>
          <w:tab w:leader="none" w:pos="1803"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 accounting of profits made from the purchase and sale (or sale and purchase) by Indemnitee of securities of the Company within the meaning of </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xml:space="preserve"> of the Securities Exchange Act of 1934, as amended, or similar provisions of state statutory law or common law; or</w:t>
      </w:r>
    </w:p>
    <w:p>
      <w:pPr>
        <w:spacing w:after="0" w:line="177" w:lineRule="exact"/>
        <w:rPr>
          <w:rFonts w:ascii="Times New Roman" w:cs="Times New Roman" w:eastAsia="Times New Roman" w:hAnsi="Times New Roman"/>
          <w:sz w:val="18"/>
          <w:szCs w:val="18"/>
          <w:color w:val="auto"/>
        </w:rPr>
      </w:pPr>
    </w:p>
    <w:p>
      <w:pPr>
        <w:ind w:right="20" w:firstLine="1411"/>
        <w:spacing w:after="0" w:line="273" w:lineRule="auto"/>
        <w:tabs>
          <w:tab w:leader="none" w:pos="1793" w:val="left"/>
        </w:tabs>
        <w:numPr>
          <w:ilvl w:val="1"/>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Proceeding or part of any Proceeding is to enforce Indemnitee’s rights to indemnification or advancement, of Expenses, including a Proceeding (or any part of any Proceeding) initiated pursuant to Section 7 of this Agreement, (ii) the Board authorized the Proceeding (or any part of any Proceeding) prior to its initiation or (ii) the Company provides the indemnification, in its sole discretion, pursuant to the powers vested in the Company under applicable law.</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40"/>
          </w:cols>
          <w:pgMar w:left="500" w:top="268" w:right="559" w:bottom="1440" w:gutter="0" w:footer="0" w:header="0"/>
        </w:sectPr>
      </w:pPr>
    </w:p>
    <w:bookmarkStart w:id="420" w:name="page421"/>
    <w:bookmarkEnd w:id="420"/>
    <w:p>
      <w:pPr>
        <w:ind w:left="6" w:right="40" w:firstLine="975"/>
        <w:spacing w:after="0" w:line="268" w:lineRule="auto"/>
        <w:tabs>
          <w:tab w:leader="none" w:pos="1388" w:val="left"/>
        </w:tabs>
        <w:numPr>
          <w:ilvl w:val="1"/>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Duration of Agreement</w:t>
      </w:r>
      <w:r>
        <w:rPr>
          <w:rFonts w:ascii="Times New Roman" w:cs="Times New Roman" w:eastAsia="Times New Roman" w:hAnsi="Times New Roman"/>
          <w:sz w:val="17"/>
          <w:szCs w:val="17"/>
          <w:color w:val="auto"/>
        </w:rPr>
        <w:t xml:space="preserve">. All agreements and obligations of the Company contained herein shall continue during the period Indemnitee is an officer or director of the Company (or is or was serving at the request of the Company as a director, officer, employee or agent of another corporation, partnership, joint venture, trust or other enterprise) and shall continue thereafter (a) for so long as Indemnitee shall or may be subject to any Proceeding (or any proceeding commenced under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hereof) (including any rights of appeal) by reason of his Corporate Status and</w:t>
      </w:r>
    </w:p>
    <w:p>
      <w:pPr>
        <w:ind w:left="6" w:right="280" w:hanging="6"/>
        <w:spacing w:after="0" w:line="255" w:lineRule="auto"/>
        <w:tabs>
          <w:tab w:leader="none" w:pos="258"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pendency of any proceeding (including rights of appeal thereto) commenced by Indemnitee to enforce or interpret his rights under this Agreement, even if, in either case, he may have ceased to serve in such capacity at the time of any such Claim or proceeding.</w:t>
      </w:r>
    </w:p>
    <w:p>
      <w:pPr>
        <w:spacing w:after="0" w:line="182" w:lineRule="exact"/>
        <w:rPr>
          <w:rFonts w:ascii="Times New Roman" w:cs="Times New Roman" w:eastAsia="Times New Roman" w:hAnsi="Times New Roman"/>
          <w:sz w:val="18"/>
          <w:szCs w:val="18"/>
          <w:color w:val="auto"/>
        </w:rPr>
      </w:pPr>
    </w:p>
    <w:p>
      <w:pPr>
        <w:ind w:left="6" w:firstLine="975"/>
        <w:spacing w:after="0" w:line="268" w:lineRule="auto"/>
        <w:tabs>
          <w:tab w:leader="none" w:pos="1381"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Liability Insurance</w:t>
      </w:r>
      <w:r>
        <w:rPr>
          <w:rFonts w:ascii="Times New Roman" w:cs="Times New Roman" w:eastAsia="Times New Roman" w:hAnsi="Times New Roman"/>
          <w:sz w:val="17"/>
          <w:szCs w:val="17"/>
          <w:color w:val="auto"/>
        </w:rPr>
        <w:t>. For the duration of Indemnitee’s service as a director or officer of the Company, and thereafter for the duration of this Agreement as provided in Section 10, the Company shall use commercially reasonable efforts (taking into account the scope and amount of coverage available relative to the cost hereof) to continue to maintain in effect policies of directors’ and officers’ liability insurance providing coverage that is at least substantially comparable in scope and amount to that provided by the Company’s current policies of directors’ and officers’ liability insurance. In all policies of directors’ and officers’ liability insurance maintained by the Company, Indemnitee shall be named as an insured in such a manner as to provide Indemnitee the same rights and benefits as are provided to the most favorably insured of the Company’s directors, if Indemnitee is a director, or of the Company’s officers if Indemnitee is an officer (and not a director) by such policy. Upon request the Company will provide to Indemnitee copies of all directors’ and officers’ liability insurance applications, binders, policies, declarations, endorsement and other related materials.</w:t>
      </w:r>
    </w:p>
    <w:p>
      <w:pPr>
        <w:spacing w:after="0" w:line="177" w:lineRule="exact"/>
        <w:rPr>
          <w:rFonts w:ascii="Times New Roman" w:cs="Times New Roman" w:eastAsia="Times New Roman" w:hAnsi="Times New Roman"/>
          <w:sz w:val="17"/>
          <w:szCs w:val="17"/>
          <w:color w:val="auto"/>
        </w:rPr>
      </w:pPr>
    </w:p>
    <w:p>
      <w:pPr>
        <w:ind w:left="6" w:firstLine="975"/>
        <w:spacing w:after="0" w:line="257" w:lineRule="auto"/>
        <w:tabs>
          <w:tab w:leader="none" w:pos="1388"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 The Company shall be required to bind any successor to the terms of this Agreement.</w:t>
      </w:r>
    </w:p>
    <w:p>
      <w:pPr>
        <w:spacing w:after="0" w:line="182" w:lineRule="exact"/>
        <w:rPr>
          <w:rFonts w:ascii="Times New Roman" w:cs="Times New Roman" w:eastAsia="Times New Roman" w:hAnsi="Times New Roman"/>
          <w:sz w:val="18"/>
          <w:szCs w:val="18"/>
          <w:color w:val="auto"/>
        </w:rPr>
      </w:pPr>
    </w:p>
    <w:p>
      <w:pPr>
        <w:ind w:left="6" w:right="60" w:firstLine="975"/>
        <w:spacing w:after="0" w:line="251" w:lineRule="auto"/>
        <w:tabs>
          <w:tab w:leader="none" w:pos="1388"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Defense of Claims</w:t>
      </w:r>
      <w:r>
        <w:rPr>
          <w:rFonts w:ascii="Times New Roman" w:cs="Times New Roman" w:eastAsia="Times New Roman" w:hAnsi="Times New Roman"/>
          <w:sz w:val="18"/>
          <w:szCs w:val="18"/>
          <w:color w:val="auto"/>
        </w:rPr>
        <w:t>. The Company shall be entitled to participate in the defense of any claim relating to an indemnifiable event under this Agreement at its own expense and, except as otherwise provided below, to the extent the Company so wishes, it may assume the defense thereof with counsel reasonably satisfactory to Indemnitee. Indemnitee shall have the right to employ its own legal counsel in such claim, but all Expenses related to such counsel incurred after notice from the Company of its assumption of the defense shall be at Indemnitee’s own expense; provided, however, that if (i) Indemnitee’s employment of its own legal counsel has been authorized by the Company, (ii) Indemnitee has reasonably determined that there may be a conflict of interest between Indemnitee and the Company in the defense of such Claim, (iii) after a Change in Control, Indemnitee’s employment of its own counsel has been approved by the Independent Counsel or (iv) the Company shall not in fact have employed counsel to assume the defense of such claim, then Indemnitee shall be entitled to retain its own separate counsel (but not more than one law firm plus, if applicable, local counsel in respect of any such claim) and all Expenses related to such separate counsel shall be borne by the Company.</w:t>
      </w:r>
    </w:p>
    <w:p>
      <w:pPr>
        <w:spacing w:after="0" w:line="1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6"/>
          </w:cols>
          <w:pgMar w:left="494" w:top="268" w:right="519" w:bottom="1440" w:gutter="0" w:footer="0" w:header="0"/>
        </w:sectPr>
      </w:pPr>
    </w:p>
    <w:bookmarkStart w:id="421" w:name="page422"/>
    <w:bookmarkEnd w:id="421"/>
    <w:p>
      <w:pPr>
        <w:ind w:left="6" w:right="40" w:firstLine="975"/>
        <w:spacing w:after="0" w:line="262" w:lineRule="auto"/>
        <w:tabs>
          <w:tab w:leader="none" w:pos="1388"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Security</w:t>
      </w:r>
      <w:r>
        <w:rPr>
          <w:rFonts w:ascii="Times New Roman" w:cs="Times New Roman" w:eastAsia="Times New Roman" w:hAnsi="Times New Roman"/>
          <w:sz w:val="18"/>
          <w:szCs w:val="18"/>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283" w:lineRule="exact"/>
        <w:rPr>
          <w:rFonts w:ascii="Times New Roman" w:cs="Times New Roman" w:eastAsia="Times New Roman" w:hAnsi="Times New Roman"/>
          <w:sz w:val="18"/>
          <w:szCs w:val="18"/>
          <w:color w:val="auto"/>
        </w:rPr>
      </w:pPr>
    </w:p>
    <w:p>
      <w:pPr>
        <w:ind w:left="1386" w:hanging="405"/>
        <w:spacing w:after="0"/>
        <w:tabs>
          <w:tab w:leader="none" w:pos="1386"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jc w:val="both"/>
        <w:ind w:left="6" w:right="20" w:firstLine="1411"/>
        <w:spacing w:after="0" w:line="262" w:lineRule="auto"/>
        <w:tabs>
          <w:tab w:leader="none" w:pos="1796"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spacing w:after="0" w:line="177" w:lineRule="exact"/>
        <w:rPr>
          <w:rFonts w:ascii="Times New Roman" w:cs="Times New Roman" w:eastAsia="Times New Roman" w:hAnsi="Times New Roman"/>
          <w:sz w:val="18"/>
          <w:szCs w:val="18"/>
          <w:color w:val="auto"/>
        </w:rPr>
      </w:pPr>
    </w:p>
    <w:p>
      <w:pPr>
        <w:jc w:val="both"/>
        <w:ind w:left="6" w:right="420" w:firstLine="1411"/>
        <w:spacing w:after="0" w:line="308" w:lineRule="auto"/>
        <w:tabs>
          <w:tab w:leader="none" w:pos="1806" w:val="left"/>
        </w:tabs>
        <w:numPr>
          <w:ilvl w:val="2"/>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39" w:lineRule="exact"/>
        <w:rPr>
          <w:rFonts w:ascii="Times New Roman" w:cs="Times New Roman" w:eastAsia="Times New Roman" w:hAnsi="Times New Roman"/>
          <w:sz w:val="17"/>
          <w:szCs w:val="17"/>
          <w:color w:val="auto"/>
        </w:rPr>
      </w:pPr>
    </w:p>
    <w:p>
      <w:pPr>
        <w:ind w:left="6" w:right="60" w:firstLine="1411"/>
        <w:spacing w:after="0" w:line="277" w:lineRule="auto"/>
        <w:tabs>
          <w:tab w:leader="none" w:pos="1796"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seek from a court, or agree to, a “bar order” which would have the effect of prohibiting or limiting the Indemnitee’s rights to receive advancement of expenses under this Agreement.</w:t>
      </w:r>
    </w:p>
    <w:p>
      <w:pPr>
        <w:spacing w:after="0" w:line="163" w:lineRule="exact"/>
        <w:rPr>
          <w:rFonts w:ascii="Times New Roman" w:cs="Times New Roman" w:eastAsia="Times New Roman" w:hAnsi="Times New Roman"/>
          <w:sz w:val="18"/>
          <w:szCs w:val="18"/>
          <w:color w:val="auto"/>
        </w:rPr>
      </w:pPr>
    </w:p>
    <w:p>
      <w:pPr>
        <w:ind w:left="1386" w:hanging="405"/>
        <w:spacing w:after="0"/>
        <w:tabs>
          <w:tab w:leader="none" w:pos="1386"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16" w:lineRule="exact"/>
        <w:rPr>
          <w:rFonts w:ascii="Times New Roman" w:cs="Times New Roman" w:eastAsia="Times New Roman" w:hAnsi="Times New Roman"/>
          <w:sz w:val="18"/>
          <w:szCs w:val="18"/>
          <w:color w:val="auto"/>
        </w:rPr>
      </w:pPr>
    </w:p>
    <w:p>
      <w:pPr>
        <w:ind w:left="6" w:right="40" w:firstLine="1411"/>
        <w:spacing w:after="0" w:line="276" w:lineRule="auto"/>
        <w:tabs>
          <w:tab w:leader="none" w:pos="1799" w:val="left"/>
        </w:tabs>
        <w:numPr>
          <w:ilvl w:val="2"/>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Change in Control</w:t>
      </w:r>
      <w:r>
        <w:rPr>
          <w:rFonts w:ascii="Times New Roman" w:cs="Times New Roman" w:eastAsia="Times New Roman" w:hAnsi="Times New Roman"/>
          <w:sz w:val="17"/>
          <w:szCs w:val="17"/>
          <w:color w:val="auto"/>
        </w:rPr>
        <w:t>” shall be deemed to have occurred if (i) any “person,” as such term is used in Sections 13(d) and 14(d) of the Exchange Act, other than (A) the Company, (B) any trustee or other fiduciary holding securities under an employee benefit plan of the Company,</w:t>
      </w:r>
    </w:p>
    <w:p>
      <w:pPr>
        <w:ind w:left="6" w:hanging="6"/>
        <w:spacing w:after="0" w:line="248" w:lineRule="auto"/>
        <w:tabs>
          <w:tab w:leader="none" w:pos="288"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owned, directly or indirectly, by the stockholders of the Company in substantially the same proportions as their ownership of stock of the Company or (D) any Permitted Holder, is or becomes the “beneficial owner” (as defined in Rule 13d-3 under the Exchange Act), directly or indirectly, of securities of the Company representing at least twenty percent (20%) of the total voting power represented by the Company’s then outstanding voting securities, (ii) during any period of two (2) consecutive years, individuals who at the beginning of such period constituted the Board, together with any new directors whose election by the Board or nomination for election by the Company’s stockholders was approved by a vote of at least two-thirds (2/3) of the directors then still in office who either were directors at the beginning of the period or whose election or nomination was previously so approved, cease for any reason to constitute a majority of the Board, (iii) the stockholders of the Company approve a merger or consolidation or a sale of all or substantially all of the Company’s assets with or to another entity, other than a merger, consolidation or asset sale that would result in the holders of the Company’s outstanding voting securities immediately prior thereto continuing to represent (either by remaining outstanding or by being converted into voting securities of the surviving entity) at least a majority of the total voting power represented by the voting securities of the Company or such surviving or successor entity outstanding immediately thereafter, or (iv) the Company’s stockholders approve a plan of complete liquidation of the Company.</w:t>
      </w:r>
    </w:p>
    <w:p>
      <w:pPr>
        <w:spacing w:after="0" w:line="126" w:lineRule="exact"/>
        <w:rPr>
          <w:sz w:val="20"/>
          <w:szCs w:val="20"/>
          <w:color w:val="auto"/>
        </w:rPr>
      </w:pPr>
    </w:p>
    <w:p>
      <w:pPr>
        <w:jc w:val="center"/>
        <w:ind w:right="-85"/>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26"/>
          </w:cols>
          <w:pgMar w:left="494" w:top="268" w:right="579" w:bottom="1440" w:gutter="0" w:footer="0" w:header="0"/>
        </w:sectPr>
      </w:pPr>
    </w:p>
    <w:bookmarkStart w:id="422" w:name="page423"/>
    <w:bookmarkEnd w:id="422"/>
    <w:p>
      <w:pPr>
        <w:ind w:left="6" w:right="40" w:firstLine="1411"/>
        <w:spacing w:after="0" w:line="265" w:lineRule="auto"/>
        <w:tabs>
          <w:tab w:leader="none" w:pos="1853"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Corporate Status</w:t>
      </w:r>
      <w:r>
        <w:rPr>
          <w:rFonts w:ascii="Times New Roman" w:cs="Times New Roman" w:eastAsia="Times New Roman" w:hAnsi="Times New Roman"/>
          <w:sz w:val="18"/>
          <w:szCs w:val="18"/>
          <w:color w:val="auto"/>
        </w:rPr>
        <w:t>” describes the status of a person who is or was a director, officer, employee, agent or fiduciary of the Company or of any other corporation, partnership, joint venture, trust, employee benefit plan or other enterprise that such person is or was serving at the express written request of the Company.</w:t>
      </w:r>
    </w:p>
    <w:p>
      <w:pPr>
        <w:spacing w:after="0" w:line="169" w:lineRule="exact"/>
        <w:rPr>
          <w:rFonts w:ascii="Times New Roman" w:cs="Times New Roman" w:eastAsia="Times New Roman" w:hAnsi="Times New Roman"/>
          <w:sz w:val="18"/>
          <w:szCs w:val="18"/>
          <w:color w:val="auto"/>
        </w:rPr>
      </w:pPr>
    </w:p>
    <w:p>
      <w:pPr>
        <w:ind w:left="6" w:firstLine="1411"/>
        <w:spacing w:after="0" w:line="282" w:lineRule="auto"/>
        <w:tabs>
          <w:tab w:leader="none" w:pos="1799"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means a director of the Company who is not and was not a party to the Proceeding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ind w:left="6" w:right="320" w:firstLine="1411"/>
        <w:spacing w:after="0" w:line="312" w:lineRule="auto"/>
        <w:tabs>
          <w:tab w:leader="none" w:pos="1809" w:val="left"/>
        </w:tabs>
        <w:numPr>
          <w:ilvl w:val="1"/>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Enterprise</w:t>
      </w:r>
      <w:r>
        <w:rPr>
          <w:rFonts w:ascii="Times New Roman" w:cs="Times New Roman" w:eastAsia="Times New Roman" w:hAnsi="Times New Roman"/>
          <w:sz w:val="17"/>
          <w:szCs w:val="17"/>
          <w:color w:val="auto"/>
        </w:rPr>
        <w:t>” shall mean the Company and any other corporation, partnership, joint venture, trust, employee benefit plan or other enterprise that Indemnitee is or was serving at the express written request of the Company as a director, officer, employee, agent or fiduciary.</w:t>
      </w:r>
    </w:p>
    <w:p>
      <w:pPr>
        <w:spacing w:after="0" w:line="132" w:lineRule="exact"/>
        <w:rPr>
          <w:rFonts w:ascii="Times New Roman" w:cs="Times New Roman" w:eastAsia="Times New Roman" w:hAnsi="Times New Roman"/>
          <w:sz w:val="17"/>
          <w:szCs w:val="17"/>
          <w:color w:val="auto"/>
        </w:rPr>
      </w:pPr>
    </w:p>
    <w:p>
      <w:pPr>
        <w:ind w:left="6" w:right="40" w:firstLine="1411"/>
        <w:spacing w:after="0" w:line="251" w:lineRule="auto"/>
        <w:tabs>
          <w:tab w:leader="none" w:pos="1799"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reasonable attorneys’ fees, retainers, court costs, transcript costs, fees and expenses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fines or penalties against Indemnitee. The parties agree that for the purposes of any advancement of Expenses for which Indemnitee has made written demand to the Company in accordance with this Agreement, there shall be a presumption all Expenses included in such demand are reasonable.</w:t>
      </w:r>
    </w:p>
    <w:p>
      <w:pPr>
        <w:spacing w:after="0" w:line="186" w:lineRule="exact"/>
        <w:rPr>
          <w:rFonts w:ascii="Times New Roman" w:cs="Times New Roman" w:eastAsia="Times New Roman" w:hAnsi="Times New Roman"/>
          <w:sz w:val="18"/>
          <w:szCs w:val="18"/>
          <w:color w:val="auto"/>
        </w:rPr>
      </w:pPr>
    </w:p>
    <w:p>
      <w:pPr>
        <w:ind w:left="6" w:right="120" w:firstLine="1411"/>
        <w:spacing w:after="0" w:line="271" w:lineRule="auto"/>
        <w:tabs>
          <w:tab w:leader="none" w:pos="1779" w:val="left"/>
        </w:tabs>
        <w:numPr>
          <w:ilvl w:val="1"/>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Independent Counsel</w:t>
      </w:r>
      <w:r>
        <w:rPr>
          <w:rFonts w:ascii="Times New Roman" w:cs="Times New Roman" w:eastAsia="Times New Roman" w:hAnsi="Times New Roman"/>
          <w:sz w:val="17"/>
          <w:szCs w:val="17"/>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spacing w:after="0" w:line="1" w:lineRule="exact"/>
        <w:rPr>
          <w:rFonts w:ascii="Times New Roman" w:cs="Times New Roman" w:eastAsia="Times New Roman" w:hAnsi="Times New Roman"/>
          <w:sz w:val="17"/>
          <w:szCs w:val="17"/>
          <w:color w:val="auto"/>
        </w:rPr>
      </w:pPr>
    </w:p>
    <w:p>
      <w:pPr>
        <w:ind w:left="6" w:right="180" w:hanging="6"/>
        <w:spacing w:after="0" w:line="249" w:lineRule="auto"/>
        <w:tabs>
          <w:tab w:leader="none" w:pos="268"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12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86"/>
          </w:cols>
          <w:pgMar w:left="494" w:top="264" w:right="519" w:bottom="1440" w:gutter="0" w:footer="0" w:header="0"/>
        </w:sectPr>
      </w:pPr>
    </w:p>
    <w:bookmarkStart w:id="423" w:name="page424"/>
    <w:bookmarkEnd w:id="423"/>
    <w:p>
      <w:pPr>
        <w:ind w:left="-40" w:right="280" w:firstLine="1411"/>
        <w:spacing w:after="0" w:line="282" w:lineRule="auto"/>
        <w:tabs>
          <w:tab w:leader="none" w:pos="1763"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Permitted Holders</w:t>
      </w:r>
      <w:r>
        <w:rPr>
          <w:rFonts w:ascii="Times New Roman" w:cs="Times New Roman" w:eastAsia="Times New Roman" w:hAnsi="Times New Roman"/>
          <w:sz w:val="18"/>
          <w:szCs w:val="18"/>
          <w:color w:val="auto"/>
        </w:rPr>
        <w:t>” means each of Trevor Bezdek, Douglas Hirsch, Silver Lake, Francisco Partners, Spectrum Equity and Idea Men, LLC and their respective affiliates (other than the Company and its subsidiaries) and Related Parties.</w:t>
      </w:r>
    </w:p>
    <w:p>
      <w:pPr>
        <w:spacing w:after="0" w:line="154" w:lineRule="exact"/>
        <w:rPr>
          <w:rFonts w:ascii="Times New Roman" w:cs="Times New Roman" w:eastAsia="Times New Roman" w:hAnsi="Times New Roman"/>
          <w:sz w:val="18"/>
          <w:szCs w:val="18"/>
          <w:color w:val="auto"/>
        </w:rPr>
      </w:pPr>
    </w:p>
    <w:p>
      <w:pPr>
        <w:ind w:left="-40" w:firstLine="1411"/>
        <w:spacing w:after="0" w:line="253" w:lineRule="auto"/>
        <w:tabs>
          <w:tab w:leader="none" w:pos="1807"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xml:space="preserve">” includes any threatened, pending or completed action, suit, arbitration, alternate dispute resolution mechanism, investigation, inquiry, administrative hearing or any other actual, threatened or completed proceeding, and any appeal therefrom, whether brought by or in the right of the Company or otherwise and whether civil, criminal, administrative or investigative, in which Indemnitee was, is or will be involved as a party or otherwise, by reason of his or her Corporate Status or by reason of any action taken by him or of any inaction on his part while acting in his or her Corporate Status; in each case whether or not he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 to enforce his rights under this Agreement.</w:t>
      </w:r>
    </w:p>
    <w:p>
      <w:pPr>
        <w:spacing w:after="0" w:line="182" w:lineRule="exact"/>
        <w:rPr>
          <w:rFonts w:ascii="Times New Roman" w:cs="Times New Roman" w:eastAsia="Times New Roman" w:hAnsi="Times New Roman"/>
          <w:sz w:val="18"/>
          <w:szCs w:val="18"/>
          <w:color w:val="auto"/>
        </w:rPr>
      </w:pPr>
    </w:p>
    <w:p>
      <w:pPr>
        <w:ind w:left="-40" w:right="20" w:firstLine="1411"/>
        <w:spacing w:after="0" w:line="256" w:lineRule="auto"/>
        <w:tabs>
          <w:tab w:leader="none" w:pos="1723"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Party</w:t>
      </w:r>
      <w:r>
        <w:rPr>
          <w:rFonts w:ascii="Times New Roman" w:cs="Times New Roman" w:eastAsia="Times New Roman" w:hAnsi="Times New Roman"/>
          <w:sz w:val="18"/>
          <w:szCs w:val="18"/>
          <w:color w:val="auto"/>
        </w:rPr>
        <w:t>” means, with respect to any person or entity, (a) any controlling stockholder, controlling member, general partner, subsidiary, spouse or immediate family member (in the case of an individual) of such Person, (b) any estate, trust, corporation, partnership or other entity, the beneficiaries, stockholders, partners or owners of which consist solely of one or more Permitted Holders and/or such other persons or entities referred to in the immediately preceding clause (a), or (c) any executor, administrator, trustee, manager, director or other similar fiduciary of any person or entity referred to in the immediately preceding clause (b), acting solely in such capacity.</w:t>
      </w:r>
    </w:p>
    <w:p>
      <w:pPr>
        <w:spacing w:after="0" w:line="182" w:lineRule="exact"/>
        <w:rPr>
          <w:rFonts w:ascii="Times New Roman" w:cs="Times New Roman" w:eastAsia="Times New Roman" w:hAnsi="Times New Roman"/>
          <w:sz w:val="18"/>
          <w:szCs w:val="18"/>
          <w:color w:val="auto"/>
        </w:rPr>
      </w:pPr>
    </w:p>
    <w:p>
      <w:pPr>
        <w:ind w:left="-40" w:right="100" w:firstLine="975"/>
        <w:spacing w:after="0" w:line="253" w:lineRule="auto"/>
        <w:tabs>
          <w:tab w:leader="none" w:pos="1342"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 [Further, the invalidity or unenforceability of any provision hereof as to either Indemnitee or Appointing Stockholder shall in no way affect the validity or enforceability of any provision hereof as to the other.] Without limiting the generality of the foregoing, this Agreement is intended to confer upon Indemnitee [and Appointing Stockholder]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86" w:lineRule="exact"/>
        <w:rPr>
          <w:rFonts w:ascii="Times New Roman" w:cs="Times New Roman" w:eastAsia="Times New Roman" w:hAnsi="Times New Roman"/>
          <w:sz w:val="18"/>
          <w:szCs w:val="18"/>
          <w:color w:val="auto"/>
        </w:rPr>
      </w:pPr>
    </w:p>
    <w:p>
      <w:pPr>
        <w:ind w:left="-40" w:right="140" w:firstLine="975"/>
        <w:spacing w:after="0" w:line="271" w:lineRule="auto"/>
        <w:tabs>
          <w:tab w:leader="none" w:pos="1342" w:val="left"/>
        </w:tabs>
        <w:numPr>
          <w:ilvl w:val="0"/>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Modification and Waiver</w:t>
      </w:r>
      <w:r>
        <w:rPr>
          <w:rFonts w:ascii="Times New Roman" w:cs="Times New Roman" w:eastAsia="Times New Roman" w:hAnsi="Times New Roman"/>
          <w:sz w:val="17"/>
          <w:szCs w:val="17"/>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 The Company intends to provide Indemnitee indemnification and advancement of Expenses from the Company on terms as favorable as any other person to whom the Company provides similar protections. To the extent the Company provides indemnification and advancement of Expenses to any other Indemnitee on more favorable terms than provided in this Agreement, those more favorable terms will be deemed to supersede and amend the less favorable terms of this Agreement.</w:t>
      </w:r>
    </w:p>
    <w:p>
      <w:pPr>
        <w:spacing w:after="0" w:line="171" w:lineRule="exact"/>
        <w:rPr>
          <w:rFonts w:ascii="Times New Roman" w:cs="Times New Roman" w:eastAsia="Times New Roman" w:hAnsi="Times New Roman"/>
          <w:sz w:val="17"/>
          <w:szCs w:val="17"/>
          <w:color w:val="auto"/>
        </w:rPr>
      </w:pPr>
    </w:p>
    <w:p>
      <w:pPr>
        <w:ind w:left="-40" w:right="80" w:firstLine="975"/>
        <w:spacing w:after="0" w:line="277" w:lineRule="auto"/>
        <w:tabs>
          <w:tab w:leader="none" w:pos="1342"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By Indemnitee</w:t>
      </w:r>
      <w:r>
        <w:rPr>
          <w:rFonts w:ascii="Times New Roman" w:cs="Times New Roman" w:eastAsia="Times New Roman" w:hAnsi="Times New Roman"/>
          <w:sz w:val="18"/>
          <w:szCs w:val="18"/>
          <w:color w:val="auto"/>
        </w:rPr>
        <w:t>. Indemnitee agrees promptly to notify the Company in writing upon being served with or otherwise receiving any summons, citation,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20"/>
          </w:cols>
          <w:pgMar w:left="540" w:top="264" w:right="539" w:bottom="1440" w:gutter="0" w:footer="0" w:header="0"/>
        </w:sectPr>
      </w:pPr>
    </w:p>
    <w:bookmarkStart w:id="424" w:name="page425"/>
    <w:bookmarkEnd w:id="424"/>
    <w:p>
      <w:pPr>
        <w:jc w:val="both"/>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177" w:lineRule="exact"/>
        <w:rPr>
          <w:sz w:val="20"/>
          <w:szCs w:val="20"/>
          <w:color w:val="auto"/>
        </w:rPr>
      </w:pPr>
    </w:p>
    <w:p>
      <w:pPr>
        <w:ind w:left="1380" w:hanging="405"/>
        <w:spacing w:after="0"/>
        <w:tabs>
          <w:tab w:leader="none" w:pos="138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to this Agreement shall be in writing and shall be deemed</w:t>
      </w:r>
    </w:p>
    <w:p>
      <w:pPr>
        <w:spacing w:after="0" w:line="25" w:lineRule="exact"/>
        <w:rPr>
          <w:rFonts w:ascii="Times New Roman" w:cs="Times New Roman" w:eastAsia="Times New Roman" w:hAnsi="Times New Roman"/>
          <w:sz w:val="18"/>
          <w:szCs w:val="18"/>
          <w:color w:val="auto"/>
        </w:rPr>
      </w:pPr>
    </w:p>
    <w:p>
      <w:pPr>
        <w:ind w:right="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spacing w:after="0" w:line="187" w:lineRule="exact"/>
        <w:rPr>
          <w:rFonts w:ascii="Times New Roman" w:cs="Times New Roman" w:eastAsia="Times New Roman" w:hAnsi="Times New Roman"/>
          <w:sz w:val="18"/>
          <w:szCs w:val="18"/>
          <w:color w:val="auto"/>
        </w:rPr>
      </w:pPr>
    </w:p>
    <w:p>
      <w:pPr>
        <w:ind w:left="1780" w:hanging="369"/>
        <w:spacing w:after="0"/>
        <w:tabs>
          <w:tab w:leader="none" w:pos="178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Indemnitee at the address set forth below Indemnitee signature hereto.</w:t>
      </w:r>
    </w:p>
    <w:p>
      <w:pPr>
        <w:spacing w:after="0" w:line="220" w:lineRule="exact"/>
        <w:rPr>
          <w:rFonts w:ascii="Times New Roman" w:cs="Times New Roman" w:eastAsia="Times New Roman" w:hAnsi="Times New Roman"/>
          <w:sz w:val="18"/>
          <w:szCs w:val="18"/>
          <w:color w:val="auto"/>
        </w:rPr>
      </w:pPr>
    </w:p>
    <w:p>
      <w:pPr>
        <w:ind w:left="1800" w:hanging="389"/>
        <w:spacing w:after="0"/>
        <w:tabs>
          <w:tab w:leader="none" w:pos="180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at:</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GoodRx Holdings, Inc.</w:t>
      </w:r>
    </w:p>
    <w:p>
      <w:pPr>
        <w:spacing w:after="0" w:line="2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233 Wilshire Blvd., Suite 990</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Santa Monica, CA 90401</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may have been furnished to Indemnitee by the Company or to the Company by Indemnitee, as the case may be.</w:t>
      </w:r>
    </w:p>
    <w:p>
      <w:pPr>
        <w:spacing w:after="0" w:line="220" w:lineRule="exact"/>
        <w:rPr>
          <w:sz w:val="20"/>
          <w:szCs w:val="20"/>
          <w:color w:val="auto"/>
        </w:rPr>
      </w:pPr>
    </w:p>
    <w:p>
      <w:pPr>
        <w:ind w:right="220" w:firstLine="975"/>
        <w:spacing w:after="0" w:line="257" w:lineRule="auto"/>
        <w:tabs>
          <w:tab w:leader="none" w:pos="1382"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or any other transmission method and any counterpart so delivered shall be deemed to have been duly and validly delivered and be valid and effective for all purposes.</w:t>
      </w:r>
    </w:p>
    <w:p>
      <w:pPr>
        <w:spacing w:after="0" w:line="182" w:lineRule="exact"/>
        <w:rPr>
          <w:rFonts w:ascii="Times New Roman" w:cs="Times New Roman" w:eastAsia="Times New Roman" w:hAnsi="Times New Roman"/>
          <w:sz w:val="18"/>
          <w:szCs w:val="18"/>
          <w:color w:val="auto"/>
        </w:rPr>
      </w:pPr>
    </w:p>
    <w:p>
      <w:pPr>
        <w:ind w:right="40" w:firstLine="975"/>
        <w:spacing w:after="0" w:line="277" w:lineRule="auto"/>
        <w:tabs>
          <w:tab w:leader="none" w:pos="1382"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 this Agreement or to affect the construction thereof.</w:t>
      </w:r>
    </w:p>
    <w:p>
      <w:pPr>
        <w:spacing w:after="0" w:line="163" w:lineRule="exact"/>
        <w:rPr>
          <w:rFonts w:ascii="Times New Roman" w:cs="Times New Roman" w:eastAsia="Times New Roman" w:hAnsi="Times New Roman"/>
          <w:sz w:val="18"/>
          <w:szCs w:val="18"/>
          <w:color w:val="auto"/>
        </w:rPr>
      </w:pPr>
    </w:p>
    <w:p>
      <w:pPr>
        <w:ind w:right="20" w:firstLine="975"/>
        <w:spacing w:after="0" w:line="255" w:lineRule="auto"/>
        <w:tabs>
          <w:tab w:leader="none" w:pos="1382"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Consent to Jurisdiction.</w:t>
      </w:r>
      <w:r>
        <w:rPr>
          <w:rFonts w:ascii="Times New Roman" w:cs="Times New Roman" w:eastAsia="Times New Roman" w:hAnsi="Times New Roman"/>
          <w:sz w:val="18"/>
          <w:szCs w:val="18"/>
          <w:color w:val="auto"/>
        </w:rPr>
        <w:t xml:space="preserve">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and not in any other state or federal court in the United States of America or any court in any other country, (ii) consent to submit to the exclusive jurisdiction of the Delaware Court for purposes of any action or</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40"/>
          </w:cols>
          <w:pgMar w:left="500" w:top="268" w:right="559" w:bottom="1440" w:gutter="0" w:footer="0" w:header="0"/>
        </w:sectPr>
      </w:pPr>
    </w:p>
    <w:bookmarkStart w:id="425" w:name="page426"/>
    <w:bookmarkEnd w:id="42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proceeding arising out of or in connection with this Agreement, (iii) appoint, to the extent such party is not otherwise subject to service of process in the State of Delaware, irrevocably The Corporation Trust Center, 1209 Orange Street, Wilmington, DE 19801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FOLLOW</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40"/>
          </w:cols>
          <w:pgMar w:left="500" w:top="268" w:right="55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hereto have executed this Indemnification Agreement on and as of the day and year first above written.</w:t>
      </w:r>
    </w:p>
    <w:p>
      <w:pPr>
        <w:spacing w:after="0" w:line="25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22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4246245</wp:posOffset>
            </wp:positionH>
            <wp:positionV relativeFrom="paragraph">
              <wp:posOffset>15875</wp:posOffset>
            </wp:positionV>
            <wp:extent cx="24091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4">
                      <a:extLst>
                        <a:ext uri="{28A0092B-C50C-407E-A947-70E740481C1C}"/>
                      </a:extLst>
                    </a:blip>
                    <a:srcRect/>
                    <a:stretch>
                      <a:fillRect/>
                    </a:stretch>
                  </pic:blipFill>
                  <pic:spPr bwMode="auto">
                    <a:xfrm>
                      <a:off x="0" y="0"/>
                      <a:ext cx="2409190" cy="8255"/>
                    </a:xfrm>
                    <a:prstGeom prst="rect">
                      <a:avLst/>
                    </a:prstGeom>
                    <a:noFill/>
                  </pic:spPr>
                </pic:pic>
              </a:graphicData>
            </a:graphic>
          </wp:anchor>
        </w:drawing>
      </w:r>
    </w:p>
    <w:p>
      <w:pPr>
        <w:spacing w:after="0" w:line="4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-635</wp:posOffset>
            </wp:positionV>
            <wp:extent cx="204406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5">
                      <a:extLst>
                        <a:ext uri="{28A0092B-C50C-407E-A947-70E740481C1C}"/>
                      </a:extLst>
                    </a:blip>
                    <a:srcRect/>
                    <a:stretch>
                      <a:fillRect/>
                    </a:stretch>
                  </pic:blipFill>
                  <pic:spPr bwMode="auto">
                    <a:xfrm>
                      <a:off x="0" y="0"/>
                      <a:ext cx="2044065" cy="8255"/>
                    </a:xfrm>
                    <a:prstGeom prst="rect">
                      <a:avLst/>
                    </a:prstGeom>
                    <a:noFill/>
                  </pic:spPr>
                </pic:pic>
              </a:graphicData>
            </a:graphic>
          </wp:anchor>
        </w:drawing>
      </w:r>
    </w:p>
    <w:p>
      <w:pPr>
        <w:spacing w:after="0" w:line="1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-635</wp:posOffset>
            </wp:positionV>
            <wp:extent cx="204406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6">
                      <a:extLst>
                        <a:ext uri="{28A0092B-C50C-407E-A947-70E740481C1C}"/>
                      </a:extLst>
                    </a:blip>
                    <a:srcRect/>
                    <a:stretch>
                      <a:fillRect/>
                    </a:stretch>
                  </pic:blipFill>
                  <pic:spPr bwMode="auto">
                    <a:xfrm>
                      <a:off x="0" y="0"/>
                      <a:ext cx="2044065" cy="8255"/>
                    </a:xfrm>
                    <a:prstGeom prst="rect">
                      <a:avLst/>
                    </a:prstGeom>
                    <a:noFill/>
                  </pic:spPr>
                </pic:pic>
              </a:graphicData>
            </a:graphic>
          </wp:anchor>
        </w:drawing>
      </w:r>
    </w:p>
    <w:p>
      <w:pPr>
        <w:spacing w:after="0" w:line="19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290195</wp:posOffset>
            </wp:positionV>
            <wp:extent cx="276542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7">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4246245</wp:posOffset>
            </wp:positionH>
            <wp:positionV relativeFrom="paragraph">
              <wp:posOffset>15875</wp:posOffset>
            </wp:positionV>
            <wp:extent cx="24091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8">
                      <a:extLst>
                        <a:ext uri="{28A0092B-C50C-407E-A947-70E740481C1C}"/>
                      </a:extLst>
                    </a:blip>
                    <a:srcRect/>
                    <a:stretch>
                      <a:fillRect/>
                    </a:stretch>
                  </pic:blipFill>
                  <pic:spPr bwMode="auto">
                    <a:xfrm>
                      <a:off x="0" y="0"/>
                      <a:ext cx="2409190" cy="8255"/>
                    </a:xfrm>
                    <a:prstGeom prst="rect">
                      <a:avLst/>
                    </a:prstGeom>
                    <a:noFill/>
                  </pic:spPr>
                </pic:pic>
              </a:graphicData>
            </a:graphic>
          </wp:anchor>
        </w:drawing>
      </w:r>
    </w:p>
    <w:p>
      <w:pPr>
        <w:spacing w:after="0" w:line="2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151765</wp:posOffset>
            </wp:positionV>
            <wp:extent cx="276542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9">
                      <a:extLst>
                        <a:ext uri="{28A0092B-C50C-407E-A947-70E740481C1C}"/>
                      </a:extLst>
                    </a:blip>
                    <a:srcRect/>
                    <a:stretch>
                      <a:fillRect/>
                    </a:stretch>
                  </pic:blipFill>
                  <pic:spPr bwMode="auto">
                    <a:xfrm>
                      <a:off x="0" y="0"/>
                      <a:ext cx="2765425" cy="825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304165</wp:posOffset>
            </wp:positionV>
            <wp:extent cx="276542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0">
                      <a:extLst>
                        <a:ext uri="{28A0092B-C50C-407E-A947-70E740481C1C}"/>
                      </a:extLst>
                    </a:blip>
                    <a:srcRect/>
                    <a:stretch>
                      <a:fillRect/>
                    </a:stretch>
                  </pic:blipFill>
                  <pic:spPr bwMode="auto">
                    <a:xfrm>
                      <a:off x="0" y="0"/>
                      <a:ext cx="2765425" cy="825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457200</wp:posOffset>
            </wp:positionV>
            <wp:extent cx="276542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1">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ectPr>
          <w:pgSz w:w="11900" w:h="16838" w:orient="portrait"/>
          <w:cols w:equalWidth="0" w:num="1">
            <w:col w:w="10120"/>
          </w:cols>
          <w:pgMar w:left="920" w:top="268" w:right="859" w:bottom="1440" w:gutter="0" w:footer="0" w:header="0"/>
        </w:sectPr>
      </w:pPr>
    </w:p>
    <w:bookmarkStart w:id="427" w:name="page428"/>
    <w:bookmarkEnd w:id="42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GOODRX HOLDINGS,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FIFTH AMENDED AND RESTATED 2015 EQUITY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Purpose of Plan</w:t>
      </w:r>
    </w:p>
    <w:p>
      <w:pPr>
        <w:spacing w:after="0" w:line="220" w:lineRule="exact"/>
        <w:rPr>
          <w:sz w:val="20"/>
          <w:szCs w:val="20"/>
          <w:color w:val="auto"/>
        </w:rPr>
      </w:pPr>
    </w:p>
    <w:p>
      <w:pPr>
        <w:ind w:right="100" w:firstLine="981"/>
        <w:spacing w:after="0" w:line="274" w:lineRule="auto"/>
        <w:rPr>
          <w:sz w:val="20"/>
          <w:szCs w:val="20"/>
          <w:color w:val="auto"/>
        </w:rPr>
      </w:pPr>
      <w:r>
        <w:rPr>
          <w:rFonts w:ascii="Times New Roman" w:cs="Times New Roman" w:eastAsia="Times New Roman" w:hAnsi="Times New Roman"/>
          <w:sz w:val="17"/>
          <w:szCs w:val="17"/>
          <w:color w:val="auto"/>
        </w:rPr>
        <w:t>This Fifth Amended and Restated 2015 Equity Incentive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of GoodRx Holdings, Inc. (as defined below,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adopted by the Board of Directors of the Company on [______], 2020, for executives, directors, consultants, other service providers and key employees</w:t>
      </w:r>
    </w:p>
    <w:p>
      <w:pPr>
        <w:ind w:right="60"/>
        <w:spacing w:after="0" w:line="248" w:lineRule="auto"/>
        <w:rPr>
          <w:sz w:val="20"/>
          <w:szCs w:val="20"/>
          <w:color w:val="auto"/>
        </w:rPr>
      </w:pPr>
      <w:r>
        <w:rPr>
          <w:rFonts w:ascii="Times New Roman" w:cs="Times New Roman" w:eastAsia="Times New Roman" w:hAnsi="Times New Roman"/>
          <w:sz w:val="18"/>
          <w:szCs w:val="18"/>
          <w:color w:val="auto"/>
        </w:rPr>
        <w:t>of the Company, is intended to advance the best interests of the Company by providing those persons who have a substantial responsibility for its management and growth with additional incentives by allowing them to acquire an ownership interest in the Company and thereby encouraging them to contribute to the success of the Company and to remain in its employ or to continue to provide services to the Company. The availability and offering of equity awards under the Plan also increases the Company’s ability to attract and retain individuals of exceptional managerial talent upon whom, in large measure, the sustained progress, growth and profitability of the Company depends. This Plan is a compensatory benefit plan within the meaning of Rule 701 of the Securities Act of 1933, as amended, and, unless and until the Company’s Common Stock is publicly traded, the issuances of shares of the Company’s Common Stock in respect of Awards granted under the Plan are, to the extent permitted by applicable federal securities laws, intended to qualify for the exemption from registration under Rule 701 of the Securities Act.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purposes of the Plan, except where the context clearly indicates otherwise, the following terms shall have the meanings set forth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2" w:lineRule="exact"/>
        <w:rPr>
          <w:sz w:val="20"/>
          <w:szCs w:val="20"/>
          <w:color w:val="auto"/>
        </w:rPr>
      </w:pPr>
    </w:p>
    <w:p>
      <w:pPr>
        <w:ind w:right="140" w:firstLine="98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Person means any Legal Entity controlled by such person, where “control” means the possession, directly or indirectly, of the power to direct the management and policies of a Legal Entity whether through the ownership of voting securities, contract or otherwise.</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the Plan of Options, Restricted Stock or Restricted Stock Units.</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0" w:lineRule="exact"/>
        <w:rPr>
          <w:sz w:val="20"/>
          <w:szCs w:val="20"/>
          <w:color w:val="auto"/>
        </w:rPr>
      </w:pPr>
    </w:p>
    <w:p>
      <w:pPr>
        <w:ind w:right="40" w:firstLine="98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have the meaning ascribed to such term in any written employment or service agreement in effect on the date of determination between the Company or any subsidiary or affiliate of the Company, on the one hand, and Participant, on the other hand, or in the absence of any such written agreement, shall mean (i) the past or present commission by a Participant of a felony or other serious crime or the commission of any act or omission involving fraud with respect to the Company or any of its subsidiaries or any of their respective customers,</w:t>
      </w:r>
    </w:p>
    <w:p>
      <w:pPr>
        <w:sectPr>
          <w:pgSz w:w="11900" w:h="16838" w:orient="portrait"/>
          <w:cols w:equalWidth="0" w:num="1">
            <w:col w:w="10900"/>
          </w:cols>
          <w:pgMar w:left="500" w:top="117" w:right="499" w:bottom="1440" w:gutter="0" w:footer="0" w:header="0"/>
        </w:sectPr>
      </w:pPr>
    </w:p>
    <w:bookmarkStart w:id="428" w:name="page429"/>
    <w:bookmarkEnd w:id="42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suppliers, vendors or other business relations, (ii) a Participant’s reporting to work under the influence of alcohol or illegal drugs, the use of illegal drugs (whether or not at the workplace) or other repeated conduct causing the Company or any of its subsidiaries public disgrace or disrepute or material economic harm, (iii) a material failure by Participant to perform Participant’s responsibilities or duties to the Company under any written employment or service agreement between the Company or any subsidiary of the Company and such Participant or those other responsibilities or duties as reasonably directed by the Board, the Chief Executive Officer or any Co-Chief Executive Officer of the Company or any subsidiary of the Company, (iv) any act or omission by a Participant aiding or abetting a competitor, supplier, customer, vendor or other business relation of the Company or any of its subsidiaries to the material disadvantage or detriment of the Company or any of its subsidiaries, (v) a Participant’s breach of fiduciary duty, gross negligence or willful misconduct with respect to the Company or any of its subsidiaries, or (vi) the commission of any act or omission by a Participant involving dishonesty or disloyalty to the material detriment of the Company or any of its subsidiaries or any other act or omission that brings the Company or any of its subsidiaries into substantial public disrepute.</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 and any successor statute.</w:t>
      </w:r>
    </w:p>
    <w:p>
      <w:pPr>
        <w:spacing w:after="0" w:line="220" w:lineRule="exact"/>
        <w:rPr>
          <w:sz w:val="20"/>
          <w:szCs w:val="20"/>
          <w:color w:val="auto"/>
        </w:rPr>
      </w:pPr>
    </w:p>
    <w:p>
      <w:pPr>
        <w:ind w:right="440" w:firstLine="98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Class A Common Stock of the Company, par value $0.0001 per share, or if the outstanding Class A Common Stock is hereafter changed into or exchanged for different stock or securities of the Company, such other stock or securities.</w:t>
      </w:r>
    </w:p>
    <w:p>
      <w:pPr>
        <w:spacing w:after="0" w:line="163" w:lineRule="exact"/>
        <w:rPr>
          <w:sz w:val="20"/>
          <w:szCs w:val="20"/>
          <w:color w:val="auto"/>
        </w:rPr>
      </w:pPr>
    </w:p>
    <w:p>
      <w:pPr>
        <w:ind w:right="400" w:firstLine="98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GoodRx Holdings, Inc., a Delaware corporation, and (except to the extent the context requires otherwise) any subsidiary corporation of GoodRx Holdings, Inc., as such term is defined in Code §424(f).</w:t>
      </w:r>
    </w:p>
    <w:p>
      <w:pPr>
        <w:spacing w:after="0" w:line="163" w:lineRule="exact"/>
        <w:rPr>
          <w:sz w:val="20"/>
          <w:szCs w:val="20"/>
          <w:color w:val="auto"/>
        </w:rPr>
      </w:pPr>
    </w:p>
    <w:p>
      <w:pPr>
        <w:ind w:right="100" w:firstLine="98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shall have the meaning ascribed to such term in any written employment or service agreement between a Participant and the Company;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if no such written agreement exists, then such term shall mean the inability, due to illness, accident, injury, physical or mental incapacity or other disability, of any Participant to carry out effectively his duties and obligations to the Company or to participate effectively and actively in the management of the Company for a period of at least 90 consecutive days or for shorter periods aggregating at least 120 days (whether or not consecutive) during any twelve-month period, as determined in the reasonable judgment of the Board.</w:t>
      </w:r>
    </w:p>
    <w:p>
      <w:pPr>
        <w:spacing w:after="0" w:line="183" w:lineRule="exact"/>
        <w:rPr>
          <w:sz w:val="20"/>
          <w:szCs w:val="20"/>
          <w:color w:val="auto"/>
        </w:rPr>
      </w:pPr>
    </w:p>
    <w:p>
      <w:pPr>
        <w:ind w:right="40" w:firstLine="98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Equivalent</w:t>
      </w:r>
      <w:r>
        <w:rPr>
          <w:rFonts w:ascii="Times New Roman" w:cs="Times New Roman" w:eastAsia="Times New Roman" w:hAnsi="Times New Roman"/>
          <w:sz w:val="18"/>
          <w:szCs w:val="18"/>
          <w:color w:val="auto"/>
        </w:rPr>
        <w:t xml:space="preserve">” shall mean a right granted to a Participant pursuant to </w:t>
      </w:r>
      <w:r>
        <w:rPr>
          <w:rFonts w:ascii="Times New Roman" w:cs="Times New Roman" w:eastAsia="Times New Roman" w:hAnsi="Times New Roman"/>
          <w:sz w:val="18"/>
          <w:szCs w:val="18"/>
          <w:u w:val="single" w:color="auto"/>
          <w:color w:val="auto"/>
        </w:rPr>
        <w:t>Section 5.3(e)</w:t>
      </w:r>
      <w:r>
        <w:rPr>
          <w:rFonts w:ascii="Times New Roman" w:cs="Times New Roman" w:eastAsia="Times New Roman" w:hAnsi="Times New Roman"/>
          <w:sz w:val="18"/>
          <w:szCs w:val="18"/>
          <w:color w:val="auto"/>
        </w:rPr>
        <w:t xml:space="preserve"> hereof to receive the equivalent value (in cash or shares of Common Stock) of dividends paid on shares of Common Stock.</w:t>
      </w:r>
    </w:p>
    <w:p>
      <w:pPr>
        <w:spacing w:after="0" w:line="163" w:lineRule="exact"/>
        <w:rPr>
          <w:sz w:val="20"/>
          <w:szCs w:val="20"/>
          <w:color w:val="auto"/>
        </w:rPr>
      </w:pPr>
    </w:p>
    <w:p>
      <w:pPr>
        <w:ind w:right="440" w:firstLine="98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Shares</w:t>
      </w:r>
      <w:r>
        <w:rPr>
          <w:rFonts w:ascii="Times New Roman" w:cs="Times New Roman" w:eastAsia="Times New Roman" w:hAnsi="Times New Roman"/>
          <w:sz w:val="18"/>
          <w:szCs w:val="18"/>
          <w:color w:val="auto"/>
        </w:rPr>
        <w:t>” means, collectively, the Option Shares, the Purchased Shares and any other shares of Common Stock acquired in connection with grant, vesting or settlement of any Award.</w:t>
      </w:r>
    </w:p>
    <w:p>
      <w:pPr>
        <w:spacing w:after="0" w:line="163" w:lineRule="exact"/>
        <w:rPr>
          <w:sz w:val="20"/>
          <w:szCs w:val="20"/>
          <w:color w:val="auto"/>
        </w:rPr>
      </w:pPr>
    </w:p>
    <w:p>
      <w:pPr>
        <w:ind w:right="280" w:firstLine="98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of the Common Stock shall mean a value of such stock as determined by using a reasonable valuation method and taking into account all relevant factors determinative of value, as determined in good faith by the Board, pursuant to Treasury Regulation Section 1.409A-1(b)(5)(iv)(B)(1).</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880"/>
          </w:cols>
          <w:pgMar w:left="500" w:top="268" w:right="519" w:bottom="1440" w:gutter="0" w:footer="0" w:header="0"/>
        </w:sectPr>
      </w:pPr>
    </w:p>
    <w:bookmarkStart w:id="429" w:name="page430"/>
    <w:bookmarkEnd w:id="429"/>
    <w:p>
      <w:pPr>
        <w:ind w:right="80" w:firstLine="98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have the meaning ascribed to such term in any written employment agreement in effect on the date of determination between the Company or any subsidiary or affiliate of the Company, on the one hand, and Participant, on the other hand, or in the absence of any such written agreement, shall mean any substantial reduction in Participant’s base salary (other than pursuant to a pay reduction applicable to a substantial portion of the Company’s workforce).</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Legacy Options</w:t>
      </w:r>
      <w:r>
        <w:rPr>
          <w:rFonts w:ascii="Times New Roman" w:cs="Times New Roman" w:eastAsia="Times New Roman" w:hAnsi="Times New Roman"/>
          <w:sz w:val="18"/>
          <w:szCs w:val="18"/>
          <w:color w:val="auto"/>
        </w:rPr>
        <w:t>” shall mean any options granted under the Legacy Plan and assumed pursuant to Section 1.5(b) of the Purchase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2" w:lineRule="exact"/>
        <w:rPr>
          <w:sz w:val="20"/>
          <w:szCs w:val="20"/>
          <w:color w:val="auto"/>
        </w:rPr>
      </w:pPr>
    </w:p>
    <w:p>
      <w:pPr>
        <w:ind w:firstLine="98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Legacy Plan</w:t>
      </w:r>
      <w:r>
        <w:rPr>
          <w:rFonts w:ascii="Times New Roman" w:cs="Times New Roman" w:eastAsia="Times New Roman" w:hAnsi="Times New Roman"/>
          <w:sz w:val="18"/>
          <w:szCs w:val="18"/>
          <w:color w:val="auto"/>
        </w:rPr>
        <w:t>” shall mean the GoodRx, Inc. 2011 Stock Plan, as amended on June 12, 2015, and as may have been further amended and as in effect as of the date hereof.</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any options to purchase shares of Common Stock granted to a Participant by the Company under this Plan.</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Shares</w:t>
      </w:r>
      <w:r>
        <w:rPr>
          <w:rFonts w:ascii="Times New Roman" w:cs="Times New Roman" w:eastAsia="Times New Roman" w:hAnsi="Times New Roman"/>
          <w:sz w:val="18"/>
          <w:szCs w:val="18"/>
          <w:color w:val="auto"/>
        </w:rPr>
        <w:t>” means the shares of the Common Stock acquired (or to be acquired) pursuant to the exercise of any Option.</w:t>
      </w:r>
    </w:p>
    <w:p>
      <w:pPr>
        <w:spacing w:after="0" w:line="220" w:lineRule="exact"/>
        <w:rPr>
          <w:sz w:val="20"/>
          <w:szCs w:val="20"/>
          <w:color w:val="auto"/>
        </w:rPr>
      </w:pPr>
    </w:p>
    <w:p>
      <w:pPr>
        <w:ind w:right="180" w:firstLine="98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Cost</w:t>
      </w:r>
      <w:r>
        <w:rPr>
          <w:rFonts w:ascii="Times New Roman" w:cs="Times New Roman" w:eastAsia="Times New Roman" w:hAnsi="Times New Roman"/>
          <w:sz w:val="18"/>
          <w:szCs w:val="18"/>
          <w:color w:val="auto"/>
        </w:rPr>
        <w:t>” of each Option Share will be equal to the price paid therefor (in each case, as proportionally adjusted for all stock splits, stock dividends and other recapitalizations affecting such share of Common Stock subsequent to any such purchase).</w:t>
      </w:r>
    </w:p>
    <w:p>
      <w:pPr>
        <w:spacing w:after="0" w:line="163" w:lineRule="exact"/>
        <w:rPr>
          <w:sz w:val="20"/>
          <w:szCs w:val="20"/>
          <w:color w:val="auto"/>
        </w:rPr>
      </w:pPr>
    </w:p>
    <w:p>
      <w:pPr>
        <w:ind w:right="580" w:firstLine="98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shall mean any executive, director, consultant, other service provider or key employee of the Company who has been selected to participate in the Plan by the Board (or a committee appointed thereby).</w:t>
      </w:r>
    </w:p>
    <w:p>
      <w:pPr>
        <w:spacing w:after="0" w:line="163" w:lineRule="exact"/>
        <w:rPr>
          <w:sz w:val="20"/>
          <w:szCs w:val="20"/>
          <w:color w:val="auto"/>
        </w:rPr>
      </w:pPr>
    </w:p>
    <w:p>
      <w:pPr>
        <w:ind w:right="280" w:firstLine="98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63" w:lineRule="exact"/>
        <w:rPr>
          <w:sz w:val="20"/>
          <w:szCs w:val="20"/>
          <w:color w:val="auto"/>
        </w:rPr>
      </w:pPr>
    </w:p>
    <w:p>
      <w:pPr>
        <w:ind w:right="180" w:firstLine="981"/>
        <w:spacing w:after="0" w:line="30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Public Offering</w:t>
      </w:r>
      <w:r>
        <w:rPr>
          <w:rFonts w:ascii="Times New Roman" w:cs="Times New Roman" w:eastAsia="Times New Roman" w:hAnsi="Times New Roman"/>
          <w:sz w:val="17"/>
          <w:szCs w:val="17"/>
          <w:color w:val="auto"/>
        </w:rPr>
        <w:t>” means any offering by the Company of its Common Stock to the public pursuant to an effective registration statement under the Securities Act of 1933, as amended from time to time, or any comparable statement under any similar federal statute then in force.</w:t>
      </w:r>
    </w:p>
    <w:p>
      <w:pPr>
        <w:spacing w:after="0" w:line="139" w:lineRule="exact"/>
        <w:rPr>
          <w:sz w:val="20"/>
          <w:szCs w:val="20"/>
          <w:color w:val="auto"/>
        </w:rPr>
      </w:pPr>
    </w:p>
    <w:p>
      <w:pPr>
        <w:ind w:right="60" w:firstLine="98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shall mean that certain Stock Purchase Agreement, dated as of September 14, 2015 (as may be amended or modified from time to time in accordance with its terms), by and among the Company, the stockholders and optionholders of GoodRx, Inc., a Delaware corporation, the Stockholder Representative (as defined therein) and the other signatories thereto.</w:t>
      </w:r>
    </w:p>
    <w:p>
      <w:pPr>
        <w:spacing w:after="0" w:line="1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Purchased Shares</w:t>
      </w:r>
      <w:r>
        <w:rPr>
          <w:rFonts w:ascii="Times New Roman" w:cs="Times New Roman" w:eastAsia="Times New Roman" w:hAnsi="Times New Roman"/>
          <w:sz w:val="18"/>
          <w:szCs w:val="18"/>
          <w:color w:val="auto"/>
        </w:rPr>
        <w:t>” means any shares of the Common Stock purchased by or granted to a Participant by the Company under this Plan.</w:t>
      </w:r>
    </w:p>
    <w:p>
      <w:pPr>
        <w:spacing w:after="0" w:line="15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0860"/>
          </w:cols>
          <w:pgMar w:left="500" w:top="268" w:right="539" w:bottom="1440" w:gutter="0" w:footer="0" w:header="0"/>
        </w:sectPr>
      </w:pPr>
    </w:p>
    <w:bookmarkStart w:id="430" w:name="page431"/>
    <w:bookmarkEnd w:id="430"/>
    <w:p>
      <w:pPr>
        <w:ind w:left="6" w:right="40" w:firstLine="981"/>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Common Stock awarded to a Participant pursuant to Article V below that is subject to certain vesting conditions and other restrictions.</w:t>
      </w:r>
    </w:p>
    <w:p>
      <w:pPr>
        <w:spacing w:after="0" w:line="163" w:lineRule="exact"/>
        <w:rPr>
          <w:sz w:val="20"/>
          <w:szCs w:val="20"/>
          <w:color w:val="auto"/>
        </w:rPr>
      </w:pPr>
    </w:p>
    <w:p>
      <w:pPr>
        <w:ind w:left="6" w:right="120" w:firstLine="98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an unfunded, unsecured right to receive, on the applicable settlement date, one share of Common Stock or an amount in cash or other consideration determined by the Board equal to the value thereof as of such settlement date, which right may be subject to certain vesting conditions and other restrictions.</w:t>
      </w:r>
    </w:p>
    <w:p>
      <w:pPr>
        <w:spacing w:after="0" w:line="177" w:lineRule="exact"/>
        <w:rPr>
          <w:sz w:val="20"/>
          <w:szCs w:val="20"/>
          <w:color w:val="auto"/>
        </w:rPr>
      </w:pPr>
    </w:p>
    <w:p>
      <w:pPr>
        <w:jc w:val="both"/>
        <w:ind w:left="6" w:firstLine="98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of the Company</w:t>
      </w:r>
      <w:r>
        <w:rPr>
          <w:rFonts w:ascii="Times New Roman" w:cs="Times New Roman" w:eastAsia="Times New Roman" w:hAnsi="Times New Roman"/>
          <w:sz w:val="18"/>
          <w:szCs w:val="18"/>
          <w:color w:val="auto"/>
        </w:rPr>
        <w:t>” means a transaction among the Company or any holding company of the Company and an independent third party or group of independent third parties pursuant to which such party or parties (i) acquire capital stock of the Company possessing the voting power under normal circumstances to elect a majority of the Board (whether by merger, consolidation or sale or transfer of the Company’s capital stock or otherwise), or (ii) acquire or obtain an exclusive license to all or substantially all of the Company’s assets determined on a consolidated basis.</w:t>
      </w:r>
    </w:p>
    <w:p>
      <w:pPr>
        <w:spacing w:after="0" w:line="182" w:lineRule="exact"/>
        <w:rPr>
          <w:sz w:val="20"/>
          <w:szCs w:val="20"/>
          <w:color w:val="auto"/>
        </w:rPr>
      </w:pPr>
    </w:p>
    <w:p>
      <w:pPr>
        <w:ind w:left="6" w:right="160" w:firstLine="98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means that certain Amended and Restated Stockholders Agreement, dated as of October 12, 2018, by and among the Company and certain Stockholders (as defined therein) party thereto, as may be amended or modified from time to time in accordance with its terms.</w:t>
      </w:r>
    </w:p>
    <w:p>
      <w:pPr>
        <w:spacing w:after="0" w:line="39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ARTICLE III</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u w:val="single" w:color="auto"/>
          <w:color w:val="auto"/>
        </w:rPr>
        <w:t>Administration</w:t>
      </w:r>
    </w:p>
    <w:p>
      <w:pPr>
        <w:spacing w:after="0" w:line="220" w:lineRule="exact"/>
        <w:rPr>
          <w:sz w:val="20"/>
          <w:szCs w:val="20"/>
          <w:color w:val="auto"/>
        </w:rPr>
      </w:pPr>
    </w:p>
    <w:p>
      <w:pPr>
        <w:ind w:left="6" w:right="340" w:firstLine="981"/>
        <w:spacing w:after="0" w:line="274" w:lineRule="auto"/>
        <w:rPr>
          <w:sz w:val="20"/>
          <w:szCs w:val="20"/>
          <w:color w:val="auto"/>
        </w:rPr>
      </w:pPr>
      <w:r>
        <w:rPr>
          <w:rFonts w:ascii="Times New Roman" w:cs="Times New Roman" w:eastAsia="Times New Roman" w:hAnsi="Times New Roman"/>
          <w:sz w:val="17"/>
          <w:szCs w:val="17"/>
          <w:color w:val="auto"/>
        </w:rPr>
        <w:t>The Plan shall be administered by the Board (or a committee appointed thereby). Subject to the limitations of the Plan, the Board shall have the sole and complete authority to: (i) select Participants, (ii) grant Awards to Participants in such forms and amounts as it shall determine,</w:t>
      </w:r>
    </w:p>
    <w:p>
      <w:pPr>
        <w:ind w:left="306" w:hanging="306"/>
        <w:spacing w:after="0"/>
        <w:tabs>
          <w:tab w:leader="none" w:pos="30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such limitations, restrictions and conditions upon such Awards as it shall deem appropriate, (iv) interpret the Plan and adopt, amend and</w:t>
      </w:r>
    </w:p>
    <w:p>
      <w:pPr>
        <w:spacing w:after="0" w:line="6" w:lineRule="exact"/>
        <w:rPr>
          <w:rFonts w:ascii="Times New Roman" w:cs="Times New Roman" w:eastAsia="Times New Roman" w:hAnsi="Times New Roman"/>
          <w:sz w:val="18"/>
          <w:szCs w:val="18"/>
          <w:color w:val="auto"/>
        </w:rPr>
      </w:pPr>
    </w:p>
    <w:p>
      <w:pPr>
        <w:ind w:left="6" w:right="2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rescind administrative guidelines and other rules and regulations relating to the Plan, (v) correct any defect or omission or reconcile any inconsistency in the Plan or in any Award granted hereunder and (vi) make all other determinations and take all other actions necessary or advisable for the implementation and administration of the Plan. The Board’s determinations on matters within its authority shall be conclusive and binding upon Participants, the Company and all other Persons. All expenses associated with the administration of the Plan shall be borne by the Company. The Board may, to the extent permissible by law, delegate any of its authority hereunder to such Persons as it deems appropriate. References herein to the “Board” means the Board or a committee or such Persons to the extent that the Board’s powers or authority under the Plan have been delegated to such committee and/or Persons.</w:t>
      </w:r>
    </w:p>
    <w:p>
      <w:pPr>
        <w:spacing w:after="0" w:line="120" w:lineRule="exact"/>
        <w:rPr>
          <w:rFonts w:ascii="Times New Roman" w:cs="Times New Roman" w:eastAsia="Times New Roman" w:hAnsi="Times New Roman"/>
          <w:sz w:val="18"/>
          <w:szCs w:val="18"/>
          <w:color w:val="auto"/>
        </w:rPr>
      </w:pPr>
    </w:p>
    <w:p>
      <w:pPr>
        <w:ind w:left="5406" w:hanging="104"/>
        <w:spacing w:after="0"/>
        <w:tabs>
          <w:tab w:leader="none" w:pos="5406"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886"/>
          </w:cols>
          <w:pgMar w:left="494" w:top="268" w:right="519" w:bottom="1440" w:gutter="0" w:footer="0" w:header="0"/>
        </w:sectPr>
      </w:pPr>
    </w:p>
    <w:bookmarkStart w:id="431" w:name="page432"/>
    <w:bookmarkEnd w:id="43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IV</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Limitation on Aggregate Shares</w:t>
      </w:r>
    </w:p>
    <w:p>
      <w:pPr>
        <w:spacing w:after="0" w:line="220" w:lineRule="exact"/>
        <w:rPr>
          <w:sz w:val="20"/>
          <w:szCs w:val="20"/>
          <w:color w:val="auto"/>
        </w:rPr>
      </w:pPr>
    </w:p>
    <w:p>
      <w:pPr>
        <w:ind w:right="200" w:firstLine="981"/>
        <w:spacing w:after="0" w:line="252" w:lineRule="auto"/>
        <w:rPr>
          <w:sz w:val="20"/>
          <w:szCs w:val="20"/>
          <w:color w:val="auto"/>
        </w:rPr>
      </w:pPr>
      <w:r>
        <w:rPr>
          <w:rFonts w:ascii="Times New Roman" w:cs="Times New Roman" w:eastAsia="Times New Roman" w:hAnsi="Times New Roman"/>
          <w:sz w:val="18"/>
          <w:szCs w:val="18"/>
          <w:color w:val="auto"/>
        </w:rPr>
        <w:t xml:space="preserve">The number of shares of Common Stock (i) with respect to which Awards may be granted under the Plan shall not exceed, in the aggregate, 39,095,360 shares, and (ii) which may be issued upon the exercise of Legacy Options shall not exceed, in the aggregate, 5,480,225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type and the aggregate number of shares which may be subject to Awards shall be subject to adjustment in accordance with the provisions of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to the extent any Awards expire unexercised or are canceled, terminated or forfeited in any manner without the issuance of shares of Common Stock thereunder, in each case prior to the Termination Date, such shares shall again be available under the Plan. The shares of Common Stock available for issuance under the Plan (including upon the exercise of the Legacy Options) may be either authorized and unissued shares, shares purchased on the open market (if applicable), treasury shares or a combination thereof, as the Board shall determine.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Awards</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660" w:hanging="249"/>
        <w:spacing w:after="0"/>
        <w:tabs>
          <w:tab w:leader="none" w:pos="166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xml:space="preserve">. The Board may grant Options to Participants in accordance with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firstLine="1411"/>
        <w:spacing w:after="0" w:line="251" w:lineRule="auto"/>
        <w:tabs>
          <w:tab w:leader="none" w:pos="1669"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Option</w:t>
      </w:r>
      <w:r>
        <w:rPr>
          <w:rFonts w:ascii="Times New Roman" w:cs="Times New Roman" w:eastAsia="Times New Roman" w:hAnsi="Times New Roman"/>
          <w:sz w:val="18"/>
          <w:szCs w:val="18"/>
          <w:color w:val="auto"/>
        </w:rPr>
        <w:t>. Options granted under this Plan shall be nonqualified stock options and are not intended to be “incentive stock options” within the meaning of Code §422 or any successor provision. The Options issued hereunder are intended to avoid the treatment as deferred compensation of the Participant under Code §409A (or Treasury Regulations or other official IRS guidance issued under Code §409A). However, neither the Company nor any of its affiliates shall make any representations with respect to the application of Code §409A to the Options and, by the acceptance of the Options, the Participants shall agree to accept the potential application of Code §409A to the Options and the other tax consequences of the issuance, vesting, ownership, modification, adjustment, exercise and disposition of the Options. In the event that, after the issuance of an Option under the Plan, Code §409A or the regulations thereunder are amended, or the IRS or Treasury Department issues additional guidance interpreting Code §409A, the Board may modify the terms of any such previously issued Option to the extent the Board determines that such modification is necessary to comply with the requirements of Code §409A. In no event whatsoever shall the Company be liable for any additional tax, interest or penalty that may be imposed on any Participant by Code §409A or damages for failing to comply with Code §409A.</w:t>
      </w:r>
    </w:p>
    <w:p>
      <w:pPr>
        <w:spacing w:after="0" w:line="79" w:lineRule="exact"/>
        <w:rPr>
          <w:rFonts w:ascii="Times New Roman" w:cs="Times New Roman" w:eastAsia="Times New Roman" w:hAnsi="Times New Roman"/>
          <w:sz w:val="18"/>
          <w:szCs w:val="18"/>
          <w:color w:val="auto"/>
        </w:rPr>
      </w:pPr>
    </w:p>
    <w:p>
      <w:pPr>
        <w:ind w:right="220" w:firstLine="1411"/>
        <w:spacing w:after="0" w:line="277" w:lineRule="auto"/>
        <w:tabs>
          <w:tab w:leader="none" w:pos="1659"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Option exercise price per share of Common Stock shall be fixed by the Board at not less than 100% of the Fair Market Value of a share of Common Stock on the date of grant.</w:t>
      </w:r>
    </w:p>
    <w:p>
      <w:pPr>
        <w:spacing w:after="0" w:line="56" w:lineRule="exact"/>
        <w:rPr>
          <w:rFonts w:ascii="Times New Roman" w:cs="Times New Roman" w:eastAsia="Times New Roman" w:hAnsi="Times New Roman"/>
          <w:sz w:val="18"/>
          <w:szCs w:val="18"/>
          <w:color w:val="auto"/>
        </w:rPr>
      </w:pPr>
    </w:p>
    <w:p>
      <w:pPr>
        <w:ind w:left="1660" w:hanging="249"/>
        <w:spacing w:after="0"/>
        <w:tabs>
          <w:tab w:leader="none" w:pos="166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w:t>
      </w:r>
      <w:r>
        <w:rPr>
          <w:rFonts w:ascii="Times New Roman" w:cs="Times New Roman" w:eastAsia="Times New Roman" w:hAnsi="Times New Roman"/>
          <w:sz w:val="18"/>
          <w:szCs w:val="18"/>
          <w:color w:val="auto"/>
        </w:rPr>
        <w:t>. Options shall be exercisable at such time or times as the Board shall determine at or subsequent to grant.</w:t>
      </w:r>
    </w:p>
    <w:p>
      <w:pPr>
        <w:spacing w:after="0" w:line="153" w:lineRule="exact"/>
        <w:rPr>
          <w:rFonts w:ascii="Times New Roman" w:cs="Times New Roman" w:eastAsia="Times New Roman" w:hAnsi="Times New Roman"/>
          <w:sz w:val="18"/>
          <w:szCs w:val="18"/>
          <w:color w:val="auto"/>
        </w:rPr>
      </w:pPr>
    </w:p>
    <w:p>
      <w:pPr>
        <w:ind w:left="5400" w:hanging="104"/>
        <w:spacing w:after="0"/>
        <w:tabs>
          <w:tab w:leader="none" w:pos="540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860"/>
          </w:cols>
          <w:pgMar w:left="500" w:top="268" w:right="539" w:bottom="1440" w:gutter="0" w:footer="0" w:header="0"/>
        </w:sectPr>
      </w:pPr>
    </w:p>
    <w:bookmarkStart w:id="432" w:name="page433"/>
    <w:bookmarkEnd w:id="432"/>
    <w:p>
      <w:pPr>
        <w:ind w:firstLine="1411"/>
        <w:spacing w:after="0" w:line="251" w:lineRule="auto"/>
        <w:tabs>
          <w:tab w:leader="none" w:pos="1659"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Payment of Exercise Price</w:t>
      </w:r>
      <w:r>
        <w:rPr>
          <w:rFonts w:ascii="Times New Roman" w:cs="Times New Roman" w:eastAsia="Times New Roman" w:hAnsi="Times New Roman"/>
          <w:sz w:val="18"/>
          <w:szCs w:val="18"/>
          <w:color w:val="auto"/>
        </w:rPr>
        <w:t>. Options shall be exercised in whole or in part by written notice to the Company (to the attention of the Company’s Secretary) accompanied by payment in full of the Option exercise price. Payment of the Option exercise price shall be made in cash (including check, bank draft or money order) or, in the discretion of the Board, by (i) delivery of a promissory note, (ii) surrendering Common Stock that has been owned by Participant for at least six months and that has a Fair Market Value equal to the exercise price, (iii) (A) delivery (including electronically or telephonically to the extent permitted by the Company) of an irrevocable and unconditional undertaking by a broker acceptable to the Company to deliver promptly to the Company sufficient funds to satisfy the exercise price, or (B) delivery by Participant to the Company of a copy of irrevocable and unconditional instructions to a broker acceptable to the Company to deliver promptly to the Company cash or a check sufficient to satisfy the exercise price; provided that such amount is paid to the Company at such time as may be required by the Board, (iv) surrendering Shares then issuable upon the Option’s exercise equal to the exercise price, valued at their Fair Market Value on the exercise date, or (v) any combination of the foregoing (in each case, if in accordance with policies approved by the Board).</w:t>
      </w:r>
    </w:p>
    <w:p>
      <w:pPr>
        <w:spacing w:after="0" w:line="79" w:lineRule="exact"/>
        <w:rPr>
          <w:rFonts w:ascii="Times New Roman" w:cs="Times New Roman" w:eastAsia="Times New Roman" w:hAnsi="Times New Roman"/>
          <w:sz w:val="18"/>
          <w:szCs w:val="18"/>
          <w:color w:val="auto"/>
        </w:rPr>
      </w:pPr>
    </w:p>
    <w:p>
      <w:pPr>
        <w:ind w:left="1640" w:hanging="229"/>
        <w:spacing w:after="0"/>
        <w:tabs>
          <w:tab w:leader="none" w:pos="16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Options</w:t>
      </w:r>
      <w:r>
        <w:rPr>
          <w:rFonts w:ascii="Times New Roman" w:cs="Times New Roman" w:eastAsia="Times New Roman" w:hAnsi="Times New Roman"/>
          <w:sz w:val="18"/>
          <w:szCs w:val="18"/>
          <w:color w:val="auto"/>
        </w:rPr>
        <w:t>. The Board shall determine the term of each Option, which term shall in no event exceed ten years from the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grant.</w:t>
      </w:r>
    </w:p>
    <w:p>
      <w:pPr>
        <w:spacing w:after="0" w:line="95" w:lineRule="exact"/>
        <w:rPr>
          <w:sz w:val="20"/>
          <w:szCs w:val="20"/>
          <w:color w:val="auto"/>
        </w:rPr>
      </w:pPr>
    </w:p>
    <w:p>
      <w:pPr>
        <w:ind w:right="120" w:firstLine="981"/>
        <w:spacing w:after="0" w:line="257"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The Board shall have the power and authority to issue, sell and/or grant to any Participant shares of Common Stock at any time prior to the termination of this Plan in such quantity, at such price, on such terms and subject to such conditions and restrictions that are consistent with this Plan and established by the Board. Restricted Stock sold or granted under this Plan shall be subject to such terms and evidenced by an Award Agreement (as defined below).</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40" w:firstLine="1411"/>
        <w:spacing w:after="0" w:line="277" w:lineRule="auto"/>
        <w:tabs>
          <w:tab w:leader="none" w:pos="1659"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to Participants Restricted Stock Units, which may be subject to vesting and forfeiture conditions during applicable restriction period or periods, as set forth in an applicable Award Agreement.</w:t>
      </w:r>
    </w:p>
    <w:p>
      <w:pPr>
        <w:spacing w:after="0" w:line="56" w:lineRule="exact"/>
        <w:rPr>
          <w:rFonts w:ascii="Times New Roman" w:cs="Times New Roman" w:eastAsia="Times New Roman" w:hAnsi="Times New Roman"/>
          <w:sz w:val="18"/>
          <w:szCs w:val="18"/>
          <w:color w:val="auto"/>
        </w:rPr>
      </w:pPr>
    </w:p>
    <w:p>
      <w:pPr>
        <w:ind w:right="560" w:firstLine="1411"/>
        <w:spacing w:after="0" w:line="308" w:lineRule="auto"/>
        <w:tabs>
          <w:tab w:leader="none" w:pos="1669" w:val="left"/>
        </w:tabs>
        <w:numPr>
          <w:ilvl w:val="0"/>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Terms and Conditions for Restricted Stock Unit Awards</w:t>
      </w:r>
      <w:r>
        <w:rPr>
          <w:rFonts w:ascii="Times New Roman" w:cs="Times New Roman" w:eastAsia="Times New Roman" w:hAnsi="Times New Roman"/>
          <w:sz w:val="17"/>
          <w:szCs w:val="17"/>
          <w:color w:val="auto"/>
        </w:rPr>
        <w:t>. The Board shall determine and set forth in the applicable Award Agreement the terms and conditions applicable to each Restricted Stock Unit Award, including the conditions for vesting (or forfeiture), if any.</w:t>
      </w:r>
    </w:p>
    <w:p>
      <w:pPr>
        <w:spacing w:after="0" w:line="32" w:lineRule="exact"/>
        <w:rPr>
          <w:rFonts w:ascii="Times New Roman" w:cs="Times New Roman" w:eastAsia="Times New Roman" w:hAnsi="Times New Roman"/>
          <w:sz w:val="17"/>
          <w:szCs w:val="17"/>
          <w:color w:val="auto"/>
        </w:rPr>
      </w:pPr>
    </w:p>
    <w:p>
      <w:pPr>
        <w:ind w:right="20" w:firstLine="1411"/>
        <w:spacing w:after="0" w:line="255" w:lineRule="auto"/>
        <w:tabs>
          <w:tab w:leader="none" w:pos="1659"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Upon the vesting of a Restricted Stock Unit, Participant shall be entitled to receive from the Company one share of Common Stock or an amount of cash or other property equal to the Fair Market Value of one share of Common Stock on the settlement date, as the Board shall determine and as provided in the applicable Award Agreement. The Board may provide that settlement of Restricted Stock Units shall occur upon or as soon as reasonably practicable after the vesting of Restricted Stock Units or shall instead be deferred, on a mandatory basis or at the election of Participant, in a manner that complies with Section 409A of the Code.</w:t>
      </w:r>
    </w:p>
    <w:p>
      <w:pPr>
        <w:spacing w:after="0" w:line="75" w:lineRule="exact"/>
        <w:rPr>
          <w:rFonts w:ascii="Times New Roman" w:cs="Times New Roman" w:eastAsia="Times New Roman" w:hAnsi="Times New Roman"/>
          <w:sz w:val="18"/>
          <w:szCs w:val="18"/>
          <w:color w:val="auto"/>
        </w:rPr>
      </w:pPr>
    </w:p>
    <w:p>
      <w:pPr>
        <w:ind w:right="180" w:firstLine="1411"/>
        <w:spacing w:after="0" w:line="277" w:lineRule="auto"/>
        <w:tabs>
          <w:tab w:leader="none" w:pos="1669"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A Participant shall have no voting rights with respect to any Restricted Stock Units unless and until such shares are delivered in settlement hereof.</w:t>
      </w:r>
    </w:p>
    <w:p>
      <w:pPr>
        <w:spacing w:after="0" w:line="96" w:lineRule="exact"/>
        <w:rPr>
          <w:rFonts w:ascii="Times New Roman" w:cs="Times New Roman" w:eastAsia="Times New Roman" w:hAnsi="Times New Roman"/>
          <w:sz w:val="18"/>
          <w:szCs w:val="18"/>
          <w:color w:val="auto"/>
        </w:rPr>
      </w:pPr>
    </w:p>
    <w:p>
      <w:pPr>
        <w:ind w:left="5400" w:hanging="104"/>
        <w:spacing w:after="0"/>
        <w:tabs>
          <w:tab w:leader="none" w:pos="540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860"/>
          </w:cols>
          <w:pgMar w:left="500" w:top="268" w:right="539" w:bottom="1440" w:gutter="0" w:footer="0" w:header="0"/>
        </w:sectPr>
      </w:pPr>
    </w:p>
    <w:bookmarkStart w:id="433" w:name="page434"/>
    <w:bookmarkEnd w:id="433"/>
    <w:p>
      <w:pPr>
        <w:jc w:val="both"/>
        <w:ind w:right="40" w:firstLine="1411"/>
        <w:spacing w:after="0" w:line="255" w:lineRule="auto"/>
        <w:tabs>
          <w:tab w:leader="none" w:pos="1659"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Dividend Equivalents</w:t>
      </w:r>
      <w:r>
        <w:rPr>
          <w:rFonts w:ascii="Times New Roman" w:cs="Times New Roman" w:eastAsia="Times New Roman" w:hAnsi="Times New Roman"/>
          <w:sz w:val="18"/>
          <w:szCs w:val="18"/>
          <w:color w:val="auto"/>
        </w:rPr>
        <w:t>. To the extent provided by the Board, a grant of Restricted Stock Units may provide a Participant with the right to receive Dividend Equivalents. Dividend Equivalents may be paid currently or credited to an account for such Participant, may be settled in cash and/or shares of Common Stock and may be subject to the same restrictions on transfer and forfeitability as the Restricted Stock Units with respect to which the Dividend Equivalents are paid, as determined by the Board, subject, in each case, to such terms and conditions as the Board shall establish and set forth in the applicable Award Agreement.</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General Provisions</w:t>
      </w:r>
    </w:p>
    <w:p>
      <w:pPr>
        <w:spacing w:after="0" w:line="220" w:lineRule="exact"/>
        <w:rPr>
          <w:sz w:val="20"/>
          <w:szCs w:val="20"/>
          <w:color w:val="auto"/>
        </w:rPr>
      </w:pPr>
    </w:p>
    <w:p>
      <w:pPr>
        <w:jc w:val="both"/>
        <w:ind w:right="40" w:firstLine="981"/>
        <w:spacing w:after="0" w:line="26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Conditions and Limitations on Exercise/Settlement</w:t>
      </w:r>
      <w:r>
        <w:rPr>
          <w:rFonts w:ascii="Times New Roman" w:cs="Times New Roman" w:eastAsia="Times New Roman" w:hAnsi="Times New Roman"/>
          <w:sz w:val="18"/>
          <w:szCs w:val="18"/>
          <w:color w:val="auto"/>
        </w:rPr>
        <w:t>. Awards may vest and be made exercisable or settled in one or more installments, upon the happening of certain events, upon the passage of a specified period of time, upon the fulfillment of certain conditions or upon the achievement by the Company of certain performance goals, as the Board shall decide in each case when the Awards are granted.</w:t>
      </w:r>
    </w:p>
    <w:p>
      <w:pPr>
        <w:spacing w:after="0" w:line="70" w:lineRule="exact"/>
        <w:rPr>
          <w:sz w:val="20"/>
          <w:szCs w:val="20"/>
          <w:color w:val="auto"/>
        </w:rPr>
      </w:pPr>
    </w:p>
    <w:p>
      <w:pPr>
        <w:ind w:right="20" w:firstLine="981"/>
        <w:spacing w:after="0" w:line="25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Sale of the Company</w:t>
      </w:r>
      <w:r>
        <w:rPr>
          <w:rFonts w:ascii="Times New Roman" w:cs="Times New Roman" w:eastAsia="Times New Roman" w:hAnsi="Times New Roman"/>
          <w:sz w:val="18"/>
          <w:szCs w:val="18"/>
          <w:color w:val="auto"/>
        </w:rPr>
        <w:t>. In the event of a Sale of the Company, except as otherwise provided in a Participant’s Award Agreement, the Board may provide, in its discretion, that (i) any unvested Award shall be terminated without payment of any kind or (ii) any unvested Award shall immediately vest, causing, in the case of Options, such Option to be immediately exercisable; or (iii) that any Award (vested or unvested) shall be terminated in exchange for a cash payment in such amount as the Board may determine, but not less than the Fair Market Value per share of Common Stock (measured as of the date of such Sale of the Company) or, in the case of any Option, not less than the product of (A) the excess of the Fair Market Value per share of Common Stock (measured as of the date of such Sale of the Company) over such Option’s exercise price multiplied by (B) the number of shares of Common Stock issuable upon exercise of such Option.</w:t>
      </w:r>
    </w:p>
    <w:p>
      <w:pPr>
        <w:spacing w:after="0" w:line="82" w:lineRule="exact"/>
        <w:rPr>
          <w:sz w:val="20"/>
          <w:szCs w:val="20"/>
          <w:color w:val="auto"/>
        </w:rPr>
      </w:pPr>
    </w:p>
    <w:p>
      <w:pPr>
        <w:ind w:firstLine="981"/>
        <w:spacing w:after="0" w:line="25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Written Agreement</w:t>
      </w:r>
      <w:r>
        <w:rPr>
          <w:rFonts w:ascii="Times New Roman" w:cs="Times New Roman" w:eastAsia="Times New Roman" w:hAnsi="Times New Roman"/>
          <w:sz w:val="18"/>
          <w:szCs w:val="18"/>
          <w:color w:val="auto"/>
        </w:rPr>
        <w:t>. Each Award granted hereunder to a Participant shall be embodied in a written agreement (an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which shall be signed by Participant and by the President, the Chief Executive Officer or any Vice President of the Company for and in the name and on behalf of the Company and shall be subject to the terms and conditions prescribed in the Award Agreement (including, but not limited to, (i) the right of the Company and such other Persons as the Board shall designate (“</w:t>
      </w:r>
      <w:r>
        <w:rPr>
          <w:rFonts w:ascii="Times New Roman" w:cs="Times New Roman" w:eastAsia="Times New Roman" w:hAnsi="Times New Roman"/>
          <w:sz w:val="18"/>
          <w:szCs w:val="18"/>
          <w:u w:val="single" w:color="auto"/>
          <w:color w:val="auto"/>
        </w:rPr>
        <w:t>Designees</w:t>
      </w:r>
      <w:r>
        <w:rPr>
          <w:rFonts w:ascii="Times New Roman" w:cs="Times New Roman" w:eastAsia="Times New Roman" w:hAnsi="Times New Roman"/>
          <w:sz w:val="18"/>
          <w:szCs w:val="18"/>
          <w:color w:val="auto"/>
        </w:rPr>
        <w:t xml:space="preserve">”) to repurchase from each Participant, and such Participant’s transferees, all shares of Common Stock issued to such Participant on the exercise of an Option in the event of such Participant’s termination of employment in accordance with the provisions of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below, (ii) rights of first refusal granted to the Company and Designees, (iii) holdback and other registration right restrictions in the event of a public registration of any equity securities of the Company and (iv) any other terms and conditions which the Board shall deem necessary and desirable).</w:t>
      </w:r>
    </w:p>
    <w:p>
      <w:pPr>
        <w:spacing w:after="0" w:line="78" w:lineRule="exact"/>
        <w:rPr>
          <w:sz w:val="20"/>
          <w:szCs w:val="20"/>
          <w:color w:val="auto"/>
        </w:rPr>
      </w:pPr>
    </w:p>
    <w:p>
      <w:pPr>
        <w:ind w:firstLine="981"/>
        <w:spacing w:after="0" w:line="25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Listing, Registration and Compliance with Laws and Regulations; Conditions on Issuance</w:t>
      </w:r>
      <w:r>
        <w:rPr>
          <w:rFonts w:ascii="Times New Roman" w:cs="Times New Roman" w:eastAsia="Times New Roman" w:hAnsi="Times New Roman"/>
          <w:sz w:val="18"/>
          <w:szCs w:val="18"/>
          <w:color w:val="auto"/>
        </w:rPr>
        <w:t>. Awards shall be subject to the requirement that if at any time the Board shall determine, in its discretion, that the listing, registration or qualification of the shares subject to the Awards upon any securities exchange or under any state or federal securities or other law or regulation, or the consent or approval of any governmental regulatory body, is necessary or desirable as a condition to or in connection with the granting of the Awards or the issuance or purchase of shares thereunder, no Awards may be granted, settled or exercised, in whole or in part,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0840"/>
          </w:cols>
          <w:pgMar w:left="500" w:top="268" w:right="559" w:bottom="1440" w:gutter="0" w:footer="0" w:header="0"/>
        </w:sectPr>
      </w:pPr>
    </w:p>
    <w:bookmarkStart w:id="434" w:name="page435"/>
    <w:bookmarkEnd w:id="434"/>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unless such listing, registration, qualification, consent or approval shall have been effected or obtained free of any conditions not acceptable to the Board. The holders of such Awards shall supply the Company with such certificates, representations and information as the Company shall request and shall otherwise cooperate with the Company in obtaining such listing, registration, qualification, consent or approval. In the case of officers and other Persons subject to Section 16(b) of the Securities Exchange Act of 1934, as amended, the Board may at any time impose any limitations upon the vesting, settlement or exercise of an Award that, in the Board’s discretion, are necessary or desirable in order to comply with such Section 16(b) and the rules and regulations thereunder. If the Company, as part of an offering of securities or otherwise, finds it desirable because of federal or state regulatory requirements to reduce the period during which any Options may be exercised, the Board, may, in its discretion and without the Participant’s consent, so reduce such period on not less than 15 days written notice to the holders thereof.</w:t>
      </w:r>
    </w:p>
    <w:p>
      <w:pPr>
        <w:spacing w:after="0" w:line="78" w:lineRule="exact"/>
        <w:rPr>
          <w:sz w:val="20"/>
          <w:szCs w:val="20"/>
          <w:color w:val="auto"/>
        </w:rPr>
      </w:pPr>
    </w:p>
    <w:p>
      <w:pPr>
        <w:ind w:right="240" w:firstLine="981"/>
        <w:spacing w:after="0" w:line="26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Legacy Plan</w:t>
      </w:r>
      <w:r>
        <w:rPr>
          <w:rFonts w:ascii="Times New Roman" w:cs="Times New Roman" w:eastAsia="Times New Roman" w:hAnsi="Times New Roman"/>
          <w:sz w:val="18"/>
          <w:szCs w:val="18"/>
          <w:color w:val="auto"/>
        </w:rPr>
        <w:t xml:space="preserve">. Notwithstanding anything in this Plan to the contrary, all Legacy Options assumed by the Company pursuant to Section 1.5(b) of the Purchase Agreement shall be governed by the terms and conditions of the Legacy Plan which is attached hereto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and incorporated herein by reference; provided that the Legacy Plan shall be amended as follows:</w:t>
      </w:r>
    </w:p>
    <w:p>
      <w:pPr>
        <w:spacing w:after="0" w:line="70" w:lineRule="exact"/>
        <w:rPr>
          <w:sz w:val="20"/>
          <w:szCs w:val="20"/>
          <w:color w:val="auto"/>
        </w:rPr>
      </w:pPr>
    </w:p>
    <w:p>
      <w:pPr>
        <w:ind w:left="1660" w:hanging="249"/>
        <w:spacing w:after="0"/>
        <w:tabs>
          <w:tab w:leader="none" w:pos="16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“GoodRx, Inc.” shall be replaced in each instance where it occurs with the phrase “GoodRx Holdings, Inc.”;</w:t>
      </w:r>
    </w:p>
    <w:p>
      <w:pPr>
        <w:spacing w:after="0" w:line="113" w:lineRule="exact"/>
        <w:rPr>
          <w:rFonts w:ascii="Times New Roman" w:cs="Times New Roman" w:eastAsia="Times New Roman" w:hAnsi="Times New Roman"/>
          <w:sz w:val="18"/>
          <w:szCs w:val="18"/>
          <w:color w:val="auto"/>
        </w:rPr>
      </w:pPr>
    </w:p>
    <w:p>
      <w:pPr>
        <w:ind w:left="1660" w:hanging="249"/>
        <w:spacing w:after="0"/>
        <w:tabs>
          <w:tab w:leader="none" w:pos="1660"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definition of “Stock” and “Share” shall be amended and restated in their entirety to mean “Common Stock” as defined herein;</w:t>
      </w:r>
    </w:p>
    <w:p>
      <w:pPr>
        <w:spacing w:after="0" w:line="125" w:lineRule="exact"/>
        <w:rPr>
          <w:rFonts w:ascii="Times New Roman" w:cs="Times New Roman" w:eastAsia="Times New Roman" w:hAnsi="Times New Roman"/>
          <w:sz w:val="17"/>
          <w:szCs w:val="17"/>
          <w:color w:val="auto"/>
        </w:rPr>
      </w:pPr>
    </w:p>
    <w:p>
      <w:pPr>
        <w:ind w:left="1660" w:hanging="249"/>
        <w:spacing w:after="0"/>
        <w:tabs>
          <w:tab w:leader="none" w:pos="16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“Plan” shall be replaced with in each instance where they occur with “Legacy Plan”;</w:t>
      </w:r>
    </w:p>
    <w:p>
      <w:pPr>
        <w:spacing w:after="0" w:line="113" w:lineRule="exact"/>
        <w:rPr>
          <w:rFonts w:ascii="Times New Roman" w:cs="Times New Roman" w:eastAsia="Times New Roman" w:hAnsi="Times New Roman"/>
          <w:sz w:val="18"/>
          <w:szCs w:val="18"/>
          <w:color w:val="auto"/>
        </w:rPr>
      </w:pPr>
    </w:p>
    <w:p>
      <w:pPr>
        <w:jc w:val="both"/>
        <w:ind w:right="80" w:firstLine="1411"/>
        <w:spacing w:after="0" w:line="262" w:lineRule="auto"/>
        <w:tabs>
          <w:tab w:leader="none" w:pos="1669"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4(b) shall be amended and restated in its entirety to provide: “Notwithstanding anything herein to the contrary, from and after October 7, 2015, no direct award or sale of Shares pursuant to Section 5 or grant of Legacy Options to purchase Shares pursuant to Section 6 shall be made under the Legacy Plan.”; and</w:t>
      </w:r>
    </w:p>
    <w:p>
      <w:pPr>
        <w:spacing w:after="0" w:line="70" w:lineRule="exact"/>
        <w:rPr>
          <w:rFonts w:ascii="Times New Roman" w:cs="Times New Roman" w:eastAsia="Times New Roman" w:hAnsi="Times New Roman"/>
          <w:sz w:val="18"/>
          <w:szCs w:val="18"/>
          <w:color w:val="auto"/>
        </w:rPr>
      </w:pPr>
    </w:p>
    <w:p>
      <w:pPr>
        <w:ind w:left="1660" w:hanging="249"/>
        <w:spacing w:after="0"/>
        <w:tabs>
          <w:tab w:leader="none" w:pos="16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“The common stockholders holding at least a majority of the outstanding common stock of the Company (the</w:t>
      </w:r>
    </w:p>
    <w:p>
      <w:pPr>
        <w:spacing w:after="0" w:line="26" w:lineRule="exact"/>
        <w:rPr>
          <w:sz w:val="20"/>
          <w:szCs w:val="20"/>
          <w:color w:val="auto"/>
        </w:rPr>
      </w:pPr>
    </w:p>
    <w:p>
      <w:pPr>
        <w:ind w:right="52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Majority in Interest of the Stockholders</w:t>
      </w:r>
      <w:r>
        <w:rPr>
          <w:rFonts w:ascii="Times New Roman" w:cs="Times New Roman" w:eastAsia="Times New Roman" w:hAnsi="Times New Roman"/>
          <w:sz w:val="18"/>
          <w:szCs w:val="18"/>
          <w:color w:val="auto"/>
        </w:rPr>
        <w:t>”)” in the first sentence of Section 9 shall be amended and replaced with the phrase “The stockholders holding at least a majority of the outstanding capital stock of the Company, voting on an as converted basis (the “</w:t>
      </w:r>
      <w:r>
        <w:rPr>
          <w:rFonts w:ascii="Times New Roman" w:cs="Times New Roman" w:eastAsia="Times New Roman" w:hAnsi="Times New Roman"/>
          <w:sz w:val="18"/>
          <w:szCs w:val="18"/>
          <w:b w:val="1"/>
          <w:bCs w:val="1"/>
          <w:color w:val="auto"/>
        </w:rPr>
        <w:t>Majority in Interest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0880"/>
          </w:cols>
          <w:pgMar w:left="500" w:top="268" w:right="519" w:bottom="1440" w:gutter="0" w:footer="0" w:header="0"/>
        </w:sectPr>
      </w:pPr>
    </w:p>
    <w:bookmarkStart w:id="435" w:name="page436"/>
    <w:bookmarkEnd w:id="435"/>
    <w:p>
      <w:pPr>
        <w:ind w:right="100" w:firstLine="98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6.6 </w:t>
      </w:r>
      <w:r>
        <w:rPr>
          <w:rFonts w:ascii="Times New Roman" w:cs="Times New Roman" w:eastAsia="Times New Roman" w:hAnsi="Times New Roman"/>
          <w:sz w:val="18"/>
          <w:szCs w:val="18"/>
          <w:u w:val="single" w:color="auto"/>
          <w:color w:val="auto"/>
        </w:rPr>
        <w:t>Nontransferability</w:t>
      </w:r>
      <w:r>
        <w:rPr>
          <w:rFonts w:ascii="Times New Roman" w:cs="Times New Roman" w:eastAsia="Times New Roman" w:hAnsi="Times New Roman"/>
          <w:sz w:val="18"/>
          <w:szCs w:val="18"/>
          <w:color w:val="auto"/>
        </w:rPr>
        <w:t>. Awards may not be transferred other than by will or the laws of descent and distribution and, during the lifetime of the Participant, Awards may be exercised only by such Participant (or his legal guardian or legal representative). In the event of the death of a Participant, exercise of Options granted hereunder shall be made only:</w:t>
      </w:r>
    </w:p>
    <w:p>
      <w:pPr>
        <w:spacing w:after="0" w:line="70" w:lineRule="exact"/>
        <w:rPr>
          <w:sz w:val="20"/>
          <w:szCs w:val="20"/>
          <w:color w:val="auto"/>
        </w:rPr>
      </w:pPr>
    </w:p>
    <w:p>
      <w:pPr>
        <w:ind w:right="700" w:firstLine="1411"/>
        <w:spacing w:after="0" w:line="277" w:lineRule="auto"/>
        <w:tabs>
          <w:tab w:leader="none" w:pos="1659"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executor or administrator of the estate of the deceased Participant or the Person or Persons to whom the deceased Participant’s rights under the Option shall pass by will or the laws of descent and distribution; and</w:t>
      </w:r>
    </w:p>
    <w:p>
      <w:pPr>
        <w:spacing w:after="0" w:line="56" w:lineRule="exact"/>
        <w:rPr>
          <w:rFonts w:ascii="Times New Roman" w:cs="Times New Roman" w:eastAsia="Times New Roman" w:hAnsi="Times New Roman"/>
          <w:sz w:val="18"/>
          <w:szCs w:val="18"/>
          <w:color w:val="auto"/>
        </w:rPr>
      </w:pPr>
    </w:p>
    <w:p>
      <w:pPr>
        <w:ind w:right="100" w:firstLine="1411"/>
        <w:spacing w:after="0" w:line="277" w:lineRule="auto"/>
        <w:tabs>
          <w:tab w:leader="none" w:pos="1669"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deceased Participant was entitled thereto at the date of his death, unless otherwise provided by the Board in such Participant’s Award Agreement.</w:t>
      </w:r>
    </w:p>
    <w:p>
      <w:pPr>
        <w:spacing w:after="0" w:line="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Expiration of Options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40" w:firstLine="1411"/>
        <w:spacing w:after="0" w:line="277" w:lineRule="auto"/>
        <w:tabs>
          <w:tab w:leader="none" w:pos="165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Normal Expiration</w:t>
      </w:r>
      <w:r>
        <w:rPr>
          <w:rFonts w:ascii="Times New Roman" w:cs="Times New Roman" w:eastAsia="Times New Roman" w:hAnsi="Times New Roman"/>
          <w:sz w:val="18"/>
          <w:szCs w:val="18"/>
          <w:color w:val="auto"/>
        </w:rPr>
        <w:t>. In no event shall any part of any Option be exercisable after the date of expiration thereof (the “</w:t>
      </w:r>
      <w:r>
        <w:rPr>
          <w:rFonts w:ascii="Times New Roman" w:cs="Times New Roman" w:eastAsia="Times New Roman" w:hAnsi="Times New Roman"/>
          <w:sz w:val="18"/>
          <w:szCs w:val="18"/>
          <w:u w:val="single" w:color="auto"/>
          <w:color w:val="auto"/>
        </w:rPr>
        <w:t>Expiration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as determined by the Board pursuant to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above.</w:t>
      </w:r>
    </w:p>
    <w:p>
      <w:pPr>
        <w:spacing w:after="0" w:line="56" w:lineRule="exact"/>
        <w:rPr>
          <w:rFonts w:ascii="Times New Roman" w:cs="Times New Roman" w:eastAsia="Times New Roman" w:hAnsi="Times New Roman"/>
          <w:sz w:val="18"/>
          <w:szCs w:val="18"/>
          <w:color w:val="auto"/>
        </w:rPr>
      </w:pPr>
    </w:p>
    <w:p>
      <w:pPr>
        <w:ind w:right="260" w:firstLine="1411"/>
        <w:spacing w:after="0" w:line="270" w:lineRule="auto"/>
        <w:tabs>
          <w:tab w:leader="none" w:pos="1669" w:val="left"/>
        </w:tabs>
        <w:numPr>
          <w:ilvl w:val="0"/>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Early Expiration Upon Termination of Employment</w:t>
      </w:r>
      <w:r>
        <w:rPr>
          <w:rFonts w:ascii="Times New Roman" w:cs="Times New Roman" w:eastAsia="Times New Roman" w:hAnsi="Times New Roman"/>
          <w:sz w:val="17"/>
          <w:szCs w:val="17"/>
          <w:color w:val="auto"/>
        </w:rPr>
        <w:t>. Except as otherwise provided by the Board in the Award Agreement, any portion of a Participant’s Option that was not vested and exercisable on the date of the termination of such Participant’s employment for any reason (such date,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shall expire and be forfeited as of such date, and any portion of a Participant’s Option that was vested and exercisable on the date of the termination of such Participant’s employment shall expire and be forfeited as of such date, except that: (i) if any Participant dies or becomes subject to any Disability, such Participants Option shall expire 180 days after the date of his death or Disability, but in no event after the Expiration Date, (ii) if any Participant voluntarily resigns for any reason or if any Participant is discharged other than for Cause, such Participant’s Option shall expire 30 days after the date of such resignation or discharge, as applicable, but in no event after the Expiration Date.</w:t>
      </w:r>
    </w:p>
    <w:p>
      <w:pPr>
        <w:spacing w:after="0" w:line="64" w:lineRule="exact"/>
        <w:rPr>
          <w:sz w:val="20"/>
          <w:szCs w:val="20"/>
          <w:color w:val="auto"/>
        </w:rPr>
      </w:pPr>
    </w:p>
    <w:p>
      <w:pPr>
        <w:ind w:firstLine="981"/>
        <w:spacing w:after="0" w:line="266" w:lineRule="auto"/>
        <w:rPr>
          <w:sz w:val="20"/>
          <w:szCs w:val="20"/>
          <w:color w:val="auto"/>
        </w:rPr>
      </w:pPr>
      <w:r>
        <w:rPr>
          <w:rFonts w:ascii="Times New Roman" w:cs="Times New Roman" w:eastAsia="Times New Roman" w:hAnsi="Times New Roman"/>
          <w:sz w:val="17"/>
          <w:szCs w:val="17"/>
          <w:color w:val="auto"/>
        </w:rPr>
        <w:t xml:space="preserve">6.8 </w:t>
      </w:r>
      <w:r>
        <w:rPr>
          <w:rFonts w:ascii="Times New Roman" w:cs="Times New Roman" w:eastAsia="Times New Roman" w:hAnsi="Times New Roman"/>
          <w:sz w:val="17"/>
          <w:szCs w:val="17"/>
          <w:u w:val="single" w:color="auto"/>
          <w:color w:val="auto"/>
        </w:rPr>
        <w:t>Withholding of Taxes</w:t>
      </w:r>
      <w:r>
        <w:rPr>
          <w:rFonts w:ascii="Times New Roman" w:cs="Times New Roman" w:eastAsia="Times New Roman" w:hAnsi="Times New Roman"/>
          <w:sz w:val="17"/>
          <w:szCs w:val="17"/>
          <w:color w:val="auto"/>
        </w:rPr>
        <w:t xml:space="preserve">. The Company and its affiliates shall be entitled, if necessary or desirable, to deduct and withhold from any Participant or affiliate thereof from any amounts due and payable by the Company to such Participant (or secure payment from such Participant in lieu of withholding) the amount of any withholding or other tax due from the Company or any of its affiliates in connection with the grant, issuance, vesting, settlement, ownership, modification, adjustment, disposition, exercise or otherwise with respect to any Award, and the Company may defer such event unless indemnified to its satisfaction. The Company (or the Board, in order to comply with applicable law), in its discretion, may permit the following methods to satisfy such tax obligations: (i)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Board or (ii) to the extent permitted by the Board, in whole or in part by delivery of Shares, including Shares delivered by attestation and Shares retained from the Award creating the tax obligation, valued at their Fair Market Value on the date of delivery;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aggregate Fair Market Value of the number of shares of Common Stock that may be used to satisfy tax withholding requirements may not exceed the aggregate amount of such liabilities based on the maximum individual statutory tax rates in the applicable jurisdiction.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0900"/>
          </w:cols>
          <w:pgMar w:left="500" w:top="268" w:right="499" w:bottom="1440" w:gutter="0" w:footer="0" w:header="0"/>
        </w:sectPr>
      </w:pPr>
    </w:p>
    <w:bookmarkStart w:id="436" w:name="page437"/>
    <w:bookmarkEnd w:id="436"/>
    <w:p>
      <w:pPr>
        <w:ind w:right="460" w:firstLine="981"/>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6.9 </w:t>
      </w:r>
      <w:r>
        <w:rPr>
          <w:rFonts w:ascii="Times New Roman" w:cs="Times New Roman" w:eastAsia="Times New Roman" w:hAnsi="Times New Roman"/>
          <w:sz w:val="18"/>
          <w:szCs w:val="18"/>
          <w:u w:val="single" w:color="auto"/>
          <w:color w:val="auto"/>
        </w:rPr>
        <w:t>Participant Acknowledgments</w:t>
      </w:r>
      <w:r>
        <w:rPr>
          <w:rFonts w:ascii="Times New Roman" w:cs="Times New Roman" w:eastAsia="Times New Roman" w:hAnsi="Times New Roman"/>
          <w:sz w:val="18"/>
          <w:szCs w:val="18"/>
          <w:color w:val="auto"/>
        </w:rPr>
        <w:t>. In connection with the grant of any Award as set forth herein, each Participant acknowledges and agrees, that as a condition to any such grant:</w:t>
      </w:r>
    </w:p>
    <w:p>
      <w:pPr>
        <w:spacing w:after="0" w:line="57" w:lineRule="exact"/>
        <w:rPr>
          <w:sz w:val="20"/>
          <w:szCs w:val="20"/>
          <w:color w:val="auto"/>
        </w:rPr>
      </w:pPr>
    </w:p>
    <w:p>
      <w:pPr>
        <w:ind w:right="420" w:firstLine="1411"/>
        <w:spacing w:after="0" w:line="255" w:lineRule="auto"/>
        <w:tabs>
          <w:tab w:leader="none" w:pos="1659"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the Company will have no duty or obligation to disclose to any Participant, and no Participant will have any right to be advised of, any material information regarding the Company or its subsidiaries at any time prior to, upon or in connection with the repurchase of any Employee Shares upon the termination of such Participant’s employment with the Company or any of its subsidiaries or as otherwise provided under this Plan or any written agreement evidencing the grant of any Option or the issuance of any shares of Common Stock.</w:t>
      </w:r>
    </w:p>
    <w:p>
      <w:pPr>
        <w:spacing w:after="0" w:line="75" w:lineRule="exact"/>
        <w:rPr>
          <w:rFonts w:ascii="Times New Roman" w:cs="Times New Roman" w:eastAsia="Times New Roman" w:hAnsi="Times New Roman"/>
          <w:sz w:val="18"/>
          <w:szCs w:val="18"/>
          <w:color w:val="auto"/>
        </w:rPr>
      </w:pPr>
    </w:p>
    <w:p>
      <w:pPr>
        <w:ind w:right="60" w:firstLine="1411"/>
        <w:spacing w:after="0" w:line="262" w:lineRule="auto"/>
        <w:tabs>
          <w:tab w:leader="none" w:pos="1669"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 will have consulted, or will have had an opportunity to consult with, independent legal counsel regarding his or her rights and obligations under this Plan and any written agreement evidencing any grant of any Award and he or she fully understands the terms and conditions contained herein and therein.</w:t>
      </w:r>
    </w:p>
    <w:p>
      <w:pPr>
        <w:spacing w:after="0" w:line="70" w:lineRule="exact"/>
        <w:rPr>
          <w:rFonts w:ascii="Times New Roman" w:cs="Times New Roman" w:eastAsia="Times New Roman" w:hAnsi="Times New Roman"/>
          <w:sz w:val="18"/>
          <w:szCs w:val="18"/>
          <w:color w:val="auto"/>
        </w:rPr>
      </w:pPr>
    </w:p>
    <w:p>
      <w:pPr>
        <w:ind w:firstLine="1411"/>
        <w:spacing w:after="0" w:line="252" w:lineRule="auto"/>
        <w:tabs>
          <w:tab w:leader="none" w:pos="1659"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issuance of any shares of Common Stock in respect of any Award, such Participant will deliver to the Company an executed consent from such Participant’s spouse (if any) in the form of </w:t>
      </w:r>
      <w:r>
        <w:rPr>
          <w:rFonts w:ascii="Times New Roman" w:cs="Times New Roman" w:eastAsia="Times New Roman" w:hAnsi="Times New Roman"/>
          <w:sz w:val="18"/>
          <w:szCs w:val="18"/>
          <w:u w:val="single" w:color="auto"/>
          <w:color w:val="auto"/>
        </w:rPr>
        <w:t>Exhibit 2</w:t>
      </w:r>
      <w:r>
        <w:rPr>
          <w:rFonts w:ascii="Times New Roman" w:cs="Times New Roman" w:eastAsia="Times New Roman" w:hAnsi="Times New Roman"/>
          <w:sz w:val="18"/>
          <w:szCs w:val="18"/>
          <w:color w:val="auto"/>
        </w:rPr>
        <w:t xml:space="preserve"> attached hereto. If, at any time subsequent to the date such Participant is issued any shares of Common Stock in respect of any Award, such Participant becomes legally married (whether in the first instance or to a different spouse), such Participant shall cause his or her spouse to execute and deliver to the Company a consent in the form of </w:t>
      </w:r>
      <w:r>
        <w:rPr>
          <w:rFonts w:ascii="Times New Roman" w:cs="Times New Roman" w:eastAsia="Times New Roman" w:hAnsi="Times New Roman"/>
          <w:sz w:val="18"/>
          <w:szCs w:val="18"/>
          <w:u w:val="single" w:color="auto"/>
          <w:color w:val="auto"/>
        </w:rPr>
        <w:t>Exhibit 2</w:t>
      </w:r>
      <w:r>
        <w:rPr>
          <w:rFonts w:ascii="Times New Roman" w:cs="Times New Roman" w:eastAsia="Times New Roman" w:hAnsi="Times New Roman"/>
          <w:sz w:val="18"/>
          <w:szCs w:val="18"/>
          <w:color w:val="auto"/>
        </w:rPr>
        <w:t xml:space="preserve"> attached hereto. Such Participant’s failure to deliver the Company an executed consent in the form of </w:t>
      </w:r>
      <w:r>
        <w:rPr>
          <w:rFonts w:ascii="Times New Roman" w:cs="Times New Roman" w:eastAsia="Times New Roman" w:hAnsi="Times New Roman"/>
          <w:sz w:val="18"/>
          <w:szCs w:val="18"/>
          <w:u w:val="single" w:color="auto"/>
          <w:color w:val="auto"/>
        </w:rPr>
        <w:t>Exhibit 2</w:t>
      </w:r>
      <w:r>
        <w:rPr>
          <w:rFonts w:ascii="Times New Roman" w:cs="Times New Roman" w:eastAsia="Times New Roman" w:hAnsi="Times New Roman"/>
          <w:sz w:val="18"/>
          <w:szCs w:val="18"/>
          <w:color w:val="auto"/>
        </w:rPr>
        <w:t xml:space="preserve"> at any time when such Participant would otherwise be required to deliver such consent shall constitute such Participant’s continuing representation and warranty that such Participant is not legally married as of such date.</w:t>
      </w:r>
    </w:p>
    <w:p>
      <w:pPr>
        <w:spacing w:after="0" w:line="81" w:lineRule="exact"/>
        <w:rPr>
          <w:rFonts w:ascii="Times New Roman" w:cs="Times New Roman" w:eastAsia="Times New Roman" w:hAnsi="Times New Roman"/>
          <w:sz w:val="18"/>
          <w:szCs w:val="18"/>
          <w:color w:val="auto"/>
        </w:rPr>
      </w:pPr>
    </w:p>
    <w:p>
      <w:pPr>
        <w:ind w:right="20" w:firstLine="1411"/>
        <w:spacing w:after="0" w:line="265" w:lineRule="auto"/>
        <w:tabs>
          <w:tab w:leader="none" w:pos="1669"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observations and data (including trade secrets) obtained by Participant while employed by the Company or any of its subsidiaries concerning the business or affairs of the Company or any of its subsidiaries (“</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are the property of the Company or such subsidiaries. Therefore, Participant agrees that Participant shall not disclose to any person or entity or use for Participant’s own purposes any Confidential Information or any confidential or proprietary information of other persons or entities in the possession of the Company and its subsidiaries (“</w:t>
      </w:r>
      <w:r>
        <w:rPr>
          <w:rFonts w:ascii="Times New Roman" w:cs="Times New Roman" w:eastAsia="Times New Roman" w:hAnsi="Times New Roman"/>
          <w:sz w:val="17"/>
          <w:szCs w:val="17"/>
          <w:u w:val="single" w:color="auto"/>
          <w:color w:val="auto"/>
        </w:rPr>
        <w:t>Third Party Information</w:t>
      </w:r>
      <w:r>
        <w:rPr>
          <w:rFonts w:ascii="Times New Roman" w:cs="Times New Roman" w:eastAsia="Times New Roman" w:hAnsi="Times New Roman"/>
          <w:sz w:val="17"/>
          <w:szCs w:val="17"/>
          <w:color w:val="auto"/>
        </w:rPr>
        <w:t xml:space="preserve">”), without the prior written consent of the Board, unless and to the extent that the Confidential Information or Third Party Information becomes generally known to and available for use by the public other than as a result of Participant’s acts or omissions. Participant shall deliver to the Company at the termination or expiration of Participant’s employment with the Company and its subsidiaries, or at any other time the Company may request, all memoranda, notes, plans, records, reports, computer files, disks and tapes, printouts and software and other documents and data (and copies thereof) embodying or relating to Third Party Information, Confidential Information, or the business of the Company or any if its subsidiaries which Participant may then possess or have under his or her control. If a written employment or service agreement in effect on the date of determination between a Participant, solely in Participant’s capacity as an employee, consultant or other agent of the Company or any subsidiary or affiliate thereof and not in Participant’s capacity as an equityholder of the Company or any subsidiary or affiliate thereof, on the one hand, and the Company or any subsidiary or affiliate thereof, on the other hand, contains covenants relating to confidential information similar to the restrictions contained in this </w:t>
      </w:r>
      <w:r>
        <w:rPr>
          <w:rFonts w:ascii="Times New Roman" w:cs="Times New Roman" w:eastAsia="Times New Roman" w:hAnsi="Times New Roman"/>
          <w:sz w:val="17"/>
          <w:szCs w:val="17"/>
          <w:u w:val="single" w:color="auto"/>
          <w:color w:val="auto"/>
        </w:rPr>
        <w:t>Section 6.9(d)</w:t>
      </w:r>
      <w:r>
        <w:rPr>
          <w:rFonts w:ascii="Times New Roman" w:cs="Times New Roman" w:eastAsia="Times New Roman" w:hAnsi="Times New Roman"/>
          <w:sz w:val="17"/>
          <w:szCs w:val="17"/>
          <w:color w:val="auto"/>
        </w:rPr>
        <w:t>, such other covenants shall apply with respect to such Participant in lieu of the covenants set forth herein.</w:t>
      </w:r>
    </w:p>
    <w:p>
      <w:pPr>
        <w:spacing w:after="0" w:line="117" w:lineRule="exact"/>
        <w:rPr>
          <w:rFonts w:ascii="Times New Roman" w:cs="Times New Roman" w:eastAsia="Times New Roman" w:hAnsi="Times New Roman"/>
          <w:sz w:val="17"/>
          <w:szCs w:val="17"/>
          <w:color w:val="auto"/>
        </w:rPr>
      </w:pPr>
    </w:p>
    <w:p>
      <w:pPr>
        <w:ind w:left="5360" w:hanging="109"/>
        <w:spacing w:after="0"/>
        <w:tabs>
          <w:tab w:leader="none" w:pos="5360"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0860"/>
          </w:cols>
          <w:pgMar w:left="500" w:top="267" w:right="539" w:bottom="1440" w:gutter="0" w:footer="0" w:header="0"/>
        </w:sectPr>
      </w:pPr>
    </w:p>
    <w:bookmarkStart w:id="437" w:name="page438"/>
    <w:bookmarkEnd w:id="437"/>
    <w:p>
      <w:pPr>
        <w:ind w:left="6" w:firstLine="1411"/>
        <w:spacing w:after="0" w:line="251" w:lineRule="auto"/>
        <w:tabs>
          <w:tab w:leader="none" w:pos="166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1">
                      <a:extLst>
                        <a:ext uri="{28A0092B-C50C-407E-A947-70E740481C1C}"/>
                      </a:extLst>
                    </a:blip>
                    <a:srcRect/>
                    <a:stretch>
                      <a:fillRect/>
                    </a:stretch>
                  </pic:blipFill>
                  <pic:spPr bwMode="auto">
                    <a:xfrm>
                      <a:off x="0" y="0"/>
                      <a:ext cx="7150735" cy="24765"/>
                    </a:xfrm>
                    <a:prstGeom prst="rect">
                      <a:avLst/>
                    </a:prstGeom>
                    <a:noFill/>
                  </pic:spPr>
                </pic:pic>
              </a:graphicData>
            </a:graphic>
          </wp:anchor>
        </w:drawing>
        <w:t>As a condition to exercise of any portion of any Option or Legacy Option held by Participant or the issuance of any shares of Common Stock by the Company under the Plan in respect of any Award: (i) Participant may be required to execute a counterpart to the Stockholders Agreement binding Participant to the terms and conditions contained therein, and (ii) in such an event, if Participant is married at the time of exercise, Participant shall deliver to the Company a counterpart to the Stockholders Agreement executed by Participant’s spouse binding Participant’s spouse to conditions contained therein. In addition, if Participant becomes legally married (whether in the first instance or to a different spouse) subsequent to exercise of any portion of any Option or Legacy Option held by Participant or subsequent to the issuance of any shares of Common Stock by the Company under the Plan in respect of any Award, but prior to the Termination Date, Participant may be required to cause Participant’s spouse to execute and deliver to the Company a counterpart to the Stockholders Agreement binding Participant’s spouse to the conditions contained therein. Following Participant’s execution of a counterpart to the Stockholders Agreement, in the event of a conflict between the Stockholders Agreement and the Plan, the provisions of the Stockholders Agreement shall prevail.</w:t>
      </w:r>
    </w:p>
    <w:p>
      <w:pPr>
        <w:spacing w:after="0" w:line="79"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Repurchase Option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firstLine="1411"/>
        <w:spacing w:after="0" w:line="271" w:lineRule="auto"/>
        <w:tabs>
          <w:tab w:leader="none" w:pos="1665" w:val="left"/>
        </w:tabs>
        <w:numPr>
          <w:ilvl w:val="1"/>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Repurchase Option</w:t>
      </w:r>
      <w:r>
        <w:rPr>
          <w:rFonts w:ascii="Times New Roman" w:cs="Times New Roman" w:eastAsia="Times New Roman" w:hAnsi="Times New Roman"/>
          <w:sz w:val="17"/>
          <w:szCs w:val="17"/>
          <w:color w:val="auto"/>
        </w:rPr>
        <w:t xml:space="preserve">. If a Participant is no longer employed (or in the case of a Participant who was not an employee, the date on which such Participant is no longer acting as a director or officer of, or consultant or advisor to, the Company or any of its subsidiaries) by the Company or its subsidiaries for any reason, the Employee Shares (whether held by such Participant or one or more transferees of such Participant, other than the Company or any Investor (as defined in the Stockholders Agreement)) will be subject to repurchase by the Company and the Investors (each of the aforementioned solely at their option and the latter on a pro rata basis in accordance with their respective percentage of ownership of the Company’s Common Stock on a fully diluted and as-converted basis) pursuant to the terms and conditions set forth in this </w:t>
      </w:r>
      <w:r>
        <w:rPr>
          <w:rFonts w:ascii="Times New Roman" w:cs="Times New Roman" w:eastAsia="Times New Roman" w:hAnsi="Times New Roman"/>
          <w:sz w:val="17"/>
          <w:szCs w:val="17"/>
          <w:u w:val="single" w:color="auto"/>
          <w:color w:val="auto"/>
        </w:rPr>
        <w:t>Section 6.10</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Repurchase Option</w:t>
      </w:r>
      <w:r>
        <w:rPr>
          <w:rFonts w:ascii="Times New Roman" w:cs="Times New Roman" w:eastAsia="Times New Roman" w:hAnsi="Times New Roman"/>
          <w:sz w:val="17"/>
          <w:szCs w:val="17"/>
          <w:color w:val="auto"/>
        </w:rPr>
        <w:t>”).</w:t>
      </w:r>
    </w:p>
    <w:p>
      <w:pPr>
        <w:spacing w:after="0" w:line="64" w:lineRule="exact"/>
        <w:rPr>
          <w:rFonts w:ascii="Times New Roman" w:cs="Times New Roman" w:eastAsia="Times New Roman" w:hAnsi="Times New Roman"/>
          <w:sz w:val="17"/>
          <w:szCs w:val="17"/>
          <w:color w:val="auto"/>
        </w:rPr>
      </w:pPr>
    </w:p>
    <w:p>
      <w:pPr>
        <w:ind w:left="6" w:right="20" w:firstLine="1411"/>
        <w:spacing w:after="0" w:line="268" w:lineRule="auto"/>
        <w:tabs>
          <w:tab w:leader="none" w:pos="1675" w:val="left"/>
        </w:tabs>
        <w:numPr>
          <w:ilvl w:val="1"/>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Repurchase Price</w:t>
      </w:r>
      <w:r>
        <w:rPr>
          <w:rFonts w:ascii="Times New Roman" w:cs="Times New Roman" w:eastAsia="Times New Roman" w:hAnsi="Times New Roman"/>
          <w:sz w:val="17"/>
          <w:szCs w:val="17"/>
          <w:color w:val="auto"/>
        </w:rPr>
        <w:t>. Following the Termination Date of any Participant, the Company and the Investors may elect to repurchase all or any portion of the Employee Shares held by such Participant at a price per share equal to (i) in the event of such Participant’s termination for Cause, at the lower of Original Cost or Fair Market Value (as of the Termination Date) and (ii) otherwise (including, but not limited to, a resignation other than for Good Reason and termination without Cause), at Fair Market Value (as of the Termination Date). Notwithstanding the foregoing, in the event that</w:t>
      </w:r>
    </w:p>
    <w:p>
      <w:pPr>
        <w:ind w:left="6" w:right="120" w:hanging="6"/>
        <w:spacing w:after="0" w:line="249" w:lineRule="auto"/>
        <w:tabs>
          <w:tab w:leader="none" w:pos="248"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Participant has previously received a dividend payment on account of Common Stock that was unvested at the time such dividend was declared (including, but not limited to, shares of Common Stock received on account of the exercise of unvested Options, shares of Common Stock received pursuant to the grant of an Award under the Plan designated as Restricted Stock, or otherwise), and (b) those shares of Common Stock do not subsequently vest prior to the time that the repurchase provisions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apply, then the repurchase price for any shares of Common Stock otherwise subject to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shall be further reduced by the amount of such dividend.</w:t>
      </w:r>
    </w:p>
    <w:p>
      <w:pPr>
        <w:spacing w:after="0" w:line="122" w:lineRule="exact"/>
        <w:rPr>
          <w:rFonts w:ascii="Times New Roman" w:cs="Times New Roman" w:eastAsia="Times New Roman" w:hAnsi="Times New Roman"/>
          <w:sz w:val="18"/>
          <w:szCs w:val="18"/>
          <w:color w:val="auto"/>
        </w:rPr>
      </w:pPr>
    </w:p>
    <w:p>
      <w:pPr>
        <w:ind w:left="5366" w:hanging="106"/>
        <w:spacing w:after="0"/>
        <w:tabs>
          <w:tab w:leader="none" w:pos="5366" w:val="left"/>
        </w:tabs>
        <w:numPr>
          <w:ilvl w:val="2"/>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0866"/>
          </w:cols>
          <w:pgMar w:left="494" w:top="267" w:right="539" w:bottom="1440" w:gutter="0" w:footer="0" w:header="0"/>
        </w:sectPr>
      </w:pPr>
    </w:p>
    <w:bookmarkStart w:id="438" w:name="page439"/>
    <w:bookmarkEnd w:id="438"/>
    <w:p>
      <w:pPr>
        <w:ind w:left="6" w:right="40" w:firstLine="1411"/>
        <w:spacing w:after="0" w:line="250" w:lineRule="auto"/>
        <w:tabs>
          <w:tab w:leader="none" w:pos="1665"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Repurchase Procedures</w:t>
      </w:r>
      <w:r>
        <w:rPr>
          <w:rFonts w:ascii="Times New Roman" w:cs="Times New Roman" w:eastAsia="Times New Roman" w:hAnsi="Times New Roman"/>
          <w:sz w:val="18"/>
          <w:szCs w:val="18"/>
          <w:color w:val="auto"/>
        </w:rPr>
        <w:t>. The Company may elect to exercise the Repurchase Option to purchase any amount of the Employee Shares subject to the Repurchase Option by delivering written notice (the “</w:t>
      </w:r>
      <w:r>
        <w:rPr>
          <w:rFonts w:ascii="Times New Roman" w:cs="Times New Roman" w:eastAsia="Times New Roman" w:hAnsi="Times New Roman"/>
          <w:sz w:val="18"/>
          <w:szCs w:val="18"/>
          <w:u w:val="single" w:color="auto"/>
          <w:color w:val="auto"/>
        </w:rPr>
        <w:t>Company Repurchase Notice</w:t>
      </w:r>
      <w:r>
        <w:rPr>
          <w:rFonts w:ascii="Times New Roman" w:cs="Times New Roman" w:eastAsia="Times New Roman" w:hAnsi="Times New Roman"/>
          <w:sz w:val="18"/>
          <w:szCs w:val="18"/>
          <w:color w:val="auto"/>
        </w:rPr>
        <w:t>”) to the holder or holders of the Employee Shares and the Investors no later than the later of (A) 90 days after the Termination Date and (B) 90 days after the acquisition of the Employee Shares subject to repurchase. To the extent that any portion of the Employee Shares are not being repurchased by the Company, the Investors may elect to exercise the Repurchase Option to purchase up to their respective pro rata share of the remaining Employee Shares by delivering written notice (an “</w:t>
      </w:r>
      <w:r>
        <w:rPr>
          <w:rFonts w:ascii="Times New Roman" w:cs="Times New Roman" w:eastAsia="Times New Roman" w:hAnsi="Times New Roman"/>
          <w:sz w:val="18"/>
          <w:szCs w:val="18"/>
          <w:u w:val="single" w:color="auto"/>
          <w:color w:val="auto"/>
        </w:rPr>
        <w:t>Investor Repurchase Notice</w:t>
      </w:r>
      <w:r>
        <w:rPr>
          <w:rFonts w:ascii="Times New Roman" w:cs="Times New Roman" w:eastAsia="Times New Roman" w:hAnsi="Times New Roman"/>
          <w:sz w:val="18"/>
          <w:szCs w:val="18"/>
          <w:color w:val="auto"/>
        </w:rPr>
        <w:t>” and together with the Company Repurchase Notice, a “</w:t>
      </w:r>
      <w:r>
        <w:rPr>
          <w:rFonts w:ascii="Times New Roman" w:cs="Times New Roman" w:eastAsia="Times New Roman" w:hAnsi="Times New Roman"/>
          <w:sz w:val="18"/>
          <w:szCs w:val="18"/>
          <w:u w:val="single" w:color="auto"/>
          <w:color w:val="auto"/>
        </w:rPr>
        <w:t>Repurchase Notice</w:t>
      </w:r>
      <w:r>
        <w:rPr>
          <w:rFonts w:ascii="Times New Roman" w:cs="Times New Roman" w:eastAsia="Times New Roman" w:hAnsi="Times New Roman"/>
          <w:sz w:val="18"/>
          <w:szCs w:val="18"/>
          <w:color w:val="auto"/>
        </w:rPr>
        <w:t>”) to the holder or holders of the applicable Employee Shares within 10 business days of the expiration of the latest period during which the Company was entitled to deliver the Company Repurchase Notice. Each Repurchase Notice will set forth the number of Employee Shares to be acquired from such holder(s), the aggregate consideration to be paid for such Employee Shares and the time and place for the closing of the transaction. If any Employee Shares are held by any transferees of a Participant, the Investors and the Company, as the case may be, will purchase the shares elected to be purchased from such holder(s) of Employee Shares, pro rata according to the number of Employee Shares held by such holder(s) at the time of delivery of such Repurchase Notice (determined as nearly as practicable to the nearest share). If Employee Shares of different classes are to be purchased pursuant to the Repurchase Option and Employee Shares are held by any transferees of a Participant, the number of shares of each class of Employee Shares to be purchased will be allocated among such holders, pro rata according to the total number of Employee Shares to be purchased from such Persons.</w:t>
      </w:r>
    </w:p>
    <w:p>
      <w:pPr>
        <w:spacing w:after="0" w:line="80" w:lineRule="exact"/>
        <w:rPr>
          <w:rFonts w:ascii="Times New Roman" w:cs="Times New Roman" w:eastAsia="Times New Roman" w:hAnsi="Times New Roman"/>
          <w:sz w:val="18"/>
          <w:szCs w:val="18"/>
          <w:color w:val="auto"/>
        </w:rPr>
      </w:pPr>
    </w:p>
    <w:p>
      <w:pPr>
        <w:ind w:left="6" w:firstLine="1411"/>
        <w:spacing w:after="0" w:line="266" w:lineRule="auto"/>
        <w:tabs>
          <w:tab w:leader="none" w:pos="1675" w:val="left"/>
        </w:tabs>
        <w:numPr>
          <w:ilvl w:val="1"/>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xml:space="preserve">. The closing of the transactions contemplated by this </w:t>
      </w:r>
      <w:r>
        <w:rPr>
          <w:rFonts w:ascii="Times New Roman" w:cs="Times New Roman" w:eastAsia="Times New Roman" w:hAnsi="Times New Roman"/>
          <w:sz w:val="17"/>
          <w:szCs w:val="17"/>
          <w:u w:val="single" w:color="auto"/>
          <w:color w:val="auto"/>
        </w:rPr>
        <w:t>Section 6.10</w:t>
      </w:r>
      <w:r>
        <w:rPr>
          <w:rFonts w:ascii="Times New Roman" w:cs="Times New Roman" w:eastAsia="Times New Roman" w:hAnsi="Times New Roman"/>
          <w:sz w:val="17"/>
          <w:szCs w:val="17"/>
          <w:color w:val="auto"/>
        </w:rPr>
        <w:t xml:space="preserve"> will take place on the date designated in the applicable Repurchase Notice, which date will not be more than 90 days after the delivery of such notice. Each Investor will pay for the Employee Shares to be purchased by it by delivery of a check payable to the holder of such Employee Shares. The Company will pay for the Employee Shares to be purchased by it by first offsetting amounts outstanding under any bona fide debts owing by such Participant to the Company or any of its subsidiaries, now existing or hereinafter arising (irrespective as to whether such amounts are owing by the holder of such Employee Shares), and will pay the remainder of the purchase price by, at its option, delivery of (A) a check payable to the holder of such Employee Shares, (B) if payment in accordance with clause</w:t>
      </w:r>
    </w:p>
    <w:p>
      <w:pPr>
        <w:spacing w:after="0" w:line="1" w:lineRule="exact"/>
        <w:rPr>
          <w:rFonts w:ascii="Times New Roman" w:cs="Times New Roman" w:eastAsia="Times New Roman" w:hAnsi="Times New Roman"/>
          <w:sz w:val="17"/>
          <w:szCs w:val="17"/>
          <w:color w:val="auto"/>
        </w:rPr>
      </w:pPr>
    </w:p>
    <w:p>
      <w:pPr>
        <w:ind w:left="6" w:hanging="6"/>
        <w:spacing w:after="0" w:line="248" w:lineRule="auto"/>
        <w:tabs>
          <w:tab w:leader="none" w:pos="29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would result in a breach or default under the Company’s debt financing agreements, if any, a subordinated promissory note with a maturity date that does not exceed three years from the closing of the transactions contemplated by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payable in equal monthly installments of principal and interest during the term of the note and bearing interest at a rate per annum equal to the greater of five percent (5%) and the then applicable short term federal rate, or (C) a combination of both (A) and (B), in the aggregate amount of the purchase price for such shares. Any notes issued by the Company pursuant to this </w:t>
      </w:r>
      <w:r>
        <w:rPr>
          <w:rFonts w:ascii="Times New Roman" w:cs="Times New Roman" w:eastAsia="Times New Roman" w:hAnsi="Times New Roman"/>
          <w:sz w:val="18"/>
          <w:szCs w:val="18"/>
          <w:u w:val="single" w:color="auto"/>
          <w:color w:val="auto"/>
        </w:rPr>
        <w:t>Section 6.10(d)</w:t>
      </w:r>
      <w:r>
        <w:rPr>
          <w:rFonts w:ascii="Times New Roman" w:cs="Times New Roman" w:eastAsia="Times New Roman" w:hAnsi="Times New Roman"/>
          <w:sz w:val="18"/>
          <w:szCs w:val="18"/>
          <w:color w:val="auto"/>
        </w:rPr>
        <w:t xml:space="preserve"> shall be subject to any restrictive covenants to which the Company or its subsidiaries are subject at the time of such purchase. Notwithstanding anything to the contrary contained herein, all repurchases of Employee Shares by the Company will be subject to applicable restrictions contained in the corporation law of the Company’s jurisdiction of incorporation and in the Company’s and its subsidiaries’ debt and equity financing agreements. If any such restrictions prohibit the repurchase of Employee Shares hereunder which the Company is otherwise entitled to make, the Company may make such repurchases as soon as it is permitted to do so under such restrictions. The Investors and/or the Company, as the case may be, will receive customary representations and warranties from each seller regarding the sale of the Employee Shares, including, but not limited to, representations that such seller has good and marketable title to the Employee Shares to be transferred free and clear of all liens, claims and other encumbrances.</w:t>
      </w:r>
    </w:p>
    <w:p>
      <w:pPr>
        <w:spacing w:after="0" w:line="126" w:lineRule="exact"/>
        <w:rPr>
          <w:rFonts w:ascii="Times New Roman" w:cs="Times New Roman" w:eastAsia="Times New Roman" w:hAnsi="Times New Roman"/>
          <w:sz w:val="18"/>
          <w:szCs w:val="18"/>
          <w:color w:val="auto"/>
        </w:rPr>
      </w:pPr>
    </w:p>
    <w:p>
      <w:pPr>
        <w:ind w:left="5366" w:hanging="109"/>
        <w:spacing w:after="0"/>
        <w:tabs>
          <w:tab w:leader="none" w:pos="5366" w:val="left"/>
        </w:tabs>
        <w:numPr>
          <w:ilvl w:val="2"/>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0886"/>
          </w:cols>
          <w:pgMar w:left="494" w:top="268" w:right="519" w:bottom="1440" w:gutter="0" w:footer="0" w:header="0"/>
        </w:sectPr>
      </w:pPr>
    </w:p>
    <w:bookmarkStart w:id="439" w:name="page440"/>
    <w:bookmarkEnd w:id="439"/>
    <w:p>
      <w:pPr>
        <w:ind w:right="760" w:firstLine="1411"/>
        <w:spacing w:after="0" w:line="277" w:lineRule="auto"/>
        <w:tabs>
          <w:tab w:leader="none" w:pos="1659"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shall terminate automatically and shall be of no further force and effect upon the earlier to occur of a consummation of a Public Offering or a Sale of the Company.</w:t>
      </w:r>
    </w:p>
    <w:p>
      <w:pPr>
        <w:spacing w:after="0" w:line="57" w:lineRule="exact"/>
        <w:rPr>
          <w:sz w:val="20"/>
          <w:szCs w:val="20"/>
          <w:color w:val="auto"/>
        </w:rPr>
      </w:pPr>
    </w:p>
    <w:p>
      <w:pPr>
        <w:ind w:right="60" w:firstLine="981"/>
        <w:spacing w:after="0" w:line="253"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of a reorganization, recapitalization, stock dividend or stock split, or combination or other change in the shares of Common Stock, the Board shall, in order to prevent the dilution or enlargement of rights under outstanding Awards, make such adjustments in the number and type of shares authorized by the Plan, the number and type of shares covered by outstanding Awards and the exercise prices of outstanding Options and Legacy Options as may be determined to be appropriate and equitable, but only if such adjustment to the Option and Legacy Option would not cause the Option or Legacy Option to be treated as providing for the impermissible deferral of compensation pursuant to Code §409A (or Treasury Regulations or other official IRS guidance issued under Code §409A).</w:t>
      </w:r>
    </w:p>
    <w:p>
      <w:pPr>
        <w:spacing w:after="0" w:line="80" w:lineRule="exact"/>
        <w:rPr>
          <w:sz w:val="20"/>
          <w:szCs w:val="20"/>
          <w:color w:val="auto"/>
        </w:rPr>
      </w:pPr>
    </w:p>
    <w:p>
      <w:pPr>
        <w:ind w:right="140" w:firstLine="981"/>
        <w:spacing w:after="0" w:line="270" w:lineRule="auto"/>
        <w:rPr>
          <w:sz w:val="20"/>
          <w:szCs w:val="20"/>
          <w:color w:val="auto"/>
        </w:rPr>
      </w:pPr>
      <w:r>
        <w:rPr>
          <w:rFonts w:ascii="Times New Roman" w:cs="Times New Roman" w:eastAsia="Times New Roman" w:hAnsi="Times New Roman"/>
          <w:sz w:val="17"/>
          <w:szCs w:val="17"/>
          <w:color w:val="auto"/>
        </w:rPr>
        <w:t xml:space="preserve">6.12 </w:t>
      </w:r>
      <w:r>
        <w:rPr>
          <w:rFonts w:ascii="Times New Roman" w:cs="Times New Roman" w:eastAsia="Times New Roman" w:hAnsi="Times New Roman"/>
          <w:sz w:val="17"/>
          <w:szCs w:val="17"/>
          <w:u w:val="single" w:color="auto"/>
          <w:color w:val="auto"/>
        </w:rPr>
        <w:t>Rights of Participants</w:t>
      </w:r>
      <w:r>
        <w:rPr>
          <w:rFonts w:ascii="Times New Roman" w:cs="Times New Roman" w:eastAsia="Times New Roman" w:hAnsi="Times New Roman"/>
          <w:sz w:val="17"/>
          <w:szCs w:val="17"/>
          <w:color w:val="auto"/>
        </w:rPr>
        <w:t>. Nothing in this Plan or in any Award Agreement shall interfere with or limit in any way the right of the Company to terminate any Participant’s employment or service at any time (with or without Cause), nor confer upon any Participant any right to continue in the employ or service of the Company for any period of time or to continue his present (or any other) rate of compensation, and except as otherwise provided under this Plan or by the Board in the applicable Award Agreement, in the event of any Participant’s termination of employment or service (including, but not limited to, the termination by the Company without Cause) any portion of such Participant’s Award(s) that were not previously vested and (in the case of Options) exercisable shall expire and be forfeited as of the date of such termination. No terminated employee or other service provider shall have a right to be selected as a Participant or, having been so selected, to be selected again as a Participant.</w:t>
      </w:r>
    </w:p>
    <w:p>
      <w:pPr>
        <w:spacing w:after="0" w:line="64" w:lineRule="exact"/>
        <w:rPr>
          <w:sz w:val="20"/>
          <w:szCs w:val="20"/>
          <w:color w:val="auto"/>
        </w:rPr>
      </w:pPr>
    </w:p>
    <w:p>
      <w:pPr>
        <w:ind w:firstLine="981"/>
        <w:spacing w:after="0" w:line="268" w:lineRule="auto"/>
        <w:rPr>
          <w:sz w:val="20"/>
          <w:szCs w:val="20"/>
          <w:color w:val="auto"/>
        </w:rPr>
      </w:pPr>
      <w:r>
        <w:rPr>
          <w:rFonts w:ascii="Times New Roman" w:cs="Times New Roman" w:eastAsia="Times New Roman" w:hAnsi="Times New Roman"/>
          <w:sz w:val="17"/>
          <w:szCs w:val="17"/>
          <w:color w:val="auto"/>
        </w:rPr>
        <w:t xml:space="preserve">6.13 </w:t>
      </w:r>
      <w:r>
        <w:rPr>
          <w:rFonts w:ascii="Times New Roman" w:cs="Times New Roman" w:eastAsia="Times New Roman" w:hAnsi="Times New Roman"/>
          <w:sz w:val="17"/>
          <w:szCs w:val="17"/>
          <w:u w:val="single" w:color="auto"/>
          <w:color w:val="auto"/>
        </w:rPr>
        <w:t>Amendment, Suspension and Termination of Plan</w:t>
      </w:r>
      <w:r>
        <w:rPr>
          <w:rFonts w:ascii="Times New Roman" w:cs="Times New Roman" w:eastAsia="Times New Roman" w:hAnsi="Times New Roman"/>
          <w:sz w:val="17"/>
          <w:szCs w:val="17"/>
          <w:color w:val="auto"/>
        </w:rPr>
        <w:t xml:space="preserve">. The Board may suspend or terminate the Plan or any portion thereof at any time and may amend it from time to time in such respects as the Board may deem advisable;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no such amendment shall be made without stockholder approval to the extent such approval is required by law, agreement or the rules of any exchange upon which the Common Stock is listed, no such amendment, suspension or termination shall materially impair the rights of Participants under outstanding Awards without the consent of the Participants affected thereby and, subject to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 no such amendment shall increase the number of securities that may be issued by the Plan without the approval of the holders of at least 80% of the preferred stock of the Company. Notwithstanding the generality of the foregoing, the Plan shall terminate automatically upon the effectiveness of the Company’s 2020 Incentive Award Plan. No Awards may be granted under the Plan after the termination or expiration of the Plan. However, any Awards that, by their terms, remain outstanding as of the termination of the Plan shall remain outstanding and in full force and effect, and the terms and conditions of the Plan shall survive its termination and continue to apply to any such Awards.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80"/>
          </w:cols>
          <w:pgMar w:left="500" w:top="268" w:right="519" w:bottom="1440" w:gutter="0" w:footer="0" w:header="0"/>
        </w:sectPr>
      </w:pPr>
    </w:p>
    <w:bookmarkStart w:id="440" w:name="page441"/>
    <w:bookmarkEnd w:id="440"/>
    <w:p>
      <w:pPr>
        <w:ind w:right="20" w:firstLine="98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4">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6.14 </w:t>
      </w:r>
      <w:r>
        <w:rPr>
          <w:rFonts w:ascii="Times New Roman" w:cs="Times New Roman" w:eastAsia="Times New Roman" w:hAnsi="Times New Roman"/>
          <w:sz w:val="18"/>
          <w:szCs w:val="18"/>
          <w:u w:val="single" w:color="auto"/>
          <w:color w:val="auto"/>
        </w:rPr>
        <w:t>Amendment, Modification and Cancellation of Outstanding Awards</w:t>
      </w:r>
      <w:r>
        <w:rPr>
          <w:rFonts w:ascii="Times New Roman" w:cs="Times New Roman" w:eastAsia="Times New Roman" w:hAnsi="Times New Roman"/>
          <w:sz w:val="18"/>
          <w:szCs w:val="18"/>
          <w:color w:val="auto"/>
        </w:rPr>
        <w:t xml:space="preserve">. The Board may amend or modify any Award in any manner to the extent that the Board would have had the authority under the Plan initially to grant such Award;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no such amendment or modification shall materially impair the rights of any Participant under any Award granted prior to the date of such amendment or modification without the consent of such Participant. With the Participant’s consent, the Board may cancel any Award and issue a new Award to such Participant.</w:t>
      </w:r>
    </w:p>
    <w:p>
      <w:pPr>
        <w:spacing w:after="0" w:line="75" w:lineRule="exact"/>
        <w:rPr>
          <w:sz w:val="20"/>
          <w:szCs w:val="20"/>
          <w:color w:val="auto"/>
        </w:rPr>
      </w:pPr>
    </w:p>
    <w:p>
      <w:pPr>
        <w:jc w:val="both"/>
        <w:ind w:firstLine="981"/>
        <w:spacing w:after="0" w:line="273" w:lineRule="auto"/>
        <w:rPr>
          <w:sz w:val="20"/>
          <w:szCs w:val="20"/>
          <w:color w:val="auto"/>
        </w:rPr>
      </w:pPr>
      <w:r>
        <w:rPr>
          <w:rFonts w:ascii="Times New Roman" w:cs="Times New Roman" w:eastAsia="Times New Roman" w:hAnsi="Times New Roman"/>
          <w:sz w:val="17"/>
          <w:szCs w:val="17"/>
          <w:color w:val="auto"/>
        </w:rPr>
        <w:t xml:space="preserve">6.15 </w:t>
      </w:r>
      <w:r>
        <w:rPr>
          <w:rFonts w:ascii="Times New Roman" w:cs="Times New Roman" w:eastAsia="Times New Roman" w:hAnsi="Times New Roman"/>
          <w:sz w:val="17"/>
          <w:szCs w:val="17"/>
          <w:u w:val="single" w:color="auto"/>
          <w:color w:val="auto"/>
        </w:rPr>
        <w:t>Other Amendments</w:t>
      </w:r>
      <w:r>
        <w:rPr>
          <w:rFonts w:ascii="Times New Roman" w:cs="Times New Roman" w:eastAsia="Times New Roman" w:hAnsi="Times New Roman"/>
          <w:sz w:val="17"/>
          <w:szCs w:val="17"/>
          <w:color w:val="auto"/>
        </w:rPr>
        <w:t>. Notwithstanding any other provisions of the Plan, and in addition to the powers of amendment and modification set forth herein, the provisions hereof and the provisions of any Award granted hereunder may be amended unilaterally by the Board from time to time (but the Board shall have no obligation to do so) to the extent necessary (and only to the extent necessary) to prevent the implementation, application or existence (as the case may be) of any such provision from causing any Award granted hereunder to be treated as providing for the impermissible deferral of compensation pursuant to Code §409A (or Treasury Regulations or other official IRS guidance issued under Code §409A).</w:t>
      </w:r>
    </w:p>
    <w:p>
      <w:pPr>
        <w:spacing w:after="0" w:line="64" w:lineRule="exact"/>
        <w:rPr>
          <w:sz w:val="20"/>
          <w:szCs w:val="20"/>
          <w:color w:val="auto"/>
        </w:rPr>
      </w:pPr>
    </w:p>
    <w:p>
      <w:pPr>
        <w:ind w:right="80" w:firstLine="981"/>
        <w:spacing w:after="0" w:line="251"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In addition to such other rights of indemnification as they may have as members of the Board, the members of the Board (or any committee appointed thereby) shall be indemnified by the Company against all costs and expenses reasonably incurred by them in connection with any action, suit or proceeding to which they or any of them may be party by reason of any action taken or failure to act under or in connection with the Plan or any Award granted thereunder, and against all amounts paid by them in settlement thereof (provided such settlement is approved by independent legal counsel selected by the Company) or paid by them in satisfaction of a judgment in any such action, suit or proceeding;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any such Board member shall be entitled to the indemnification rights set forth in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only if such member has acted in good faith and in a manner that such member reasonably believed to be in or not opposed to the best interests of the Company and, with respect to any criminal action or proceeding, had no reasonable cause to believe that such conduct was unlawful, and further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upon the institution of any such action, suit or proceeding, a Board member shall give the Company written notice thereof and an opportunity, at its own expense, to handle and defend the same before such Board member undertakes to handle and defend it on his own behalf.</w:t>
      </w:r>
    </w:p>
    <w:p>
      <w:pPr>
        <w:spacing w:after="0" w:line="79" w:lineRule="exact"/>
        <w:rPr>
          <w:sz w:val="20"/>
          <w:szCs w:val="20"/>
          <w:color w:val="auto"/>
        </w:rPr>
      </w:pPr>
    </w:p>
    <w:p>
      <w:pPr>
        <w:ind w:right="20" w:firstLine="981"/>
        <w:spacing w:after="0" w:line="273" w:lineRule="auto"/>
        <w:rPr>
          <w:sz w:val="20"/>
          <w:szCs w:val="20"/>
          <w:color w:val="auto"/>
        </w:rPr>
      </w:pPr>
      <w:r>
        <w:rPr>
          <w:rFonts w:ascii="Times New Roman" w:cs="Times New Roman" w:eastAsia="Times New Roman" w:hAnsi="Times New Roman"/>
          <w:sz w:val="17"/>
          <w:szCs w:val="17"/>
          <w:color w:val="auto"/>
        </w:rPr>
        <w:t xml:space="preserve">6.17 </w:t>
      </w: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Each of the Company, any Participant and the Investors will be entitled to enforce its rights under this Plan specifically, to recover damages and costs (including reasonable attorneys’ fees) caused by any breach of any provision of this Plan and to exercise all other rights existing in its favor. Each Participant and the Company acknowledges and agrees that money damages may not be an adequate remedy for any breach of the provisions of this Plan and that any party may in its sole discretion apply to any court of law or equity of competent jurisdiction (without posting any bond or deposit) for specific performance and/or other injunctive relief in order to enforce or prevent any violations of the provisions of this Plan.</w:t>
      </w:r>
    </w:p>
    <w:p>
      <w:pPr>
        <w:spacing w:after="0" w:line="64" w:lineRule="exact"/>
        <w:rPr>
          <w:sz w:val="20"/>
          <w:szCs w:val="20"/>
          <w:color w:val="auto"/>
        </w:rPr>
      </w:pPr>
    </w:p>
    <w:p>
      <w:pPr>
        <w:jc w:val="both"/>
        <w:ind w:right="60" w:firstLine="981"/>
        <w:spacing w:after="0" w:line="262" w:lineRule="auto"/>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under this Plan or any agreement executed and delivered in connection with this Plan shall be in writing and shall be either personally delivered, or mailed by first class mail, return receipt requested, to any Participant at the address indicated in the Company’s records for such Person, and to the Company at the address below indicated:</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80"/>
          </w:cols>
          <w:pgMar w:left="500" w:top="267" w:right="519" w:bottom="1440" w:gutter="0" w:footer="0" w:header="0"/>
        </w:sectPr>
      </w:pPr>
    </w:p>
    <w:bookmarkStart w:id="441" w:name="page442"/>
    <w:bookmarkEnd w:id="44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Notices to the Company:</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GoodRx Holdings, Inc.</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233 Wilshire Blvd.</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Santa Monica, CA 90401</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 and VP</w:t>
      </w:r>
    </w:p>
    <w:p>
      <w:pPr>
        <w:spacing w:after="0" w:line="202"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or such other address or to the attention of such other person as the recipient party shall have specified by prior written notice to the sending party. Any notice under this Plan shall be deemed to have been given when so delivered or mailed.</w:t>
      </w:r>
    </w:p>
    <w:p>
      <w:pPr>
        <w:spacing w:after="0" w:line="57" w:lineRule="exact"/>
        <w:rPr>
          <w:sz w:val="20"/>
          <w:szCs w:val="20"/>
          <w:color w:val="auto"/>
        </w:rPr>
      </w:pPr>
    </w:p>
    <w:p>
      <w:pPr>
        <w:ind w:right="20" w:firstLine="981"/>
        <w:spacing w:after="0" w:line="252" w:lineRule="auto"/>
        <w:rPr>
          <w:sz w:val="20"/>
          <w:szCs w:val="20"/>
          <w:color w:val="auto"/>
        </w:rPr>
      </w:pPr>
      <w:r>
        <w:rPr>
          <w:rFonts w:ascii="Times New Roman" w:cs="Times New Roman" w:eastAsia="Times New Roman" w:hAnsi="Times New Roman"/>
          <w:sz w:val="18"/>
          <w:szCs w:val="18"/>
          <w:color w:val="auto"/>
        </w:rPr>
        <w:t xml:space="preserve">6.19 </w:t>
      </w:r>
      <w:r>
        <w:rPr>
          <w:rFonts w:ascii="Times New Roman" w:cs="Times New Roman" w:eastAsia="Times New Roman" w:hAnsi="Times New Roman"/>
          <w:sz w:val="18"/>
          <w:szCs w:val="18"/>
          <w:u w:val="single" w:color="auto"/>
          <w:color w:val="auto"/>
        </w:rPr>
        <w:t>Definition of Employee Shares</w:t>
      </w:r>
      <w:r>
        <w:rPr>
          <w:rFonts w:ascii="Times New Roman" w:cs="Times New Roman" w:eastAsia="Times New Roman" w:hAnsi="Times New Roman"/>
          <w:sz w:val="18"/>
          <w:szCs w:val="18"/>
          <w:color w:val="auto"/>
        </w:rPr>
        <w:t>. For all purposes of this Plan, Employee Shares will continue to be Employee Shares in the hands of any holder other than such Participant (except for the Company, the Investors (as defined in the Stockholders Agreement) or purchasers pursuant to an offering registered under the Securities Act or purchasers pursuant to a Rule 144 transaction (other than a Rule 144(k) transaction occurring prior to the time of a closing of an IPO)), and each such other holder of Employee Shares will succeed to all rights and obligations attributable to such Participant as a holder of Employee Shares hereunder and under any separate written agreement between the Company and such Participant. Employee Shares will also include shares of the Company’s capital stock issued with respect to Employee Shares by way of a share split, share dividend or other recapitalization.</w:t>
      </w:r>
    </w:p>
    <w:p>
      <w:pPr>
        <w:spacing w:after="0" w:line="82" w:lineRule="exact"/>
        <w:rPr>
          <w:sz w:val="20"/>
          <w:szCs w:val="20"/>
          <w:color w:val="auto"/>
        </w:rPr>
      </w:pPr>
    </w:p>
    <w:p>
      <w:pPr>
        <w:ind w:firstLine="981"/>
        <w:spacing w:after="0" w:line="251" w:lineRule="auto"/>
        <w:rPr>
          <w:sz w:val="20"/>
          <w:szCs w:val="20"/>
          <w:color w:val="auto"/>
        </w:rPr>
      </w:pPr>
      <w:r>
        <w:rPr>
          <w:rFonts w:ascii="Times New Roman" w:cs="Times New Roman" w:eastAsia="Times New Roman" w:hAnsi="Times New Roman"/>
          <w:sz w:val="18"/>
          <w:szCs w:val="18"/>
          <w:color w:val="auto"/>
        </w:rPr>
        <w:t xml:space="preserve">6.20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issues concerning this Plan will be governed by and construed in accordance with the laws of the State of Delaware, without giving effect to any choice of law or conflict of law provision of rule (whether of the State of Delaware or any other jurisdiction) that would cause the application of the law of any jurisdiction other than the State of Delaware. Each of the Company and each Participant submits to the co-exclusive jurisdiction of the United States District Court and any Delaware state court sitting in Wilmington, Delaware over any lawsuit under this Plan and waives any objection based on venue or forum non conveniens with respect to any action instituted therein. Each of the Company and each Participant waives the necessity for personal service of any and all process upon it and consents that all such service of process may be made by registered or certified mail (return receipt requested), in each case directed to such party in accordance with the notice requirements set forth in this Plan, and service so made will be deemed to be completed on the date of actual receipt. Each of the Company and each Participant consents to service of process as aforesaid. Nothing in this Plan will prohibit personal service in lieu of the service by mail contemplated herein.</w:t>
      </w:r>
    </w:p>
    <w:p>
      <w:pPr>
        <w:spacing w:after="0" w:line="189" w:lineRule="exact"/>
        <w:rPr>
          <w:sz w:val="20"/>
          <w:szCs w:val="20"/>
          <w:color w:val="auto"/>
        </w:rPr>
      </w:pPr>
    </w:p>
    <w:p>
      <w:pPr>
        <w:ind w:left="4160"/>
        <w:spacing w:after="0"/>
        <w:tabs>
          <w:tab w:leader="none" w:pos="4940" w:val="left"/>
          <w:tab w:leader="none" w:pos="5780" w:val="left"/>
          <w:tab w:leader="none" w:pos="66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0"/>
          </w:cols>
          <w:pgMar w:left="500" w:top="268" w:right="519" w:bottom="1440" w:gutter="0" w:footer="0" w:header="0"/>
        </w:sectPr>
      </w:pPr>
    </w:p>
    <w:bookmarkStart w:id="442" w:name="page443"/>
    <w:bookmarkEnd w:id="44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Plan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attached)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019"/>
          </w:cols>
          <w:pgMar w:left="1440" w:top="264" w:right="1440" w:bottom="1440" w:gutter="0" w:footer="0" w:header="0"/>
        </w:sectPr>
      </w:pPr>
    </w:p>
    <w:bookmarkStart w:id="443" w:name="page444"/>
    <w:bookmarkEnd w:id="4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G</w:t>
      </w:r>
      <w:r>
        <w:rPr>
          <w:rFonts w:ascii="Times New Roman" w:cs="Times New Roman" w:eastAsia="Times New Roman" w:hAnsi="Times New Roman"/>
          <w:sz w:val="14"/>
          <w:szCs w:val="14"/>
          <w:b w:val="1"/>
          <w:bCs w:val="1"/>
          <w:color w:val="auto"/>
        </w:rPr>
        <w:t>OOD</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X</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DOPTED 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CTOBER</w:t>
      </w:r>
      <w:r>
        <w:rPr>
          <w:rFonts w:ascii="Times New Roman" w:cs="Times New Roman" w:eastAsia="Times New Roman" w:hAnsi="Times New Roman"/>
          <w:sz w:val="18"/>
          <w:szCs w:val="18"/>
          <w:b w:val="1"/>
          <w:bCs w:val="1"/>
          <w:color w:val="auto"/>
        </w:rPr>
        <w:t xml:space="preserve"> ___, 2011</w:t>
      </w:r>
    </w:p>
    <w:p>
      <w:pPr>
        <w:sectPr>
          <w:pgSz w:w="11900" w:h="16838" w:orient="portrait"/>
          <w:cols w:equalWidth="0" w:num="1">
            <w:col w:w="9019"/>
          </w:cols>
          <w:pgMar w:left="1440" w:top="264" w:right="1440" w:bottom="1440" w:gutter="0" w:footer="0" w:header="0"/>
        </w:sectPr>
      </w:pPr>
    </w:p>
    <w:bookmarkStart w:id="444" w:name="page445"/>
    <w:bookmarkEnd w:id="444"/>
    <w:tbl>
      <w:tblPr>
        <w:tblLayout w:type="fixed"/>
        <w:tblInd w:w="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380" w:type="dxa"/>
            <w:vAlign w:val="bottom"/>
          </w:tcPr>
          <w:p>
            <w:pPr>
              <w:jc w:val="right"/>
              <w:ind w:right="4351"/>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402"/>
        </w:trPr>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 Establishment And Purpose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0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2. Administration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Committees of the Board of Directors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3"/>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Authority of the Board of Directors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3. Eligibility</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Rule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3"/>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Ten-Percent Stockholders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4. Stock Subject To Plan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Limitation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3"/>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Shares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5. Terms And Conditions Of Awards Or Sales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Purchase Agreement</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Duration of Offers and Nontransferability of Rights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Price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Withholding Taxes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3"/>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Restrictions on Transfer of Shares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6. Terms And Conditions Of Options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Option Agreement</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Number of Shares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 Price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Exercisability</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Term</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of Service (Except by Death)</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Leaves of Absence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Death of Optionee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Restrictions on Transfer of Shares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Transferability of Options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Withholding Taxes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Rights as a Stockholder</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3"/>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Modification, Extension and Assumption of Options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7. Payment For Shares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Rule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Surrender of Stock</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Services Rendered</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Promissory Note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Exercise/Sale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Exercise/Pledge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3"/>
        </w:trPr>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Forms of Payment</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40"/>
          </w:cols>
          <w:pgMar w:left="500" w:top="264" w:right="559" w:bottom="1440" w:gutter="0" w:footer="0" w:header="0"/>
        </w:sectPr>
      </w:pPr>
    </w:p>
    <w:bookmarkStart w:id="445" w:name="page446"/>
    <w:bookmarkEnd w:id="445"/>
    <w:tbl>
      <w:tblPr>
        <w:tblLayout w:type="fixed"/>
        <w:tblInd w:w="0" w:type="dxa"/>
        <w:tblCellMar>
          <w:top w:w="0" w:type="dxa"/>
          <w:left w:w="0" w:type="dxa"/>
          <w:bottom w:w="0" w:type="dxa"/>
          <w:right w:w="0" w:type="dxa"/>
        </w:tblCellMar>
      </w:tblPr>
      <w:tr>
        <w:trPr>
          <w:trHeight w:val="218"/>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8. Adjustment Of Shares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14"/>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6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6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Mergers and Consolidations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3"/>
        </w:trPr>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6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Reservation of Rights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1"/>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9. Drag Along Rights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321"/>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10. Proxy</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321"/>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11. Securities Law Requirements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321"/>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12. No Guarantee of Continued Service</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02"/>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13. Duration and Amendments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14"/>
        </w:trPr>
        <w:tc>
          <w:tcPr>
            <w:tcW w:w="7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 Term of the Plan</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7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 Right to Amend or Terminate the Plan</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3"/>
        </w:trPr>
        <w:tc>
          <w:tcPr>
            <w:tcW w:w="7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 Effect of Amendment or Termination</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1"/>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14. Definitions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840"/>
          </w:cols>
          <w:pgMar w:left="500" w:top="370" w:right="559" w:bottom="1440" w:gutter="0" w:footer="0" w:header="0"/>
        </w:sectPr>
      </w:pPr>
    </w:p>
    <w:bookmarkStart w:id="446" w:name="page447"/>
    <w:bookmarkEnd w:id="4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G</w:t>
      </w:r>
      <w:r>
        <w:rPr>
          <w:rFonts w:ascii="Times New Roman" w:cs="Times New Roman" w:eastAsia="Times New Roman" w:hAnsi="Times New Roman"/>
          <w:sz w:val="14"/>
          <w:szCs w:val="14"/>
          <w:b w:val="1"/>
          <w:bCs w:val="1"/>
          <w:color w:val="auto"/>
        </w:rPr>
        <w:t>OOD</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X</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2011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ESTABLISHMENT AND PURPOSE.</w:t>
      </w:r>
    </w:p>
    <w:p>
      <w:pPr>
        <w:spacing w:after="0" w:line="118" w:lineRule="exact"/>
        <w:rPr>
          <w:sz w:val="20"/>
          <w:szCs w:val="20"/>
          <w:color w:val="auto"/>
        </w:rPr>
      </w:pPr>
    </w:p>
    <w:p>
      <w:pPr>
        <w:ind w:right="40" w:firstLine="981"/>
        <w:spacing w:after="0" w:line="257" w:lineRule="auto"/>
        <w:rPr>
          <w:sz w:val="20"/>
          <w:szCs w:val="20"/>
          <w:color w:val="auto"/>
        </w:rPr>
      </w:pPr>
      <w:r>
        <w:rPr>
          <w:rFonts w:ascii="Times New Roman" w:cs="Times New Roman" w:eastAsia="Times New Roman" w:hAnsi="Times New Roman"/>
          <w:sz w:val="18"/>
          <w:szCs w:val="18"/>
          <w:color w:val="auto"/>
        </w:rPr>
        <w:t>The purpose of the Plan is to offer selected persons an opportunity to acquire a proprietary interest in the success of the Company, or to increase such interest, by purchasing Shares of the Company’s Stock. The Plan provides both for the direct award or sale of Shares and for the grant of Options to purchase Shares. Options granted under the Plan may include Nonstatutory Options as well as ISOs intended to qualify under Section 422 of the Code.</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Capitalized terms are defined in Section 14.</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ADMINISTRATION.</w:t>
      </w:r>
    </w:p>
    <w:p>
      <w:pPr>
        <w:spacing w:after="0" w:line="114" w:lineRule="exact"/>
        <w:rPr>
          <w:sz w:val="20"/>
          <w:szCs w:val="20"/>
          <w:color w:val="auto"/>
        </w:rPr>
      </w:pPr>
    </w:p>
    <w:p>
      <w:pPr>
        <w:ind w:right="80" w:firstLine="975"/>
        <w:spacing w:after="0" w:line="256" w:lineRule="auto"/>
        <w:tabs>
          <w:tab w:leader="none" w:pos="1233" w:val="left"/>
        </w:tabs>
        <w:numPr>
          <w:ilvl w:val="0"/>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Committees of the Board of Directors</w:t>
      </w:r>
      <w:r>
        <w:rPr>
          <w:rFonts w:ascii="Times New Roman" w:cs="Times New Roman" w:eastAsia="Times New Roman" w:hAnsi="Times New Roman"/>
          <w:sz w:val="18"/>
          <w:szCs w:val="18"/>
          <w:color w:val="auto"/>
        </w:rPr>
        <w:t>. The Plan may be administered by one or more Committees. Each Committee shall consist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or more members of the Board of Directors who have been appointed by the Board of Directors. Each Committee shall have such authority and be responsible for such functions as the Board of Directors has assigned to it. If no Committee has been appointed, the entire Board of Directors shall administer the Plan. Any reference to the Board of Directors in the Plan shall be construed as a reference to the Committee (if any) to whom the Board of Directors has assigned a particular function.</w:t>
      </w:r>
    </w:p>
    <w:p>
      <w:pPr>
        <w:spacing w:after="0" w:line="71" w:lineRule="exact"/>
        <w:rPr>
          <w:rFonts w:ascii="Times New Roman" w:cs="Times New Roman" w:eastAsia="Times New Roman" w:hAnsi="Times New Roman"/>
          <w:sz w:val="18"/>
          <w:szCs w:val="18"/>
          <w:b w:val="1"/>
          <w:bCs w:val="1"/>
          <w:color w:val="auto"/>
        </w:rPr>
      </w:pPr>
    </w:p>
    <w:p>
      <w:pPr>
        <w:ind w:right="220" w:firstLine="975"/>
        <w:spacing w:after="0" w:line="287" w:lineRule="auto"/>
        <w:tabs>
          <w:tab w:leader="none" w:pos="1233" w:val="left"/>
        </w:tabs>
        <w:numPr>
          <w:ilvl w:val="0"/>
          <w:numId w:val="3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Authority of the Board of Directors. </w:t>
      </w:r>
      <w:r>
        <w:rPr>
          <w:rFonts w:ascii="Times New Roman" w:cs="Times New Roman" w:eastAsia="Times New Roman" w:hAnsi="Times New Roman"/>
          <w:sz w:val="17"/>
          <w:szCs w:val="17"/>
          <w:color w:val="auto"/>
        </w:rPr>
        <w:t>Subject to the provisions of the Plan, the Board of Directors shall have full authority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discretion to take any actions it deems necessary or advisable for the administration of the Plan. All decisions, interpretations and other actions of the Board of Directors shall be final and binding on all Purchasers, all Optionees and all persons deriving their rights from a Purchaser or Optionee.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ELIGIBILITY.</w:t>
      </w:r>
    </w:p>
    <w:p>
      <w:pPr>
        <w:spacing w:after="0" w:line="114" w:lineRule="exact"/>
        <w:rPr>
          <w:sz w:val="20"/>
          <w:szCs w:val="20"/>
          <w:color w:val="auto"/>
        </w:rPr>
      </w:pPr>
    </w:p>
    <w:p>
      <w:pPr>
        <w:ind w:firstLine="975"/>
        <w:spacing w:after="0" w:line="282" w:lineRule="auto"/>
        <w:tabs>
          <w:tab w:leader="none" w:pos="1233" w:val="left"/>
        </w:tabs>
        <w:numPr>
          <w:ilvl w:val="0"/>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Rule. </w:t>
      </w:r>
      <w:r>
        <w:rPr>
          <w:rFonts w:ascii="Times New Roman" w:cs="Times New Roman" w:eastAsia="Times New Roman" w:hAnsi="Times New Roman"/>
          <w:sz w:val="18"/>
          <w:szCs w:val="18"/>
          <w:color w:val="auto"/>
        </w:rPr>
        <w:t>Only Employees, Outside Directors and Consultants shall be eligible for the grant of Nonstatutory Options or the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or sale of Shares. Only Employees shall be eligible for the grant of ISOs.</w:t>
      </w:r>
    </w:p>
    <w:p>
      <w:pPr>
        <w:spacing w:after="0" w:line="47" w:lineRule="exact"/>
        <w:rPr>
          <w:rFonts w:ascii="Times New Roman" w:cs="Times New Roman" w:eastAsia="Times New Roman" w:hAnsi="Times New Roman"/>
          <w:sz w:val="18"/>
          <w:szCs w:val="18"/>
          <w:b w:val="1"/>
          <w:bCs w:val="1"/>
          <w:color w:val="auto"/>
        </w:rPr>
      </w:pPr>
    </w:p>
    <w:p>
      <w:pPr>
        <w:jc w:val="both"/>
        <w:ind w:firstLine="975"/>
        <w:spacing w:after="0" w:line="259" w:lineRule="auto"/>
        <w:tabs>
          <w:tab w:leader="none" w:pos="1243" w:val="left"/>
        </w:tabs>
        <w:numPr>
          <w:ilvl w:val="0"/>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Ten-Percent Stockholders. </w:t>
      </w:r>
      <w:r>
        <w:rPr>
          <w:rFonts w:ascii="Times New Roman" w:cs="Times New Roman" w:eastAsia="Times New Roman" w:hAnsi="Times New Roman"/>
          <w:sz w:val="18"/>
          <w:szCs w:val="18"/>
          <w:color w:val="auto"/>
        </w:rPr>
        <w:t>A person who owns more than 10% of the total combined voting power of all classes of outstanding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its Parent or any of its Subsidiaries shall not be eligible for the grant of an ISO unless (i) the Exercise Price is at least 110% of the Fair Market Value of a Share on the date of grant and (ii) such ISO by its terms is not exercisable after the expiration of five years from the date of grant. For purposes of this Subsection (b), in determining stock ownership, the attribution rules of Section 424(d) of the Code shall be applied.</w:t>
      </w:r>
    </w:p>
    <w:p>
      <w:pPr>
        <w:sectPr>
          <w:pgSz w:w="11900" w:h="16838" w:orient="portrait"/>
          <w:cols w:equalWidth="0" w:num="1">
            <w:col w:w="10840"/>
          </w:cols>
          <w:pgMar w:left="500" w:top="264" w:right="55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4. STOCK SUBJECT TO PLAN.</w:t>
      </w:r>
    </w:p>
    <w:p>
      <w:pPr>
        <w:spacing w:after="0" w:line="114" w:lineRule="exact"/>
        <w:rPr>
          <w:sz w:val="20"/>
          <w:szCs w:val="20"/>
          <w:color w:val="auto"/>
        </w:rPr>
      </w:pPr>
    </w:p>
    <w:p>
      <w:pPr>
        <w:ind w:right="60" w:firstLine="975"/>
        <w:spacing w:after="0" w:line="256" w:lineRule="auto"/>
        <w:tabs>
          <w:tab w:leader="none" w:pos="1233" w:val="left"/>
        </w:tabs>
        <w:numPr>
          <w:ilvl w:val="0"/>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Basic Limitation. </w:t>
      </w:r>
      <w:r>
        <w:rPr>
          <w:rFonts w:ascii="Times New Roman" w:cs="Times New Roman" w:eastAsia="Times New Roman" w:hAnsi="Times New Roman"/>
          <w:sz w:val="18"/>
          <w:szCs w:val="18"/>
          <w:color w:val="auto"/>
        </w:rPr>
        <w:t>Not more than one million (1,000,000) Shares may be issued under the Plan (subject to Subsection (b) below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8(a)). All of these Shares may be issued upon the exercise of ISOs. The number of Shares that are subject to Options or other rights outstanding at any time under the Plan shall not exceed the number of Shares that then remain available for issuance under the Plan. The Company, during the term of the Plan, shall at all times reserve and keep available sufficient Shares to satisfy the requirements of the Plan. Shares offered under the Plan may be authorized but unissued Shares or treasury Shares.</w:t>
      </w:r>
    </w:p>
    <w:p>
      <w:pPr>
        <w:spacing w:after="0" w:line="71" w:lineRule="exact"/>
        <w:rPr>
          <w:rFonts w:ascii="Times New Roman" w:cs="Times New Roman" w:eastAsia="Times New Roman" w:hAnsi="Times New Roman"/>
          <w:sz w:val="18"/>
          <w:szCs w:val="18"/>
          <w:b w:val="1"/>
          <w:bCs w:val="1"/>
          <w:color w:val="auto"/>
        </w:rPr>
      </w:pPr>
    </w:p>
    <w:p>
      <w:pPr>
        <w:ind w:right="20" w:firstLine="975"/>
        <w:spacing w:after="0" w:line="259" w:lineRule="auto"/>
        <w:tabs>
          <w:tab w:leader="none" w:pos="1243" w:val="left"/>
        </w:tabs>
        <w:numPr>
          <w:ilvl w:val="0"/>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Additional Shares. </w:t>
      </w:r>
      <w:r>
        <w:rPr>
          <w:rFonts w:ascii="Times New Roman" w:cs="Times New Roman" w:eastAsia="Times New Roman" w:hAnsi="Times New Roman"/>
          <w:sz w:val="18"/>
          <w:szCs w:val="18"/>
          <w:color w:val="auto"/>
        </w:rPr>
        <w:t>In the event that Shares previously issued under the Plan are reacquired by the Company, such Shares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added to the number of Shares then available for issuance under the Plan. In the event that an outstanding Option or other right for any reason expires or is canceled, the Shares allocable to the unexercised portion of such Option or other right shall be added to the number of Shares then available for issuance under the Plan.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TERMS AND CONDITIONS OF AWARDS OR SALES.</w:t>
      </w:r>
    </w:p>
    <w:p>
      <w:pPr>
        <w:spacing w:after="0" w:line="114" w:lineRule="exact"/>
        <w:rPr>
          <w:sz w:val="20"/>
          <w:szCs w:val="20"/>
          <w:color w:val="auto"/>
        </w:rPr>
      </w:pPr>
    </w:p>
    <w:p>
      <w:pPr>
        <w:ind w:firstLine="975"/>
        <w:spacing w:after="0" w:line="256" w:lineRule="auto"/>
        <w:tabs>
          <w:tab w:leader="none" w:pos="1233"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 Purchase Agreement. </w:t>
      </w:r>
      <w:r>
        <w:rPr>
          <w:rFonts w:ascii="Times New Roman" w:cs="Times New Roman" w:eastAsia="Times New Roman" w:hAnsi="Times New Roman"/>
          <w:sz w:val="18"/>
          <w:szCs w:val="18"/>
          <w:color w:val="auto"/>
        </w:rPr>
        <w:t>Each award or sale of Shares under the Plan (other than upon exercise of an Option) shall be evidenced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Stock Purchase Agreement between the Purchaser and the Company. Such award or sale shall be subject to all applicable terms and conditions of the Plan and may be subject to any other terms and conditions which are not inconsistent with the Plan and which the Board of Directors deems appropriate for inclusion in a Stock Purchase Agreement. The provisions of the various Stock Purchase Agreements entered into under the Plan need not be identical.</w:t>
      </w:r>
    </w:p>
    <w:p>
      <w:pPr>
        <w:spacing w:after="0" w:line="71" w:lineRule="exact"/>
        <w:rPr>
          <w:rFonts w:ascii="Times New Roman" w:cs="Times New Roman" w:eastAsia="Times New Roman" w:hAnsi="Times New Roman"/>
          <w:sz w:val="18"/>
          <w:szCs w:val="18"/>
          <w:b w:val="1"/>
          <w:bCs w:val="1"/>
          <w:color w:val="auto"/>
        </w:rPr>
      </w:pPr>
    </w:p>
    <w:p>
      <w:pPr>
        <w:ind w:right="100" w:firstLine="975"/>
        <w:spacing w:after="0" w:line="265" w:lineRule="auto"/>
        <w:tabs>
          <w:tab w:leader="none" w:pos="1243"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Duration of Offers and Nontransferability of Rights. </w:t>
      </w:r>
      <w:r>
        <w:rPr>
          <w:rFonts w:ascii="Times New Roman" w:cs="Times New Roman" w:eastAsia="Times New Roman" w:hAnsi="Times New Roman"/>
          <w:sz w:val="18"/>
          <w:szCs w:val="18"/>
          <w:color w:val="auto"/>
        </w:rPr>
        <w:t>Any right to acquire Shares under the Plan (other than an Option)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expire if not exercised by the Purchaser within 30 days after the grant of such right was communicated to the Purchaser by the Company. Such right shall not be transferable and shall be exercisable only by the Purchaser to whom such right was granted.</w:t>
      </w:r>
    </w:p>
    <w:p>
      <w:pPr>
        <w:spacing w:after="0" w:line="62" w:lineRule="exact"/>
        <w:rPr>
          <w:rFonts w:ascii="Times New Roman" w:cs="Times New Roman" w:eastAsia="Times New Roman" w:hAnsi="Times New Roman"/>
          <w:sz w:val="18"/>
          <w:szCs w:val="18"/>
          <w:b w:val="1"/>
          <w:bCs w:val="1"/>
          <w:color w:val="auto"/>
        </w:rPr>
      </w:pPr>
    </w:p>
    <w:p>
      <w:pPr>
        <w:ind w:right="20" w:firstLine="975"/>
        <w:spacing w:after="0" w:line="282" w:lineRule="auto"/>
        <w:tabs>
          <w:tab w:leader="none" w:pos="1223"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Purchase Price. </w:t>
      </w:r>
      <w:r>
        <w:rPr>
          <w:rFonts w:ascii="Times New Roman" w:cs="Times New Roman" w:eastAsia="Times New Roman" w:hAnsi="Times New Roman"/>
          <w:sz w:val="18"/>
          <w:szCs w:val="18"/>
          <w:color w:val="auto"/>
        </w:rPr>
        <w:t>The Board of Directors shall determine the Purchase Price of Shares to be offered under the Plan at its sole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 Price shall be payable in a form described in Section 7.</w:t>
      </w:r>
    </w:p>
    <w:p>
      <w:pPr>
        <w:spacing w:after="0" w:line="47" w:lineRule="exact"/>
        <w:rPr>
          <w:rFonts w:ascii="Times New Roman" w:cs="Times New Roman" w:eastAsia="Times New Roman" w:hAnsi="Times New Roman"/>
          <w:sz w:val="18"/>
          <w:szCs w:val="18"/>
          <w:b w:val="1"/>
          <w:bCs w:val="1"/>
          <w:color w:val="auto"/>
        </w:rPr>
      </w:pPr>
    </w:p>
    <w:p>
      <w:pPr>
        <w:ind w:right="160" w:firstLine="975"/>
        <w:spacing w:after="0" w:line="312" w:lineRule="auto"/>
        <w:tabs>
          <w:tab w:leader="none" w:pos="1243" w:val="left"/>
        </w:tabs>
        <w:numPr>
          <w:ilvl w:val="0"/>
          <w:numId w:val="3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Withholding Taxes. </w:t>
      </w:r>
      <w:r>
        <w:rPr>
          <w:rFonts w:ascii="Times New Roman" w:cs="Times New Roman" w:eastAsia="Times New Roman" w:hAnsi="Times New Roman"/>
          <w:sz w:val="17"/>
          <w:szCs w:val="17"/>
          <w:color w:val="auto"/>
        </w:rPr>
        <w:t>As a condition to the purchase of Shares, the Purchaser shall make such arrangements as the Board of Directors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require for the satisfaction of any federal, state, local or foreign withholding tax obligations that may arise in connection with such purchase.</w:t>
      </w:r>
    </w:p>
    <w:p>
      <w:pPr>
        <w:spacing w:after="0" w:line="26" w:lineRule="exact"/>
        <w:rPr>
          <w:rFonts w:ascii="Times New Roman" w:cs="Times New Roman" w:eastAsia="Times New Roman" w:hAnsi="Times New Roman"/>
          <w:sz w:val="17"/>
          <w:szCs w:val="17"/>
          <w:b w:val="1"/>
          <w:bCs w:val="1"/>
          <w:color w:val="auto"/>
        </w:rPr>
      </w:pPr>
    </w:p>
    <w:p>
      <w:pPr>
        <w:jc w:val="both"/>
        <w:ind w:right="100" w:firstLine="975"/>
        <w:spacing w:after="0" w:line="265" w:lineRule="auto"/>
        <w:tabs>
          <w:tab w:leader="none" w:pos="1223"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of Shares. </w:t>
      </w:r>
      <w:r>
        <w:rPr>
          <w:rFonts w:ascii="Times New Roman" w:cs="Times New Roman" w:eastAsia="Times New Roman" w:hAnsi="Times New Roman"/>
          <w:sz w:val="18"/>
          <w:szCs w:val="18"/>
          <w:color w:val="auto"/>
        </w:rPr>
        <w:t>Any Shares awarded or sold under the Plan shall be subject to such special forfeiture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of repurchase, rights of first refusal and other transfer restrictions as the Board of Directors may determine. Such restrictions shall be set forth in the applicable Stock Purchase Agreement and shall apply in addition to any restrictions that may apply to holders of Shares generally.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500" w:top="264" w:right="539" w:bottom="1440" w:gutter="0" w:footer="0" w:header="0"/>
        </w:sectPr>
      </w:pPr>
    </w:p>
    <w:bookmarkStart w:id="448" w:name="page449"/>
    <w:bookmarkEnd w:id="448"/>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6. TERMS AND CONDITIONS OF OPTIONS.</w:t>
      </w:r>
    </w:p>
    <w:p>
      <w:pPr>
        <w:spacing w:after="0" w:line="114" w:lineRule="exact"/>
        <w:rPr>
          <w:sz w:val="20"/>
          <w:szCs w:val="20"/>
          <w:color w:val="auto"/>
        </w:rPr>
      </w:pPr>
    </w:p>
    <w:p>
      <w:pPr>
        <w:ind w:left="6" w:right="40" w:firstLine="975"/>
        <w:spacing w:after="0" w:line="259" w:lineRule="auto"/>
        <w:tabs>
          <w:tab w:leader="none" w:pos="1239" w:val="left"/>
        </w:tabs>
        <w:numPr>
          <w:ilvl w:val="1"/>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 Option Agreement. </w:t>
      </w:r>
      <w:r>
        <w:rPr>
          <w:rFonts w:ascii="Times New Roman" w:cs="Times New Roman" w:eastAsia="Times New Roman" w:hAnsi="Times New Roman"/>
          <w:sz w:val="18"/>
          <w:szCs w:val="18"/>
          <w:color w:val="auto"/>
        </w:rPr>
        <w:t>Each grant of an Option under the Plan shall be evidenced by a Stock Option Agreement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and the Company. The Option shall be subject to all applicable terms and conditions of the Plan and may be subject to any other terms and conditions which are not inconsistent with the Plan and which the Board of Directors deems appropriate for inclusion in a Stock Option Agreement. The provisions of the various Stock Option Agreements entered into under the Plan need not be identical.</w:t>
      </w:r>
    </w:p>
    <w:p>
      <w:pPr>
        <w:spacing w:after="0" w:line="68" w:lineRule="exact"/>
        <w:rPr>
          <w:rFonts w:ascii="Times New Roman" w:cs="Times New Roman" w:eastAsia="Times New Roman" w:hAnsi="Times New Roman"/>
          <w:sz w:val="18"/>
          <w:szCs w:val="18"/>
          <w:b w:val="1"/>
          <w:bCs w:val="1"/>
          <w:color w:val="auto"/>
        </w:rPr>
      </w:pPr>
    </w:p>
    <w:p>
      <w:pPr>
        <w:ind w:left="6" w:right="140" w:firstLine="975"/>
        <w:spacing w:after="0" w:line="265" w:lineRule="auto"/>
        <w:tabs>
          <w:tab w:leader="none" w:pos="1249" w:val="left"/>
        </w:tabs>
        <w:numPr>
          <w:ilvl w:val="1"/>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Number of Shares. </w:t>
      </w:r>
      <w:r>
        <w:rPr>
          <w:rFonts w:ascii="Times New Roman" w:cs="Times New Roman" w:eastAsia="Times New Roman" w:hAnsi="Times New Roman"/>
          <w:sz w:val="18"/>
          <w:szCs w:val="18"/>
          <w:color w:val="auto"/>
        </w:rPr>
        <w:t>Each Stock Option Agreement shall specify the number of Shares that are subject to the Option and shall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adjustment of such number in accordance with Section 8. The Stock Option Agreement shall also specify whether the Option is an ISO or a Nonstatutory Option.</w:t>
      </w:r>
    </w:p>
    <w:p>
      <w:pPr>
        <w:spacing w:after="0" w:line="62" w:lineRule="exact"/>
        <w:rPr>
          <w:rFonts w:ascii="Times New Roman" w:cs="Times New Roman" w:eastAsia="Times New Roman" w:hAnsi="Times New Roman"/>
          <w:sz w:val="18"/>
          <w:szCs w:val="18"/>
          <w:b w:val="1"/>
          <w:bCs w:val="1"/>
          <w:color w:val="auto"/>
        </w:rPr>
      </w:pPr>
    </w:p>
    <w:p>
      <w:pPr>
        <w:jc w:val="both"/>
        <w:ind w:left="6" w:right="40" w:firstLine="975"/>
        <w:spacing w:after="0" w:line="259" w:lineRule="auto"/>
        <w:tabs>
          <w:tab w:leader="none" w:pos="1229" w:val="left"/>
        </w:tabs>
        <w:numPr>
          <w:ilvl w:val="1"/>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Price. </w:t>
      </w:r>
      <w:r>
        <w:rPr>
          <w:rFonts w:ascii="Times New Roman" w:cs="Times New Roman" w:eastAsia="Times New Roman" w:hAnsi="Times New Roman"/>
          <w:sz w:val="18"/>
          <w:szCs w:val="18"/>
          <w:color w:val="auto"/>
        </w:rPr>
        <w:t>Each Stock Option Agreement shall specify the Exercise Price. The Exercise Price of any Option shall not be less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 of the Fair Market Value of a Share on the date of grant, and in the case of an ISO a higher percentage may be required by Section 3(b). Subject to the preceding sentence, the Exercise Price shall be determined by the Board of Directors at its sole discretion. The Exercise Price shall be payable in a form described in Section 7.</w:t>
      </w:r>
    </w:p>
    <w:p>
      <w:pPr>
        <w:spacing w:after="0" w:line="68" w:lineRule="exact"/>
        <w:rPr>
          <w:rFonts w:ascii="Times New Roman" w:cs="Times New Roman" w:eastAsia="Times New Roman" w:hAnsi="Times New Roman"/>
          <w:sz w:val="18"/>
          <w:szCs w:val="18"/>
          <w:b w:val="1"/>
          <w:bCs w:val="1"/>
          <w:color w:val="auto"/>
        </w:rPr>
      </w:pPr>
    </w:p>
    <w:p>
      <w:pPr>
        <w:ind w:left="6" w:right="240" w:firstLine="975"/>
        <w:spacing w:after="0" w:line="276" w:lineRule="auto"/>
        <w:tabs>
          <w:tab w:leader="none" w:pos="1249" w:val="left"/>
        </w:tabs>
        <w:numPr>
          <w:ilvl w:val="1"/>
          <w:numId w:val="3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Exercisability. </w:t>
      </w:r>
      <w:r>
        <w:rPr>
          <w:rFonts w:ascii="Times New Roman" w:cs="Times New Roman" w:eastAsia="Times New Roman" w:hAnsi="Times New Roman"/>
          <w:sz w:val="17"/>
          <w:szCs w:val="17"/>
          <w:color w:val="auto"/>
        </w:rPr>
        <w:t>Each Stock Option Agreement shall specify the date when all or any installment of the Option is to become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exercisable. No Option shall be exercisable unless the Optionee (i) has delivered an executed copy of the Stock Option Agreement to the Company or</w:t>
      </w:r>
    </w:p>
    <w:p>
      <w:pPr>
        <w:ind w:left="6" w:right="240" w:hanging="6"/>
        <w:spacing w:after="0" w:line="255" w:lineRule="auto"/>
        <w:tabs>
          <w:tab w:leader="none" w:pos="268"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agrees to be bound by the terms of the Stock Option Agreement. The Board of Directors shall determine the exercisability provisions of the Stock Option Agreement at its sole discretion. All of an Optionee’s Options shall become exercisable in full if Section 8(b)(iv) applies.</w:t>
      </w:r>
    </w:p>
    <w:p>
      <w:pPr>
        <w:spacing w:after="0" w:line="71" w:lineRule="exact"/>
        <w:rPr>
          <w:rFonts w:ascii="Times New Roman" w:cs="Times New Roman" w:eastAsia="Times New Roman" w:hAnsi="Times New Roman"/>
          <w:sz w:val="18"/>
          <w:szCs w:val="18"/>
          <w:color w:val="auto"/>
        </w:rPr>
      </w:pPr>
    </w:p>
    <w:p>
      <w:pPr>
        <w:ind w:left="6" w:right="320" w:firstLine="975"/>
        <w:spacing w:after="0" w:line="265" w:lineRule="auto"/>
        <w:tabs>
          <w:tab w:leader="none" w:pos="1229" w:val="left"/>
        </w:tabs>
        <w:numPr>
          <w:ilvl w:val="1"/>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Basic Term. </w:t>
      </w:r>
      <w:r>
        <w:rPr>
          <w:rFonts w:ascii="Times New Roman" w:cs="Times New Roman" w:eastAsia="Times New Roman" w:hAnsi="Times New Roman"/>
          <w:sz w:val="18"/>
          <w:szCs w:val="18"/>
          <w:color w:val="auto"/>
        </w:rPr>
        <w:t>The Stock Option Agreement shall specify the term of the Option. The term shall not exceed 10 years from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and in the case of an ISO a shorter term may be required by Section 3(b). Subject to the preceding sentence, the Board of Directors at its sole discretion shall determine when an Option is to expire.</w:t>
      </w:r>
    </w:p>
    <w:p>
      <w:pPr>
        <w:spacing w:after="0" w:line="62" w:lineRule="exact"/>
        <w:rPr>
          <w:rFonts w:ascii="Times New Roman" w:cs="Times New Roman" w:eastAsia="Times New Roman" w:hAnsi="Times New Roman"/>
          <w:sz w:val="18"/>
          <w:szCs w:val="18"/>
          <w:b w:val="1"/>
          <w:bCs w:val="1"/>
          <w:color w:val="auto"/>
        </w:rPr>
      </w:pPr>
    </w:p>
    <w:p>
      <w:pPr>
        <w:ind w:left="6" w:right="220" w:firstLine="975"/>
        <w:spacing w:after="0" w:line="282" w:lineRule="auto"/>
        <w:tabs>
          <w:tab w:leader="none" w:pos="1210" w:val="left"/>
        </w:tabs>
        <w:numPr>
          <w:ilvl w:val="1"/>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Service (Except by Death). </w:t>
      </w:r>
      <w:r>
        <w:rPr>
          <w:rFonts w:ascii="Times New Roman" w:cs="Times New Roman" w:eastAsia="Times New Roman" w:hAnsi="Times New Roman"/>
          <w:sz w:val="18"/>
          <w:szCs w:val="18"/>
          <w:color w:val="auto"/>
        </w:rPr>
        <w:t>If an Optionee’s Service terminates for any reason other than the Optionee’s death,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Optionee’s Options shall expire on the earliest of the following occasions:</w:t>
      </w:r>
    </w:p>
    <w:p>
      <w:pPr>
        <w:spacing w:after="0" w:line="51" w:lineRule="exact"/>
        <w:rPr>
          <w:rFonts w:ascii="Times New Roman" w:cs="Times New Roman" w:eastAsia="Times New Roman" w:hAnsi="Times New Roman"/>
          <w:sz w:val="18"/>
          <w:szCs w:val="18"/>
          <w:b w:val="1"/>
          <w:bCs w:val="1"/>
          <w:color w:val="auto"/>
        </w:rPr>
      </w:pPr>
    </w:p>
    <w:p>
      <w:pPr>
        <w:ind w:left="1586" w:hanging="209"/>
        <w:spacing w:after="0"/>
        <w:tabs>
          <w:tab w:leader="none" w:pos="1586" w:val="left"/>
        </w:tabs>
        <w:numPr>
          <w:ilvl w:val="2"/>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determined pursuant to Subsection (e) above;</w:t>
      </w:r>
    </w:p>
    <w:p>
      <w:pPr>
        <w:spacing w:after="0" w:line="113" w:lineRule="exact"/>
        <w:rPr>
          <w:rFonts w:ascii="Times New Roman" w:cs="Times New Roman" w:eastAsia="Times New Roman" w:hAnsi="Times New Roman"/>
          <w:sz w:val="18"/>
          <w:szCs w:val="18"/>
          <w:color w:val="auto"/>
        </w:rPr>
      </w:pPr>
    </w:p>
    <w:p>
      <w:pPr>
        <w:ind w:left="426" w:firstLine="951"/>
        <w:spacing w:after="0" w:line="277" w:lineRule="auto"/>
        <w:tabs>
          <w:tab w:leader="none" w:pos="1630" w:val="left"/>
        </w:tabs>
        <w:numPr>
          <w:ilvl w:val="2"/>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three months after the termination of the Optionee’s Service for any reason other than Disability, or such later date as the Board of Directors may determine; or</w:t>
      </w:r>
    </w:p>
    <w:p>
      <w:pPr>
        <w:spacing w:after="0" w:line="56" w:lineRule="exact"/>
        <w:rPr>
          <w:rFonts w:ascii="Times New Roman" w:cs="Times New Roman" w:eastAsia="Times New Roman" w:hAnsi="Times New Roman"/>
          <w:sz w:val="18"/>
          <w:szCs w:val="18"/>
          <w:color w:val="auto"/>
        </w:rPr>
      </w:pPr>
    </w:p>
    <w:p>
      <w:pPr>
        <w:ind w:left="426" w:right="340" w:firstLine="951"/>
        <w:spacing w:after="0" w:line="277" w:lineRule="auto"/>
        <w:tabs>
          <w:tab w:leader="none" w:pos="1679" w:val="left"/>
        </w:tabs>
        <w:numPr>
          <w:ilvl w:val="2"/>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six months after the termination of the Optionee’s Service by reason of Disability, or such later date as the Board of Directors may determine.</w:t>
      </w:r>
    </w:p>
    <w:p>
      <w:pPr>
        <w:spacing w:after="0" w:line="9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6"/>
          </w:cols>
          <w:pgMar w:left="494" w:top="264" w:right="499" w:bottom="1440" w:gutter="0" w:footer="0" w:header="0"/>
        </w:sectPr>
      </w:pPr>
    </w:p>
    <w:bookmarkStart w:id="449" w:name="page450"/>
    <w:bookmarkEnd w:id="44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Optionee may exercise all or part of the Optionee’s Options at any time before the expiration of such Options under the preceding sentence, but only to the extent that such Options had become exercisable before the Optionee’s Service terminated (or became exercisable as a result of the termination) and the underlying Shares had vested before the Optionee’s Service terminated (or vested as a result of the termination). The balance of such Options shall lapse when the Optionee’s Service terminates. In the event that the Optionee dies after the termination of the Optionee’s Service but before the expiration of the Optionee’s Options, all or part of such Options may be exercised (prior to expiration) by the executors or administrators of the Optionee’s estate or by any person who has acquired such Options directly from the Optionee by beneficiary designation, bequest or inheritance, but only to the extent that such Options had become exercisable before the Optionee’s Service terminated (or became exercisable as a result of the termination) and the underlying Shares had vested before the Optionee’s Service terminated (or vested as a result of the termination).</w:t>
      </w:r>
    </w:p>
    <w:p>
      <w:pPr>
        <w:spacing w:after="0" w:line="74" w:lineRule="exact"/>
        <w:rPr>
          <w:sz w:val="20"/>
          <w:szCs w:val="20"/>
          <w:color w:val="auto"/>
        </w:rPr>
      </w:pPr>
    </w:p>
    <w:p>
      <w:pPr>
        <w:ind w:right="200" w:firstLine="975"/>
        <w:spacing w:after="0" w:line="265" w:lineRule="auto"/>
        <w:tabs>
          <w:tab w:leader="none" w:pos="1233" w:val="left"/>
        </w:tabs>
        <w:numPr>
          <w:ilvl w:val="0"/>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Leaves of Absence. </w:t>
      </w:r>
      <w:r>
        <w:rPr>
          <w:rFonts w:ascii="Times New Roman" w:cs="Times New Roman" w:eastAsia="Times New Roman" w:hAnsi="Times New Roman"/>
          <w:sz w:val="18"/>
          <w:szCs w:val="18"/>
          <w:color w:val="auto"/>
        </w:rPr>
        <w:t>For purposes of Subsection (f) above, Service shall be deemed to continue while the Optionee is on a bona fide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leave of absence, if such leave was approved by the Company in writing and if continued crediting of Service for this purpose is expressly required by the terms of such leave or by applicable law (as determined by the Company).</w:t>
      </w:r>
    </w:p>
    <w:p>
      <w:pPr>
        <w:spacing w:after="0" w:line="62" w:lineRule="exact"/>
        <w:rPr>
          <w:rFonts w:ascii="Times New Roman" w:cs="Times New Roman" w:eastAsia="Times New Roman" w:hAnsi="Times New Roman"/>
          <w:sz w:val="18"/>
          <w:szCs w:val="18"/>
          <w:b w:val="1"/>
          <w:bCs w:val="1"/>
          <w:color w:val="auto"/>
        </w:rPr>
      </w:pPr>
    </w:p>
    <w:p>
      <w:pPr>
        <w:ind w:left="1240" w:hanging="265"/>
        <w:spacing w:after="0"/>
        <w:tabs>
          <w:tab w:leader="none" w:pos="1240" w:val="left"/>
        </w:tabs>
        <w:numPr>
          <w:ilvl w:val="0"/>
          <w:numId w:val="3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Death of Optionee. </w:t>
      </w:r>
      <w:r>
        <w:rPr>
          <w:rFonts w:ascii="Times New Roman" w:cs="Times New Roman" w:eastAsia="Times New Roman" w:hAnsi="Times New Roman"/>
          <w:sz w:val="17"/>
          <w:szCs w:val="17"/>
          <w:color w:val="auto"/>
        </w:rPr>
        <w:t>If an Optionee dies while the Optionee is in Service, then the Optionee’s Options shall expire on the earlier of the</w:t>
      </w:r>
    </w:p>
    <w:p>
      <w:pPr>
        <w:spacing w:after="0" w:line="41"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following dates:</w:t>
      </w:r>
    </w:p>
    <w:p>
      <w:pPr>
        <w:spacing w:after="0" w:line="94" w:lineRule="exact"/>
        <w:rPr>
          <w:rFonts w:ascii="Times New Roman" w:cs="Times New Roman" w:eastAsia="Times New Roman" w:hAnsi="Times New Roman"/>
          <w:sz w:val="17"/>
          <w:szCs w:val="17"/>
          <w:b w:val="1"/>
          <w:bCs w:val="1"/>
          <w:color w:val="auto"/>
        </w:rPr>
      </w:pPr>
    </w:p>
    <w:p>
      <w:pPr>
        <w:ind w:left="1580" w:hanging="209"/>
        <w:spacing w:after="0"/>
        <w:tabs>
          <w:tab w:leader="none" w:pos="158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determined pursuant to Subsection (e) above; or</w:t>
      </w:r>
    </w:p>
    <w:p>
      <w:pPr>
        <w:spacing w:after="0" w:line="113" w:lineRule="exact"/>
        <w:rPr>
          <w:rFonts w:ascii="Times New Roman" w:cs="Times New Roman" w:eastAsia="Times New Roman" w:hAnsi="Times New Roman"/>
          <w:sz w:val="18"/>
          <w:szCs w:val="18"/>
          <w:color w:val="auto"/>
        </w:rPr>
      </w:pPr>
    </w:p>
    <w:p>
      <w:pPr>
        <w:ind w:left="1640" w:hanging="269"/>
        <w:spacing w:after="0"/>
        <w:tabs>
          <w:tab w:leader="none" w:pos="164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12 months after the Optionee’s death, or such later date as the Board of Directors may determine.</w:t>
      </w:r>
    </w:p>
    <w:p>
      <w:pPr>
        <w:spacing w:after="0" w:line="22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All or part of the Optionee’s Options may be exercised at any time before the expiration of such Options under the preceding sentence by the executors or administrators of the Optionee’s estate or by any person who has acquired such Options directly from the Optionee by beneficiary designation, bequest or inheritance, but only to the extent that such Options had become exercisable before the Optionee’s death (or became exercisable as a result of the death) and the underlying Shares had vested before the Optionee’s death (or vested as a result of the Optionee’s death). The balance of such Options shall lapse when the Optionee dies.</w:t>
      </w:r>
    </w:p>
    <w:p>
      <w:pPr>
        <w:spacing w:after="0" w:line="72" w:lineRule="exact"/>
        <w:rPr>
          <w:sz w:val="20"/>
          <w:szCs w:val="20"/>
          <w:color w:val="auto"/>
        </w:rPr>
      </w:pPr>
    </w:p>
    <w:p>
      <w:pPr>
        <w:ind w:right="160" w:firstLine="975"/>
        <w:spacing w:after="0" w:line="265" w:lineRule="auto"/>
        <w:tabs>
          <w:tab w:leader="none" w:pos="1194"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of Shares. </w:t>
      </w:r>
      <w:r>
        <w:rPr>
          <w:rFonts w:ascii="Times New Roman" w:cs="Times New Roman" w:eastAsia="Times New Roman" w:hAnsi="Times New Roman"/>
          <w:sz w:val="18"/>
          <w:szCs w:val="18"/>
          <w:color w:val="auto"/>
        </w:rPr>
        <w:t>Any Shares issued upon exercise of an Option shall be subject to such special forfeiture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rights of repurchase, rights of first refusal and other transfer restrictions as the Board of Directors may determine. Such restrictions shall be set forth in the applicable Stock Option Agreement and shall apply in addition to any restrictions that may apply to holders of Shares generally.</w:t>
      </w:r>
    </w:p>
    <w:p>
      <w:pPr>
        <w:spacing w:after="0" w:line="62" w:lineRule="exact"/>
        <w:rPr>
          <w:rFonts w:ascii="Times New Roman" w:cs="Times New Roman" w:eastAsia="Times New Roman" w:hAnsi="Times New Roman"/>
          <w:sz w:val="18"/>
          <w:szCs w:val="18"/>
          <w:b w:val="1"/>
          <w:bCs w:val="1"/>
          <w:color w:val="auto"/>
        </w:rPr>
      </w:pPr>
    </w:p>
    <w:p>
      <w:pPr>
        <w:ind w:right="60" w:firstLine="975"/>
        <w:spacing w:after="0" w:line="259" w:lineRule="auto"/>
        <w:tabs>
          <w:tab w:leader="none" w:pos="1203"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of Options. </w:t>
      </w:r>
      <w:r>
        <w:rPr>
          <w:rFonts w:ascii="Times New Roman" w:cs="Times New Roman" w:eastAsia="Times New Roman" w:hAnsi="Times New Roman"/>
          <w:sz w:val="18"/>
          <w:szCs w:val="18"/>
          <w:color w:val="auto"/>
        </w:rPr>
        <w:t>An Option shall be transferable by the Optionee only by (i) a beneficiary designation, (ii) a will or (iii)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descent and distribution, except as provided in the next sentence. If the applicable Stock Option Agreement so provides, a Nonstatutory Option shall also be transferable by gift or domestic relations order to a Family Member of the Optionee. An ISO may be exercised during the lifetime of the Optionee only by the Optionee or by the Optionee’s guardian or legal representative.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500" w:top="268" w:right="499" w:bottom="1440" w:gutter="0" w:footer="0" w:header="0"/>
        </w:sectPr>
      </w:pPr>
    </w:p>
    <w:bookmarkStart w:id="450" w:name="page451"/>
    <w:bookmarkEnd w:id="450"/>
    <w:p>
      <w:pPr>
        <w:ind w:right="40" w:firstLine="975"/>
        <w:spacing w:after="0" w:line="259" w:lineRule="auto"/>
        <w:tabs>
          <w:tab w:leader="none" w:pos="1243"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Withholding Taxes. </w:t>
      </w:r>
      <w:r>
        <w:rPr>
          <w:rFonts w:ascii="Times New Roman" w:cs="Times New Roman" w:eastAsia="Times New Roman" w:hAnsi="Times New Roman"/>
          <w:sz w:val="18"/>
          <w:szCs w:val="18"/>
          <w:color w:val="auto"/>
        </w:rPr>
        <w:t>As a condition to the exercise of an Option, the Optionee shall make such arrangements as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require for the satisfaction of any federal, state, local or foreign withholding tax obligations that may arise in connection with such exercise. The Optionee shall also make such arrangements as the Board of Directors may require for the satisfaction of any federal, state, local or foreign withholding tax obligations that may arise in connection with the disposition of Shares acquired by exercising an Option.</w:t>
      </w:r>
    </w:p>
    <w:p>
      <w:pPr>
        <w:spacing w:after="0" w:line="68" w:lineRule="exact"/>
        <w:rPr>
          <w:rFonts w:ascii="Times New Roman" w:cs="Times New Roman" w:eastAsia="Times New Roman" w:hAnsi="Times New Roman"/>
          <w:sz w:val="18"/>
          <w:szCs w:val="18"/>
          <w:b w:val="1"/>
          <w:bCs w:val="1"/>
          <w:color w:val="auto"/>
        </w:rPr>
      </w:pPr>
    </w:p>
    <w:p>
      <w:pPr>
        <w:ind w:firstLine="975"/>
        <w:spacing w:after="0" w:line="265" w:lineRule="auto"/>
        <w:tabs>
          <w:tab w:leader="none" w:pos="1194"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Rights as a Stockholder. </w:t>
      </w:r>
      <w:r>
        <w:rPr>
          <w:rFonts w:ascii="Times New Roman" w:cs="Times New Roman" w:eastAsia="Times New Roman" w:hAnsi="Times New Roman"/>
          <w:sz w:val="18"/>
          <w:szCs w:val="18"/>
          <w:color w:val="auto"/>
        </w:rPr>
        <w:t>An Optionee, or a transferee of an Optionee, shall have no rights as a stockholder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covered by the Optionee’s Option until such person becomes entitled to receive such Shares by filing a notice of exercise and paying the Exercise Price pursuant to the terms of such Option.</w:t>
      </w:r>
    </w:p>
    <w:p>
      <w:pPr>
        <w:spacing w:after="0" w:line="62" w:lineRule="exact"/>
        <w:rPr>
          <w:rFonts w:ascii="Times New Roman" w:cs="Times New Roman" w:eastAsia="Times New Roman" w:hAnsi="Times New Roman"/>
          <w:sz w:val="18"/>
          <w:szCs w:val="18"/>
          <w:b w:val="1"/>
          <w:bCs w:val="1"/>
          <w:color w:val="auto"/>
        </w:rPr>
      </w:pPr>
    </w:p>
    <w:p>
      <w:pPr>
        <w:ind w:right="40" w:firstLine="975"/>
        <w:spacing w:after="0" w:line="256" w:lineRule="auto"/>
        <w:tabs>
          <w:tab w:leader="none" w:pos="1292"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Modification, Extension and Assumption of Options. </w:t>
      </w:r>
      <w:r>
        <w:rPr>
          <w:rFonts w:ascii="Times New Roman" w:cs="Times New Roman" w:eastAsia="Times New Roman" w:hAnsi="Times New Roman"/>
          <w:sz w:val="18"/>
          <w:szCs w:val="18"/>
          <w:color w:val="auto"/>
        </w:rPr>
        <w:t>Within the limitations of the Plan, the Board of Directors may modify, extend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assume outstanding Options or may accept the cancellation of outstanding Options (whether granted by the Company or another issuer) in return for the grant of new Options for the same or a different number of Shares and at the same or a different Exercise Price. The foregoing notwithstanding, no modification of an Option shall, without the consent of the Optionee, impair the Optionee’s rights or increase the Optionee’s obligations under such Option.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PAYMENT FOR SHARES.</w:t>
      </w:r>
    </w:p>
    <w:p>
      <w:pPr>
        <w:spacing w:after="0" w:line="114" w:lineRule="exact"/>
        <w:rPr>
          <w:sz w:val="20"/>
          <w:szCs w:val="20"/>
          <w:color w:val="auto"/>
        </w:rPr>
      </w:pPr>
    </w:p>
    <w:p>
      <w:pPr>
        <w:ind w:right="40" w:firstLine="975"/>
        <w:spacing w:after="0" w:line="282" w:lineRule="auto"/>
        <w:tabs>
          <w:tab w:leader="none" w:pos="1233"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Rule. </w:t>
      </w:r>
      <w:r>
        <w:rPr>
          <w:rFonts w:ascii="Times New Roman" w:cs="Times New Roman" w:eastAsia="Times New Roman" w:hAnsi="Times New Roman"/>
          <w:sz w:val="18"/>
          <w:szCs w:val="18"/>
          <w:color w:val="auto"/>
        </w:rPr>
        <w:t>The entire Purchase Price or Exercise Price of Shares issued under the Plan shall be payable in cash or cash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time when such Shares are purchased, except as otherwise provided in this Section 7.</w:t>
      </w:r>
    </w:p>
    <w:p>
      <w:pPr>
        <w:spacing w:after="0" w:line="47" w:lineRule="exact"/>
        <w:rPr>
          <w:rFonts w:ascii="Times New Roman" w:cs="Times New Roman" w:eastAsia="Times New Roman" w:hAnsi="Times New Roman"/>
          <w:sz w:val="18"/>
          <w:szCs w:val="18"/>
          <w:b w:val="1"/>
          <w:bCs w:val="1"/>
          <w:color w:val="auto"/>
        </w:rPr>
      </w:pPr>
    </w:p>
    <w:p>
      <w:pPr>
        <w:ind w:right="20" w:firstLine="975"/>
        <w:spacing w:after="0" w:line="256" w:lineRule="auto"/>
        <w:tabs>
          <w:tab w:leader="none" w:pos="1243"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Surrender of Stock. </w:t>
      </w:r>
      <w:r>
        <w:rPr>
          <w:rFonts w:ascii="Times New Roman" w:cs="Times New Roman" w:eastAsia="Times New Roman" w:hAnsi="Times New Roman"/>
          <w:sz w:val="18"/>
          <w:szCs w:val="18"/>
          <w:color w:val="auto"/>
        </w:rPr>
        <w:t>At the discretion of the Board of Directors, all or any part of the Exercise Price may be paid by surrendering,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attesting to the ownership of, Shares that are already owned by the Optionee. Such Shares shall be surrendered to the Company in good form for transfer and shall be valued at their Fair Market Value on the date when the Option is exercised. The Optionee shall not surrender, or attest to the ownership of, Shares in payment of the Exercise Price if such action would cause the Company to recognize compensation expense (or additional compensation expense) with respect to the Option for financial reporting purposes.</w:t>
      </w:r>
    </w:p>
    <w:p>
      <w:pPr>
        <w:spacing w:after="0" w:line="71" w:lineRule="exact"/>
        <w:rPr>
          <w:rFonts w:ascii="Times New Roman" w:cs="Times New Roman" w:eastAsia="Times New Roman" w:hAnsi="Times New Roman"/>
          <w:sz w:val="18"/>
          <w:szCs w:val="18"/>
          <w:b w:val="1"/>
          <w:bCs w:val="1"/>
          <w:color w:val="auto"/>
        </w:rPr>
      </w:pPr>
    </w:p>
    <w:p>
      <w:pPr>
        <w:ind w:right="300" w:firstLine="975"/>
        <w:spacing w:after="0" w:line="282" w:lineRule="auto"/>
        <w:tabs>
          <w:tab w:leader="none" w:pos="1223"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Services Rendered. </w:t>
      </w:r>
      <w:r>
        <w:rPr>
          <w:rFonts w:ascii="Times New Roman" w:cs="Times New Roman" w:eastAsia="Times New Roman" w:hAnsi="Times New Roman"/>
          <w:sz w:val="18"/>
          <w:szCs w:val="18"/>
          <w:color w:val="auto"/>
        </w:rPr>
        <w:t>At the discretion of the Board of Directors, Shares may be awarded under the Plan in consideration of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rendered to the Company, a Parent or a Subsidiary prior to the award.</w:t>
      </w:r>
    </w:p>
    <w:p>
      <w:pPr>
        <w:spacing w:after="0" w:line="47" w:lineRule="exact"/>
        <w:rPr>
          <w:rFonts w:ascii="Times New Roman" w:cs="Times New Roman" w:eastAsia="Times New Roman" w:hAnsi="Times New Roman"/>
          <w:sz w:val="18"/>
          <w:szCs w:val="18"/>
          <w:b w:val="1"/>
          <w:bCs w:val="1"/>
          <w:color w:val="auto"/>
        </w:rPr>
      </w:pPr>
    </w:p>
    <w:p>
      <w:pPr>
        <w:ind w:right="100" w:firstLine="975"/>
        <w:spacing w:after="0" w:line="259" w:lineRule="auto"/>
        <w:tabs>
          <w:tab w:leader="none" w:pos="1243"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Promissory Note. </w:t>
      </w:r>
      <w:r>
        <w:rPr>
          <w:rFonts w:ascii="Times New Roman" w:cs="Times New Roman" w:eastAsia="Times New Roman" w:hAnsi="Times New Roman"/>
          <w:sz w:val="18"/>
          <w:szCs w:val="18"/>
          <w:color w:val="auto"/>
        </w:rPr>
        <w:t>At the discretion of the Board of Directors, all or a portion of the Exercise Price or Purchase Price (as the case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of Shares issued under the Plan may be paid with a full-recourse promissory note. The Shares shall be pledged as security for payment of the principal amount of the promissory note and interest thereon. The interest rate payable under the terms of the promissory note shall not be less than the minimum rate (if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500" w:top="264" w:right="519" w:bottom="1440" w:gutter="0" w:footer="0" w:header="0"/>
        </w:sectPr>
      </w:pPr>
    </w:p>
    <w:bookmarkStart w:id="451" w:name="page452"/>
    <w:bookmarkEnd w:id="451"/>
    <w:p>
      <w:pPr>
        <w:jc w:val="both"/>
        <w:ind w:right="7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any) required to avoid (i) the imputation of additional interest under the Code and (ii) the recognition of compensation expense (or additional compensation expense) with respect to the Option for financial reporting purposes. Subject to the foregoing, the Board of Directors (at its sole discretion) shall specify the term, interest rate, amortization requirements (if any) and other provisions of such note.</w:t>
      </w:r>
    </w:p>
    <w:p>
      <w:pPr>
        <w:spacing w:after="0" w:line="66" w:lineRule="exact"/>
        <w:rPr>
          <w:sz w:val="20"/>
          <w:szCs w:val="20"/>
          <w:color w:val="auto"/>
        </w:rPr>
      </w:pPr>
    </w:p>
    <w:p>
      <w:pPr>
        <w:ind w:firstLine="975"/>
        <w:spacing w:after="0" w:line="265" w:lineRule="auto"/>
        <w:tabs>
          <w:tab w:leader="none" w:pos="1223" w:val="left"/>
        </w:tabs>
        <w:numPr>
          <w:ilvl w:val="0"/>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Exercise/Sale. </w:t>
      </w:r>
      <w:r>
        <w:rPr>
          <w:rFonts w:ascii="Times New Roman" w:cs="Times New Roman" w:eastAsia="Times New Roman" w:hAnsi="Times New Roman"/>
          <w:sz w:val="18"/>
          <w:szCs w:val="18"/>
          <w:color w:val="auto"/>
        </w:rPr>
        <w:t>To the extent that a Stock Option Agreement so provides, and if Stock is publicly traded, payment may be made all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by the delivery (on a form prescribed by the Company) of an irrevocable direction to a securities broker approved by the Company to sell Shares and to deliver all or part of the sales proceeds to the Company in payment of all or part of the Exercise Price and any withholding taxes.</w:t>
      </w:r>
    </w:p>
    <w:p>
      <w:pPr>
        <w:spacing w:after="0" w:line="62" w:lineRule="exact"/>
        <w:rPr>
          <w:rFonts w:ascii="Times New Roman" w:cs="Times New Roman" w:eastAsia="Times New Roman" w:hAnsi="Times New Roman"/>
          <w:sz w:val="18"/>
          <w:szCs w:val="18"/>
          <w:b w:val="1"/>
          <w:bCs w:val="1"/>
          <w:color w:val="auto"/>
        </w:rPr>
      </w:pPr>
    </w:p>
    <w:p>
      <w:pPr>
        <w:ind w:firstLine="975"/>
        <w:spacing w:after="0" w:line="259" w:lineRule="auto"/>
        <w:tabs>
          <w:tab w:leader="none" w:pos="1203" w:val="left"/>
        </w:tabs>
        <w:numPr>
          <w:ilvl w:val="0"/>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Exercise/Pledge. </w:t>
      </w:r>
      <w:r>
        <w:rPr>
          <w:rFonts w:ascii="Times New Roman" w:cs="Times New Roman" w:eastAsia="Times New Roman" w:hAnsi="Times New Roman"/>
          <w:sz w:val="18"/>
          <w:szCs w:val="18"/>
          <w:color w:val="auto"/>
        </w:rPr>
        <w:t>To the extent that a Stock Option Agreement so provides, and if Stock is publicly traded, payment may be made all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part by the delivery (on a form prescribed by the Company) of an irrevocable direction to pledge Shares to a securities broker or lender approved by the Company, as security for a loan, and to deliver all or part of the loan proceeds to the Company in payment of all or part of the Exercise Price and any withholding taxes.</w:t>
      </w:r>
    </w:p>
    <w:p>
      <w:pPr>
        <w:spacing w:after="0" w:line="68" w:lineRule="exact"/>
        <w:rPr>
          <w:rFonts w:ascii="Times New Roman" w:cs="Times New Roman" w:eastAsia="Times New Roman" w:hAnsi="Times New Roman"/>
          <w:sz w:val="18"/>
          <w:szCs w:val="18"/>
          <w:b w:val="1"/>
          <w:bCs w:val="1"/>
          <w:color w:val="auto"/>
        </w:rPr>
      </w:pPr>
    </w:p>
    <w:p>
      <w:pPr>
        <w:ind w:right="60" w:firstLine="975"/>
        <w:spacing w:after="0" w:line="282" w:lineRule="auto"/>
        <w:tabs>
          <w:tab w:leader="none" w:pos="1233" w:val="left"/>
        </w:tabs>
        <w:numPr>
          <w:ilvl w:val="0"/>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Forms of Payment. </w:t>
      </w:r>
      <w:r>
        <w:rPr>
          <w:rFonts w:ascii="Times New Roman" w:cs="Times New Roman" w:eastAsia="Times New Roman" w:hAnsi="Times New Roman"/>
          <w:sz w:val="18"/>
          <w:szCs w:val="18"/>
          <w:color w:val="auto"/>
        </w:rPr>
        <w:t>At the discretion of the Board of Directors, the Purchase Price or Exercise Price of Shares issued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may be paid in any other form permitted by the Delaware General Corporation Law, as amended.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ADJUSTMENT OF SHARES.</w:t>
      </w:r>
    </w:p>
    <w:p>
      <w:pPr>
        <w:spacing w:after="0" w:line="114" w:lineRule="exact"/>
        <w:rPr>
          <w:sz w:val="20"/>
          <w:szCs w:val="20"/>
          <w:color w:val="auto"/>
        </w:rPr>
      </w:pPr>
    </w:p>
    <w:p>
      <w:pPr>
        <w:ind w:firstLine="975"/>
        <w:spacing w:after="0" w:line="252" w:lineRule="auto"/>
        <w:tabs>
          <w:tab w:leader="none" w:pos="1233"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In the event of a subdivision of the outstanding Stock, a declaration of a dividend payable in Shares, a combination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consolidation of the outstanding Stock into a lesser number of Shares, a reclassification, or any other increase or decrease in the number of issued shares of Stock effected without receipt of consideration by the Company, proportionate adjustments shall automatically be made in each of (i) the number of Shares available for future grants under Section 4, (ii) the number of Shares covered by each outstanding Option and (iii) the Exercise Price under each outstanding Option. In the event of a declaration of an extraordinary dividend payable in a form other than Shares in an amount that has a material effect on the Fair Market Value of the Stock, a recapitalization, a spin-off, or a similar occurrence, the Board of Directors at its sole discretion may make appropriate adjustments in one or more of (i) the number of Shares available for future grants under Section 4, (ii) the number of Shares covered by each outstanding Option or (iii) the Exercise Price under each outstanding Option; provided, however, that the Board of Directors shall in any event make such adjustments as may be required by Section 25102(o) of the California Corporations Code.</w:t>
      </w:r>
    </w:p>
    <w:p>
      <w:pPr>
        <w:spacing w:after="0" w:line="74" w:lineRule="exact"/>
        <w:rPr>
          <w:rFonts w:ascii="Times New Roman" w:cs="Times New Roman" w:eastAsia="Times New Roman" w:hAnsi="Times New Roman"/>
          <w:sz w:val="18"/>
          <w:szCs w:val="18"/>
          <w:b w:val="1"/>
          <w:bCs w:val="1"/>
          <w:color w:val="auto"/>
        </w:rPr>
      </w:pPr>
    </w:p>
    <w:p>
      <w:pPr>
        <w:ind w:right="160" w:firstLine="975"/>
        <w:spacing w:after="0" w:line="265" w:lineRule="auto"/>
        <w:tabs>
          <w:tab w:leader="none" w:pos="1243"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Mergers and Consolidations. </w:t>
      </w:r>
      <w:r>
        <w:rPr>
          <w:rFonts w:ascii="Times New Roman" w:cs="Times New Roman" w:eastAsia="Times New Roman" w:hAnsi="Times New Roman"/>
          <w:sz w:val="18"/>
          <w:szCs w:val="18"/>
          <w:color w:val="auto"/>
        </w:rPr>
        <w:t>In the event that the Company is a party to a merger or consolidation, all outstanding Options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agreement of merger or consolidation. Such agreement may provide for one or more of the following, without the consent of any of the Optionees:</w:t>
      </w:r>
    </w:p>
    <w:p>
      <w:pPr>
        <w:spacing w:after="0" w:line="66" w:lineRule="exact"/>
        <w:rPr>
          <w:rFonts w:ascii="Times New Roman" w:cs="Times New Roman" w:eastAsia="Times New Roman" w:hAnsi="Times New Roman"/>
          <w:sz w:val="18"/>
          <w:szCs w:val="18"/>
          <w:b w:val="1"/>
          <w:bCs w:val="1"/>
          <w:color w:val="auto"/>
        </w:rPr>
      </w:pPr>
    </w:p>
    <w:p>
      <w:pPr>
        <w:ind w:left="1580" w:hanging="209"/>
        <w:spacing w:after="0"/>
        <w:tabs>
          <w:tab w:leader="none" w:pos="1580"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any outstanding Options by the Company (if the Company is the surviving corporation).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500" w:top="268" w:right="519" w:bottom="1440" w:gutter="0" w:footer="0" w:header="0"/>
        </w:sectPr>
      </w:pPr>
    </w:p>
    <w:bookmarkStart w:id="452" w:name="page453"/>
    <w:bookmarkEnd w:id="452"/>
    <w:p>
      <w:pPr>
        <w:ind w:left="420" w:right="920" w:firstLine="951"/>
        <w:spacing w:after="0" w:line="277" w:lineRule="auto"/>
        <w:tabs>
          <w:tab w:leader="none" w:pos="1624"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assumption of any outstanding Options by the surviving corporation or its parent in a manner that complies with Section 424(a) of the Code (whether or not such Options are ISOs).</w:t>
      </w:r>
    </w:p>
    <w:p>
      <w:pPr>
        <w:spacing w:after="0" w:line="56" w:lineRule="exact"/>
        <w:rPr>
          <w:rFonts w:ascii="Times New Roman" w:cs="Times New Roman" w:eastAsia="Times New Roman" w:hAnsi="Times New Roman"/>
          <w:sz w:val="18"/>
          <w:szCs w:val="18"/>
          <w:color w:val="auto"/>
        </w:rPr>
      </w:pPr>
    </w:p>
    <w:p>
      <w:pPr>
        <w:ind w:left="420" w:right="60" w:firstLine="951"/>
        <w:spacing w:after="0" w:line="277" w:lineRule="auto"/>
        <w:tabs>
          <w:tab w:leader="none" w:pos="1670"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substitution by the surviving corporation or its parent of new options for any outstanding Options in a manner that complies with Section 424(a) of the Code (whether or not such Options are ISOs).</w:t>
      </w:r>
    </w:p>
    <w:p>
      <w:pPr>
        <w:spacing w:after="0" w:line="56" w:lineRule="exact"/>
        <w:rPr>
          <w:rFonts w:ascii="Times New Roman" w:cs="Times New Roman" w:eastAsia="Times New Roman" w:hAnsi="Times New Roman"/>
          <w:sz w:val="18"/>
          <w:szCs w:val="18"/>
          <w:color w:val="auto"/>
        </w:rPr>
      </w:pPr>
    </w:p>
    <w:p>
      <w:pPr>
        <w:ind w:left="420" w:firstLine="951"/>
        <w:spacing w:after="0" w:line="253" w:lineRule="auto"/>
        <w:tabs>
          <w:tab w:leader="none" w:pos="1663"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exercisability of any outstanding Options and full vesting of the Shares subject to such Options, followed by the cancellation of such Options. The full exercisability of such Options and full vesting of the Shares subject to such Options may be contingent on the closing of such merger or consolidation. The Optionees shall be able to exercise such Options during a period of not less than five full business days preceding the closing date of such merger or consolidation, unless (A) a shorter period is required to permit a timely closing of such merger or consolidation and (B) such shorter period still offers the Optionees a reasonable opportunity to exercise such Options. Any exercise of such Options during such period may be contingent on the closing of such merger or consolidation.</w:t>
      </w:r>
    </w:p>
    <w:p>
      <w:pPr>
        <w:spacing w:after="0" w:line="80" w:lineRule="exact"/>
        <w:rPr>
          <w:rFonts w:ascii="Times New Roman" w:cs="Times New Roman" w:eastAsia="Times New Roman" w:hAnsi="Times New Roman"/>
          <w:sz w:val="18"/>
          <w:szCs w:val="18"/>
          <w:color w:val="auto"/>
        </w:rPr>
      </w:pPr>
    </w:p>
    <w:p>
      <w:pPr>
        <w:ind w:left="420" w:right="40" w:firstLine="951"/>
        <w:spacing w:after="0" w:line="251" w:lineRule="auto"/>
        <w:tabs>
          <w:tab w:leader="none" w:pos="1614"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any outstanding Options and a payment to the Optionees equal to the excess of (A) the Fair Market Value of the Shares subject to such Options (whether or not such Options are then exercisable or such Shares are then vested) as of the closing date of such merger or consolidation over (B) their Exercise Price. Such payment shall be made in the form of cash, cash equivalents, or securities of the surviving corporation or its parent with a Fair Market Value equal to the required amount. Subject to Section 409A of the Code, such payment may be made in installments and may be deferred until the date or dates when such Options would have become exercisable or such Shares would have vested. Such payment may be subject to vesting based on the Optionee’s continuing Service, provided that the vesting schedule shall not be less favorable to the Optionee than the schedule under which such Options would have become exercisable or such Shares would have vested. If the Exercise Price of the Shares subject to such Options exceeds the Fair Market Value of such Shares, then such Options may be cancelled without making a payment to the Optionees. For purposes of this Paragraph (v), the Fair Market Value of any security shall be determined without regard to any vesting conditions that may apply to such security.</w:t>
      </w:r>
    </w:p>
    <w:p>
      <w:pPr>
        <w:spacing w:after="0" w:line="75" w:lineRule="exact"/>
        <w:rPr>
          <w:rFonts w:ascii="Times New Roman" w:cs="Times New Roman" w:eastAsia="Times New Roman" w:hAnsi="Times New Roman"/>
          <w:sz w:val="18"/>
          <w:szCs w:val="18"/>
          <w:color w:val="auto"/>
        </w:rPr>
      </w:pPr>
    </w:p>
    <w:p>
      <w:pPr>
        <w:ind w:right="340" w:firstLine="975"/>
        <w:spacing w:after="0" w:line="259" w:lineRule="auto"/>
        <w:tabs>
          <w:tab w:leader="none" w:pos="1223" w:val="left"/>
        </w:tabs>
        <w:numPr>
          <w:ilvl w:val="0"/>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Reservation of Rights. </w:t>
      </w:r>
      <w:r>
        <w:rPr>
          <w:rFonts w:ascii="Times New Roman" w:cs="Times New Roman" w:eastAsia="Times New Roman" w:hAnsi="Times New Roman"/>
          <w:sz w:val="18"/>
          <w:szCs w:val="18"/>
          <w:color w:val="auto"/>
        </w:rPr>
        <w:t>Except as provided in this Section 8, an Optionee or Purchaser shall have no rights by reason of (i)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subdivision or consolidation of shares of stock of any class, (ii) the payment of any dividend or (iii) any other increase or decrease in the number of shares of stock of any class. Any issuance by the Company of shares of stock of any class, or securities convertible into shares of stock of any class, shall not affect, and no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500" w:top="268" w:right="519" w:bottom="1440" w:gutter="0" w:footer="0" w:header="0"/>
        </w:sectPr>
      </w:pPr>
    </w:p>
    <w:bookmarkStart w:id="453" w:name="page454"/>
    <w:bookmarkEnd w:id="453"/>
    <w:p>
      <w:pPr>
        <w:ind w:right="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adjustment by reason thereof shall be made with respect to, the number or Exercise Price of Shares subject to an Option. The grant of an Option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DRAG ALONG RIGHTS.</w:t>
      </w:r>
    </w:p>
    <w:p>
      <w:pPr>
        <w:spacing w:after="0" w:line="114" w:lineRule="exact"/>
        <w:rPr>
          <w:sz w:val="20"/>
          <w:szCs w:val="20"/>
          <w:color w:val="auto"/>
        </w:rPr>
      </w:pPr>
    </w:p>
    <w:p>
      <w:pPr>
        <w:ind w:firstLine="981"/>
        <w:spacing w:after="0" w:line="268" w:lineRule="auto"/>
        <w:rPr>
          <w:sz w:val="20"/>
          <w:szCs w:val="20"/>
          <w:color w:val="auto"/>
        </w:rPr>
      </w:pPr>
      <w:r>
        <w:rPr>
          <w:rFonts w:ascii="Times New Roman" w:cs="Times New Roman" w:eastAsia="Times New Roman" w:hAnsi="Times New Roman"/>
          <w:sz w:val="17"/>
          <w:szCs w:val="17"/>
          <w:color w:val="auto"/>
        </w:rPr>
        <w:t>The common stockholders holding at least a majority of the outstanding common stock of the Company (the “</w:t>
      </w:r>
      <w:r>
        <w:rPr>
          <w:rFonts w:ascii="Times New Roman" w:cs="Times New Roman" w:eastAsia="Times New Roman" w:hAnsi="Times New Roman"/>
          <w:sz w:val="17"/>
          <w:szCs w:val="17"/>
          <w:b w:val="1"/>
          <w:bCs w:val="1"/>
          <w:u w:val="single" w:color="auto"/>
          <w:color w:val="auto"/>
        </w:rPr>
        <w:t>Majority in Interest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Stockholders</w:t>
      </w:r>
      <w:r>
        <w:rPr>
          <w:rFonts w:ascii="Times New Roman" w:cs="Times New Roman" w:eastAsia="Times New Roman" w:hAnsi="Times New Roman"/>
          <w:sz w:val="17"/>
          <w:szCs w:val="17"/>
          <w:color w:val="auto"/>
        </w:rPr>
        <w:t>”) shall have the right, subject to applicable law, to require each holder of Shares purchased under this Plan or issued upon exercise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Options (the “</w:t>
      </w:r>
      <w:r>
        <w:rPr>
          <w:rFonts w:ascii="Times New Roman" w:cs="Times New Roman" w:eastAsia="Times New Roman" w:hAnsi="Times New Roman"/>
          <w:sz w:val="17"/>
          <w:szCs w:val="17"/>
          <w:b w:val="1"/>
          <w:bCs w:val="1"/>
          <w:u w:val="single" w:color="auto"/>
          <w:color w:val="auto"/>
        </w:rPr>
        <w:t>Drag Along Shares</w:t>
      </w:r>
      <w:r>
        <w:rPr>
          <w:rFonts w:ascii="Times New Roman" w:cs="Times New Roman" w:eastAsia="Times New Roman" w:hAnsi="Times New Roman"/>
          <w:sz w:val="17"/>
          <w:szCs w:val="17"/>
          <w:color w:val="auto"/>
        </w:rPr>
        <w:t>”) to enter into a bona fide arm’s length transfer of all of the Drag Along Shares owned by such holder to a proposed transferee, on the same terms and conditions as applicable to the Majority in Interest of the Stockholders. To exercise this right, the Majority in Interest of the Stockholders shall give the holders of the Drag Along Shares written notice at least fifteen (15) days prior to the proposed transfer (the “</w:t>
      </w:r>
      <w:r>
        <w:rPr>
          <w:rFonts w:ascii="Times New Roman" w:cs="Times New Roman" w:eastAsia="Times New Roman" w:hAnsi="Times New Roman"/>
          <w:sz w:val="17"/>
          <w:szCs w:val="17"/>
          <w:b w:val="1"/>
          <w:bCs w:val="1"/>
          <w:u w:val="single" w:color="auto"/>
          <w:color w:val="auto"/>
        </w:rPr>
        <w:t>Notice</w:t>
      </w:r>
      <w:r>
        <w:rPr>
          <w:rFonts w:ascii="Times New Roman" w:cs="Times New Roman" w:eastAsia="Times New Roman" w:hAnsi="Times New Roman"/>
          <w:sz w:val="17"/>
          <w:szCs w:val="17"/>
          <w:color w:val="auto"/>
        </w:rPr>
        <w:t>”). The Notice shall set forth: (i) the name and address of the proposed transferee; (ii) the proposed amount and form of consideration to be paid for such shares and the terms and conditions of payment offered by each proposed transferee; and (iii) confirmation that the proposed transferee has been informed of the rights set forth in this Section 9 and has agreed to purchase the Drag Along Shares in accordance with the terms hereof. Each holder of Drag Along Shares shall thereafter be obligated to sell his or her Drag Along Shares to the proposed transferee and shall enter into a purchase agreement and any other relevant documents with the proposed transferee in form and substance as approved by the Majority in Interest of the Stockholders.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PROXY</w:t>
      </w:r>
    </w:p>
    <w:p>
      <w:pPr>
        <w:spacing w:after="0" w:line="118" w:lineRule="exact"/>
        <w:rPr>
          <w:sz w:val="20"/>
          <w:szCs w:val="20"/>
          <w:color w:val="auto"/>
        </w:rPr>
      </w:pPr>
    </w:p>
    <w:p>
      <w:pPr>
        <w:ind w:right="20" w:firstLine="981"/>
        <w:spacing w:after="0" w:line="252" w:lineRule="auto"/>
        <w:rPr>
          <w:sz w:val="20"/>
          <w:szCs w:val="20"/>
          <w:color w:val="auto"/>
        </w:rPr>
      </w:pPr>
      <w:r>
        <w:rPr>
          <w:rFonts w:ascii="Times New Roman" w:cs="Times New Roman" w:eastAsia="Times New Roman" w:hAnsi="Times New Roman"/>
          <w:sz w:val="18"/>
          <w:szCs w:val="18"/>
          <w:color w:val="auto"/>
        </w:rPr>
        <w:t>Each holder of Drag Along Shares hereby revokes all previous proxies and other rights granted to third persons with regard to the Drag Along Shares (other than those arising hereunder) and any and all other securities issued in respect thereof or in substitution thereof (collectively, the “</w:t>
      </w:r>
      <w:r>
        <w:rPr>
          <w:rFonts w:ascii="Times New Roman" w:cs="Times New Roman" w:eastAsia="Times New Roman" w:hAnsi="Times New Roman"/>
          <w:sz w:val="18"/>
          <w:szCs w:val="18"/>
          <w:b w:val="1"/>
          <w:bCs w:val="1"/>
          <w:u w:val="single" w:color="auto"/>
          <w:color w:val="auto"/>
        </w:rPr>
        <w:t>Subject Shares</w:t>
      </w:r>
      <w:r>
        <w:rPr>
          <w:rFonts w:ascii="Times New Roman" w:cs="Times New Roman" w:eastAsia="Times New Roman" w:hAnsi="Times New Roman"/>
          <w:sz w:val="18"/>
          <w:szCs w:val="18"/>
          <w:color w:val="auto"/>
        </w:rPr>
        <w:t>”) and hereby appoints the Majority in Interest of the Stockholders as such holder’s proxyholder, with full power of substitution, as to all of the Subject Shares to exercise all rights of any nature whatsoever in respect of the Subject Shares and to execute any instrument in respect thereof, including without limitation to attend and vote at any meeting of the stockholders of the Company and any adjournment thereof, and to execute any and all written consents of stockholders of the Company, with the same effect as if such holder had personally attended the meetings or had personally voted the Subject Shares or had personally signed such written consents. This proxy is coupled with an interest and is irrevocable, and shall be binding upon all transferees receiving any Subject Shares.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SECURITIES LAW REQUIREMENTS.</w:t>
      </w:r>
    </w:p>
    <w:p>
      <w:pPr>
        <w:spacing w:after="0" w:line="118" w:lineRule="exact"/>
        <w:rPr>
          <w:sz w:val="20"/>
          <w:szCs w:val="20"/>
          <w:color w:val="auto"/>
        </w:rPr>
      </w:pPr>
    </w:p>
    <w:p>
      <w:pPr>
        <w:ind w:right="100" w:firstLine="981"/>
        <w:spacing w:after="0" w:line="257" w:lineRule="auto"/>
        <w:rPr>
          <w:sz w:val="20"/>
          <w:szCs w:val="20"/>
          <w:color w:val="auto"/>
        </w:rPr>
      </w:pPr>
      <w:r>
        <w:rPr>
          <w:rFonts w:ascii="Times New Roman" w:cs="Times New Roman" w:eastAsia="Times New Roman" w:hAnsi="Times New Roman"/>
          <w:sz w:val="18"/>
          <w:szCs w:val="18"/>
          <w:color w:val="auto"/>
        </w:rPr>
        <w:t>Shares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500" w:top="268" w:right="539"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12. NO GUARANTEE OF CONTINUED SERVICE.</w:t>
      </w:r>
    </w:p>
    <w:p>
      <w:pPr>
        <w:spacing w:after="0" w:line="11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EACH OPTIONEE AND EACH PURCHASER OF COMMON STOCK UNDER THIS PLAN ACKNOWLEDGES AND AGREES THAT THE VESTING OF ANY OPTION OR SHARES PURSUANT TO THE VESTING SCHEDULE OF THE APPLICABLE STOCK OPTION AGREEMENT OR STOCK PURCHASE AGREEMENT HEREUNDER IS CONTINGENT ON THEIR CONTINUED SERVICE AT THE WILL OF THE COMPANY OR SUBSIDIARY (NOT THROUGH THE ACT OF BEING HIRED, BEING GRANTED THIS GRANT OR ACQUIRING SHARES HEREUNDER). EACH SUCH OPTIONEE AND EACH SUCH PURCHASER FURTHER ACKNOWLEDGES AND AGREES THAT THIS PLAN, THE TRANSACTIONS CONTEMPLATED HEREUNDER AND THE VESTING SCHEDULE SET FORTH IN THE APPLICABLE STOCK OPTION AGREEMENT OR STOCK PURCHASE AGREEMENT DO NOT CONSTITUTE AN EXPRESS OR IMPLIED PROMISE OF CONTINUED SERVICE FOR THE VESTING PERIOD, FOR ANY PERIOD, OR AT ALL, AND SHALL NOT INTERFERE IN ANY WAY WITH EACH SUCH OPTIONEE’S OR EACH SUCH PURCHASER’S RIGHT OR THE COMPANY’S OR A SUBSIDIARY’S RIGHT TO TERMINATE SUCH OPTIONEE’S OR SUCH PURCHASER’S SERVICE AT ANY TIME, WITH OR WITHOUT CAUSE AND WITH OR WITHOUT NOTICE. DURATION AND AMENDMENTS.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DURATION AND AMENDMENTS.</w:t>
      </w:r>
    </w:p>
    <w:p>
      <w:pPr>
        <w:spacing w:after="0" w:line="114" w:lineRule="exact"/>
        <w:rPr>
          <w:sz w:val="20"/>
          <w:szCs w:val="20"/>
          <w:color w:val="auto"/>
        </w:rPr>
      </w:pPr>
    </w:p>
    <w:p>
      <w:pPr>
        <w:ind w:right="40" w:firstLine="975"/>
        <w:spacing w:after="0" w:line="254" w:lineRule="auto"/>
        <w:tabs>
          <w:tab w:leader="none" w:pos="1233"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of the Plan. </w:t>
      </w:r>
      <w:r>
        <w:rPr>
          <w:rFonts w:ascii="Times New Roman" w:cs="Times New Roman" w:eastAsia="Times New Roman" w:hAnsi="Times New Roman"/>
          <w:sz w:val="18"/>
          <w:szCs w:val="18"/>
          <w:color w:val="auto"/>
        </w:rPr>
        <w:t>The Plan, as set forth herein, shall become effective on the date of its adoption by the Board of Directors,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approval of the Company’s stockholders. If the stockholders fail to approve the Plan within 12 months after its adoption by the Board of Directors, then any grants, exercises or sales that have already occurred under the Plan shall be rescinded and no additional grants, exercises or sales shall thereafter be made under the Plan. The Plan shall terminate automatically 10 years after the later of (i) its adoption by the Board of Directors or (ii) the most recent increase in the number of Shares reserved under Section 4 that was approved by the Company’s stockholders. The Plan may be terminated on any earlier date pursuant to Subsection (b) below.</w:t>
      </w:r>
    </w:p>
    <w:p>
      <w:pPr>
        <w:spacing w:after="0" w:line="74" w:lineRule="exact"/>
        <w:rPr>
          <w:rFonts w:ascii="Times New Roman" w:cs="Times New Roman" w:eastAsia="Times New Roman" w:hAnsi="Times New Roman"/>
          <w:sz w:val="18"/>
          <w:szCs w:val="18"/>
          <w:b w:val="1"/>
          <w:bCs w:val="1"/>
          <w:color w:val="auto"/>
        </w:rPr>
      </w:pPr>
    </w:p>
    <w:p>
      <w:pPr>
        <w:ind w:right="60" w:firstLine="975"/>
        <w:spacing w:after="0" w:line="253" w:lineRule="auto"/>
        <w:tabs>
          <w:tab w:leader="none" w:pos="1243"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 to Amend or Terminate the Plan. </w:t>
      </w:r>
      <w:r>
        <w:rPr>
          <w:rFonts w:ascii="Times New Roman" w:cs="Times New Roman" w:eastAsia="Times New Roman" w:hAnsi="Times New Roman"/>
          <w:sz w:val="18"/>
          <w:szCs w:val="18"/>
          <w:color w:val="auto"/>
        </w:rPr>
        <w:t>The Board of Directors may amend, suspend or terminate the Plan at any time and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provided, however, that any amendment of the Plan shall be subject to the approval of the Company’s stockholders if it (i) increases the number of Shares available for issuance under the Plan (except as provided in Section 8) or (ii) materially changes the class of persons who are eligible for the grant of ISOs. Stockholder approval shall not be required for any other amendment of the Plan. If the stockholders fail to approve an increase in the number of Shares reserved under Section 4 within 12 months after its adoption by the Board of Directors, then any grants, exercises or sales that have already occurred in reliance on such increase shall be rescinded and no additional grants, exercises or sales shall thereafter be made in reliance on such increase.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60"/>
          </w:cols>
          <w:pgMar w:left="500" w:top="264" w:right="539" w:bottom="1440" w:gutter="0" w:footer="0" w:header="0"/>
        </w:sectPr>
      </w:pPr>
    </w:p>
    <w:bookmarkStart w:id="455" w:name="page456"/>
    <w:bookmarkEnd w:id="455"/>
    <w:p>
      <w:pPr>
        <w:jc w:val="both"/>
        <w:ind w:right="260" w:firstLine="975"/>
        <w:spacing w:after="0" w:line="265" w:lineRule="auto"/>
        <w:tabs>
          <w:tab w:leader="none" w:pos="1223"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Effect of Amendment or Termination. </w:t>
      </w:r>
      <w:r>
        <w:rPr>
          <w:rFonts w:ascii="Times New Roman" w:cs="Times New Roman" w:eastAsia="Times New Roman" w:hAnsi="Times New Roman"/>
          <w:sz w:val="18"/>
          <w:szCs w:val="18"/>
          <w:color w:val="auto"/>
        </w:rPr>
        <w:t>No Shares shall be issued or sold under the Plan after the termination thereof, except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an Option granted prior to such termination. The termination of the Plan, or any amendment thereof, shall not affect any Share previously issued or any Option previously granted under the Plan.</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DEFINITIONS.</w:t>
      </w:r>
    </w:p>
    <w:p>
      <w:pPr>
        <w:spacing w:after="0" w:line="114" w:lineRule="exact"/>
        <w:rPr>
          <w:sz w:val="20"/>
          <w:szCs w:val="20"/>
          <w:color w:val="auto"/>
        </w:rPr>
      </w:pPr>
    </w:p>
    <w:p>
      <w:pPr>
        <w:ind w:left="1220" w:hanging="245"/>
        <w:spacing w:after="0"/>
        <w:tabs>
          <w:tab w:leader="none" w:pos="122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the Board of Directors of the Company, as constituted from time to time.</w:t>
      </w:r>
    </w:p>
    <w:p>
      <w:pPr>
        <w:spacing w:after="0" w:line="11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11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shall mean a committee of the Board of Directors, as described in Section 2(a).</w:t>
      </w:r>
    </w:p>
    <w:p>
      <w:pPr>
        <w:spacing w:after="0" w:line="11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GoodRx, Inc., a Delaware corporation.</w:t>
      </w:r>
    </w:p>
    <w:p>
      <w:pPr>
        <w:spacing w:after="0" w:line="113" w:lineRule="exact"/>
        <w:rPr>
          <w:rFonts w:ascii="Times New Roman" w:cs="Times New Roman" w:eastAsia="Times New Roman" w:hAnsi="Times New Roman"/>
          <w:sz w:val="18"/>
          <w:szCs w:val="18"/>
          <w:color w:val="auto"/>
        </w:rPr>
      </w:pPr>
    </w:p>
    <w:p>
      <w:pPr>
        <w:ind w:right="520" w:firstLine="975"/>
        <w:spacing w:after="0" w:line="282" w:lineRule="auto"/>
        <w:tabs>
          <w:tab w:leader="none" w:pos="1223"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shall mean a person who performs bona fide services for the Company, a Parent or a Subsidiary as a consultant or advisor, excluding Employees and Outside Directors.</w:t>
      </w:r>
    </w:p>
    <w:p>
      <w:pPr>
        <w:spacing w:after="0" w:line="47" w:lineRule="exact"/>
        <w:rPr>
          <w:rFonts w:ascii="Times New Roman" w:cs="Times New Roman" w:eastAsia="Times New Roman" w:hAnsi="Times New Roman"/>
          <w:sz w:val="18"/>
          <w:szCs w:val="18"/>
          <w:color w:val="auto"/>
        </w:rPr>
      </w:pPr>
    </w:p>
    <w:p>
      <w:pPr>
        <w:ind w:right="900" w:firstLine="975"/>
        <w:spacing w:after="0" w:line="282" w:lineRule="auto"/>
        <w:tabs>
          <w:tab w:leader="none" w:pos="1203"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shall mean that the Optionee is unable to engage in any substantial gainful activity by reason of any medically determinable physical or mental impairment.</w:t>
      </w:r>
    </w:p>
    <w:p>
      <w:pPr>
        <w:spacing w:after="0" w:line="47"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shall mean any individual who is a common-law employee of the Company, a Parent or a Subsidiary.</w:t>
      </w:r>
    </w:p>
    <w:p>
      <w:pPr>
        <w:spacing w:after="0" w:line="113" w:lineRule="exact"/>
        <w:rPr>
          <w:rFonts w:ascii="Times New Roman" w:cs="Times New Roman" w:eastAsia="Times New Roman" w:hAnsi="Times New Roman"/>
          <w:sz w:val="18"/>
          <w:szCs w:val="18"/>
          <w:color w:val="auto"/>
        </w:rPr>
      </w:pPr>
    </w:p>
    <w:p>
      <w:pPr>
        <w:ind w:right="100" w:firstLine="975"/>
        <w:spacing w:after="0" w:line="282" w:lineRule="auto"/>
        <w:tabs>
          <w:tab w:leader="none" w:pos="1233"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shall mean the amount for which one Share may be purchased upon exercise of an Option, as specified by the Board of Directors in the applicable Stock Option Agreement.</w:t>
      </w:r>
    </w:p>
    <w:p>
      <w:pPr>
        <w:spacing w:after="0" w:line="47" w:lineRule="exact"/>
        <w:rPr>
          <w:rFonts w:ascii="Times New Roman" w:cs="Times New Roman" w:eastAsia="Times New Roman" w:hAnsi="Times New Roman"/>
          <w:sz w:val="18"/>
          <w:szCs w:val="18"/>
          <w:color w:val="auto"/>
        </w:rPr>
      </w:pPr>
    </w:p>
    <w:p>
      <w:pPr>
        <w:ind w:right="680" w:firstLine="975"/>
        <w:spacing w:after="0" w:line="282" w:lineRule="auto"/>
        <w:tabs>
          <w:tab w:leader="none" w:pos="1194"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the fair market value of a Share, as determined by the Board of Directors in accordance with applicable law. Such determination shall be conclusive and binding on all persons.</w:t>
      </w:r>
    </w:p>
    <w:p>
      <w:pPr>
        <w:spacing w:after="0" w:line="47" w:lineRule="exact"/>
        <w:rPr>
          <w:rFonts w:ascii="Times New Roman" w:cs="Times New Roman" w:eastAsia="Times New Roman" w:hAnsi="Times New Roman"/>
          <w:sz w:val="18"/>
          <w:szCs w:val="18"/>
          <w:color w:val="auto"/>
        </w:rPr>
      </w:pPr>
    </w:p>
    <w:p>
      <w:pPr>
        <w:ind w:firstLine="975"/>
        <w:spacing w:after="0" w:line="256" w:lineRule="auto"/>
        <w:tabs>
          <w:tab w:leader="none" w:pos="1194"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shall mean (i) any child, stepchild, grandchild, parent, stepparent, grandparent, spouse, former spouse, sibling, niece, nephew, mother-in-law, father-in-law, son-in-law, daughter-in-law, brother-in-law or sister-in-law, including adoptive relationships, (ii) any person sharing the Optionee’s household (other than a tenant or employee), (iii) a trust in which persons described in Clause (i) or (ii) have more than 50% of the beneficial interest, (iv) a foundation in which persons described in Clause (i) or (ii) or the Optionee control the management of assets and (v) any other entity in which persons described in Clause (i) or (ii) or the Optionee own more than 50% of the voting interests.</w:t>
      </w:r>
    </w:p>
    <w:p>
      <w:pPr>
        <w:spacing w:after="0" w:line="71"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shall mean an employee incentive stock option described in Section 422(b) of the Code.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500" w:top="263" w:right="519" w:bottom="1440" w:gutter="0" w:footer="0" w:header="0"/>
        </w:sectPr>
      </w:pPr>
    </w:p>
    <w:bookmarkStart w:id="456" w:name="page457"/>
    <w:bookmarkEnd w:id="456"/>
    <w:p>
      <w:pPr>
        <w:ind w:left="1180" w:hanging="205"/>
        <w:spacing w:after="0"/>
        <w:tabs>
          <w:tab w:leader="none" w:pos="11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Nonstatutory Option</w:t>
      </w:r>
      <w:r>
        <w:rPr>
          <w:rFonts w:ascii="Times New Roman" w:cs="Times New Roman" w:eastAsia="Times New Roman" w:hAnsi="Times New Roman"/>
          <w:sz w:val="18"/>
          <w:szCs w:val="18"/>
          <w:color w:val="auto"/>
        </w:rPr>
        <w:t>” shall mean a stock option not described in Sections 422(b) or 423(b) of the Code.</w:t>
      </w:r>
    </w:p>
    <w:p>
      <w:pPr>
        <w:spacing w:after="0" w:line="113" w:lineRule="exact"/>
        <w:rPr>
          <w:rFonts w:ascii="Times New Roman" w:cs="Times New Roman" w:eastAsia="Times New Roman" w:hAnsi="Times New Roman"/>
          <w:sz w:val="18"/>
          <w:szCs w:val="18"/>
          <w:color w:val="auto"/>
        </w:rPr>
      </w:pPr>
    </w:p>
    <w:p>
      <w:pPr>
        <w:ind w:left="1280" w:hanging="305"/>
        <w:spacing w:after="0"/>
        <w:tabs>
          <w:tab w:leader="none" w:pos="12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shall mean an ISO or Nonstatutory Option granted under the Plan and entitling the holder to purchase Shares.</w:t>
      </w:r>
    </w:p>
    <w:p>
      <w:pPr>
        <w:spacing w:after="0" w:line="11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Optionee</w:t>
      </w:r>
      <w:r>
        <w:rPr>
          <w:rFonts w:ascii="Times New Roman" w:cs="Times New Roman" w:eastAsia="Times New Roman" w:hAnsi="Times New Roman"/>
          <w:sz w:val="18"/>
          <w:szCs w:val="18"/>
          <w:color w:val="auto"/>
        </w:rPr>
        <w:t>” shall mean a person who holds an Option.</w:t>
      </w:r>
    </w:p>
    <w:p>
      <w:pPr>
        <w:spacing w:after="0" w:line="11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Outside Director</w:t>
      </w:r>
      <w:r>
        <w:rPr>
          <w:rFonts w:ascii="Times New Roman" w:cs="Times New Roman" w:eastAsia="Times New Roman" w:hAnsi="Times New Roman"/>
          <w:sz w:val="18"/>
          <w:szCs w:val="18"/>
          <w:color w:val="auto"/>
        </w:rPr>
        <w:t>” shall mean a member of the Board of Directors who is not an Employee.</w:t>
      </w:r>
    </w:p>
    <w:p>
      <w:pPr>
        <w:spacing w:after="0" w:line="113" w:lineRule="exact"/>
        <w:rPr>
          <w:rFonts w:ascii="Times New Roman" w:cs="Times New Roman" w:eastAsia="Times New Roman" w:hAnsi="Times New Roman"/>
          <w:sz w:val="18"/>
          <w:szCs w:val="18"/>
          <w:color w:val="auto"/>
        </w:rPr>
      </w:pPr>
    </w:p>
    <w:p>
      <w:pPr>
        <w:ind w:right="20" w:firstLine="975"/>
        <w:spacing w:after="0" w:line="259" w:lineRule="auto"/>
        <w:tabs>
          <w:tab w:leader="none" w:pos="1233"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68"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mean this GoodRx, Inc. 2011 Stock Plan.</w:t>
      </w:r>
    </w:p>
    <w:p>
      <w:pPr>
        <w:spacing w:after="0" w:line="113" w:lineRule="exact"/>
        <w:rPr>
          <w:rFonts w:ascii="Times New Roman" w:cs="Times New Roman" w:eastAsia="Times New Roman" w:hAnsi="Times New Roman"/>
          <w:sz w:val="18"/>
          <w:szCs w:val="18"/>
          <w:color w:val="auto"/>
        </w:rPr>
      </w:pPr>
    </w:p>
    <w:p>
      <w:pPr>
        <w:ind w:right="280" w:firstLine="975"/>
        <w:spacing w:after="0" w:line="282" w:lineRule="auto"/>
        <w:tabs>
          <w:tab w:leader="none" w:pos="1203"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mean the consideration for which one Share may be acquired under the Plan (other than upon exercise of an Option), as specified by the Board of Directors.</w:t>
      </w:r>
    </w:p>
    <w:p>
      <w:pPr>
        <w:spacing w:after="0" w:line="47" w:lineRule="exact"/>
        <w:rPr>
          <w:rFonts w:ascii="Times New Roman" w:cs="Times New Roman" w:eastAsia="Times New Roman" w:hAnsi="Times New Roman"/>
          <w:sz w:val="18"/>
          <w:szCs w:val="18"/>
          <w:color w:val="auto"/>
        </w:rPr>
      </w:pPr>
    </w:p>
    <w:p>
      <w:pPr>
        <w:ind w:right="320" w:firstLine="975"/>
        <w:spacing w:after="0" w:line="282" w:lineRule="auto"/>
        <w:tabs>
          <w:tab w:leader="none" w:pos="1213"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shall mean a person to whom the Board of Directors has offered the right to acquire Shares under the Plan (other than upon exercise of an Option).</w:t>
      </w:r>
    </w:p>
    <w:p>
      <w:pPr>
        <w:spacing w:after="0" w:line="47" w:lineRule="exact"/>
        <w:rPr>
          <w:rFonts w:ascii="Times New Roman" w:cs="Times New Roman" w:eastAsia="Times New Roman" w:hAnsi="Times New Roman"/>
          <w:sz w:val="18"/>
          <w:szCs w:val="18"/>
          <w:color w:val="auto"/>
        </w:rPr>
      </w:pPr>
    </w:p>
    <w:p>
      <w:pPr>
        <w:ind w:left="1180" w:hanging="205"/>
        <w:spacing w:after="0"/>
        <w:tabs>
          <w:tab w:leader="none" w:pos="11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shall mean service as an Employee, Outside Director or Consultant.</w:t>
      </w:r>
    </w:p>
    <w:p>
      <w:pPr>
        <w:spacing w:after="0" w:line="11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shall mean one share of Stock, as adjusted in accordance with Section 8 (if applicable).</w:t>
      </w:r>
    </w:p>
    <w:p>
      <w:pPr>
        <w:spacing w:after="0" w:line="11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shall mean the Common Stock of the Company, with a par value of $0.0001 per Share.</w:t>
      </w:r>
    </w:p>
    <w:p>
      <w:pPr>
        <w:spacing w:after="0" w:line="113" w:lineRule="exact"/>
        <w:rPr>
          <w:rFonts w:ascii="Times New Roman" w:cs="Times New Roman" w:eastAsia="Times New Roman" w:hAnsi="Times New Roman"/>
          <w:sz w:val="18"/>
          <w:szCs w:val="18"/>
          <w:color w:val="auto"/>
        </w:rPr>
      </w:pPr>
    </w:p>
    <w:p>
      <w:pPr>
        <w:ind w:right="80" w:firstLine="975"/>
        <w:spacing w:after="0" w:line="282" w:lineRule="auto"/>
        <w:tabs>
          <w:tab w:leader="none" w:pos="1273"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Option Agreement</w:t>
      </w:r>
      <w:r>
        <w:rPr>
          <w:rFonts w:ascii="Times New Roman" w:cs="Times New Roman" w:eastAsia="Times New Roman" w:hAnsi="Times New Roman"/>
          <w:sz w:val="18"/>
          <w:szCs w:val="18"/>
          <w:color w:val="auto"/>
        </w:rPr>
        <w:t>” shall mean the agreement between the Company and an Optionee that contains the terms, conditions and restrictions pertaining to the Optionee’s Option.</w:t>
      </w:r>
    </w:p>
    <w:p>
      <w:pPr>
        <w:spacing w:after="0" w:line="47" w:lineRule="exact"/>
        <w:rPr>
          <w:rFonts w:ascii="Times New Roman" w:cs="Times New Roman" w:eastAsia="Times New Roman" w:hAnsi="Times New Roman"/>
          <w:sz w:val="18"/>
          <w:szCs w:val="18"/>
          <w:color w:val="auto"/>
        </w:rPr>
      </w:pPr>
    </w:p>
    <w:p>
      <w:pPr>
        <w:ind w:right="200" w:firstLine="975"/>
        <w:spacing w:after="0" w:line="282" w:lineRule="auto"/>
        <w:tabs>
          <w:tab w:leader="none" w:pos="1233"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Purchase Agreement</w:t>
      </w:r>
      <w:r>
        <w:rPr>
          <w:rFonts w:ascii="Times New Roman" w:cs="Times New Roman" w:eastAsia="Times New Roman" w:hAnsi="Times New Roman"/>
          <w:sz w:val="18"/>
          <w:szCs w:val="18"/>
          <w:color w:val="auto"/>
        </w:rPr>
        <w:t>” shall mean the agreement between the Company and a Purchaser who acquires Shares under the Plan that contains the terms, conditions and restrictions pertaining to the acquisition of such Shares.</w:t>
      </w:r>
    </w:p>
    <w:p>
      <w:pPr>
        <w:spacing w:after="0" w:line="47" w:lineRule="exact"/>
        <w:rPr>
          <w:rFonts w:ascii="Times New Roman" w:cs="Times New Roman" w:eastAsia="Times New Roman" w:hAnsi="Times New Roman"/>
          <w:sz w:val="18"/>
          <w:szCs w:val="18"/>
          <w:color w:val="auto"/>
        </w:rPr>
      </w:pPr>
    </w:p>
    <w:p>
      <w:pPr>
        <w:ind w:firstLine="975"/>
        <w:spacing w:after="0" w:line="259" w:lineRule="auto"/>
        <w:tabs>
          <w:tab w:leader="none" w:pos="1233"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500" w:top="263" w:right="519" w:bottom="1440" w:gutter="0" w:footer="0" w:header="0"/>
        </w:sectPr>
      </w:pPr>
    </w:p>
    <w:bookmarkStart w:id="457" w:name="page458"/>
    <w:bookmarkEnd w:id="457"/>
    <w:p>
      <w:pPr>
        <w:jc w:val="center"/>
        <w:ind w:right="-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AMENDMENT OF</w:t>
      </w:r>
    </w:p>
    <w:p>
      <w:pPr>
        <w:spacing w:after="0" w:line="3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GOODRX, INC. 2011 STOCK PLAN</w:t>
      </w:r>
    </w:p>
    <w:p>
      <w:pPr>
        <w:spacing w:after="0" w:line="202"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Pursuant to the Unanimous Written Consent of the Board of Directors of GoodRx,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dated as of June 12, 2015, the</w:t>
      </w:r>
    </w:p>
    <w:p>
      <w:pPr>
        <w:spacing w:after="0" w:line="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GoodRx, Inc. 2011 Stock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hereby amended as follows:</w:t>
      </w:r>
    </w:p>
    <w:p>
      <w:pPr>
        <w:spacing w:after="0" w:line="108" w:lineRule="exact"/>
        <w:rPr>
          <w:sz w:val="20"/>
          <w:szCs w:val="20"/>
          <w:color w:val="auto"/>
        </w:rPr>
      </w:pPr>
    </w:p>
    <w:p>
      <w:pPr>
        <w:ind w:left="966" w:hanging="539"/>
        <w:spacing w:after="0"/>
        <w:tabs>
          <w:tab w:leader="none" w:pos="96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8(b) is hereby amended and restated in its entirety by the following:</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Sale.</w:t>
      </w:r>
      <w:r>
        <w:rPr>
          <w:rFonts w:ascii="Times New Roman" w:cs="Times New Roman" w:eastAsia="Times New Roman" w:hAnsi="Times New Roman"/>
          <w:sz w:val="17"/>
          <w:szCs w:val="17"/>
          <w:color w:val="auto"/>
        </w:rPr>
        <w:t xml:space="preserve"> All outstanding Options shall be subject to (i) an agreement of merger or consolidation if the Company is a party to such agreement or</w:t>
      </w:r>
    </w:p>
    <w:p>
      <w:pPr>
        <w:spacing w:after="0" w:line="41" w:lineRule="exact"/>
        <w:rPr>
          <w:sz w:val="20"/>
          <w:szCs w:val="20"/>
          <w:color w:val="auto"/>
        </w:rPr>
      </w:pPr>
    </w:p>
    <w:p>
      <w:pPr>
        <w:ind w:left="6" w:hanging="6"/>
        <w:spacing w:after="0" w:line="262" w:lineRule="auto"/>
        <w:tabs>
          <w:tab w:leader="none" w:pos="268"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 purchase agreement entered into by a Majority in Interest of the Stockholders (defined in Section 9) pursuant to which more than fifty percent (50%) of the voting securities of the Company are being sold (a “</w:t>
      </w:r>
      <w:r>
        <w:rPr>
          <w:rFonts w:ascii="Times New Roman" w:cs="Times New Roman" w:eastAsia="Times New Roman" w:hAnsi="Times New Roman"/>
          <w:sz w:val="17"/>
          <w:szCs w:val="17"/>
          <w:b w:val="1"/>
          <w:bCs w:val="1"/>
          <w:color w:val="auto"/>
        </w:rPr>
        <w:t>Stock Sale</w:t>
      </w:r>
      <w:r>
        <w:rPr>
          <w:rFonts w:ascii="Times New Roman" w:cs="Times New Roman" w:eastAsia="Times New Roman" w:hAnsi="Times New Roman"/>
          <w:sz w:val="17"/>
          <w:szCs w:val="17"/>
          <w:color w:val="auto"/>
        </w:rPr>
        <w:t>” and collectively with a merger or consolidation described in clause</w:t>
      </w:r>
    </w:p>
    <w:p>
      <w:pPr>
        <w:ind w:left="6" w:right="20" w:hanging="6"/>
        <w:spacing w:after="0" w:line="251" w:lineRule="auto"/>
        <w:tabs>
          <w:tab w:leader="none" w:pos="219"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Company Sale</w:t>
      </w:r>
      <w:r>
        <w:rPr>
          <w:rFonts w:ascii="Times New Roman" w:cs="Times New Roman" w:eastAsia="Times New Roman" w:hAnsi="Times New Roman"/>
          <w:sz w:val="18"/>
          <w:szCs w:val="18"/>
          <w:color w:val="auto"/>
        </w:rPr>
        <w:t>”) to one or more third parties (each a “</w:t>
      </w:r>
      <w:r>
        <w:rPr>
          <w:rFonts w:ascii="Times New Roman" w:cs="Times New Roman" w:eastAsia="Times New Roman" w:hAnsi="Times New Roman"/>
          <w:sz w:val="18"/>
          <w:szCs w:val="18"/>
          <w:b w:val="1"/>
          <w:bCs w:val="1"/>
          <w:color w:val="auto"/>
        </w:rPr>
        <w:t>Stock Purchaser</w:t>
      </w:r>
      <w:r>
        <w:rPr>
          <w:rFonts w:ascii="Times New Roman" w:cs="Times New Roman" w:eastAsia="Times New Roman" w:hAnsi="Times New Roman"/>
          <w:sz w:val="18"/>
          <w:szCs w:val="18"/>
          <w:color w:val="auto"/>
        </w:rPr>
        <w:t>”). Such agreement may provide for one or more of the following, without the consent of any of the Optionees: The continuation of any outstanding Options by the Company (if, in the case of a merger or consolidation, the Company is the surviving corporation).</w:t>
      </w:r>
    </w:p>
    <w:p>
      <w:pPr>
        <w:spacing w:after="0" w:line="93" w:lineRule="exact"/>
        <w:rPr>
          <w:sz w:val="20"/>
          <w:szCs w:val="20"/>
          <w:color w:val="auto"/>
        </w:rPr>
      </w:pPr>
    </w:p>
    <w:p>
      <w:pPr>
        <w:ind w:left="426" w:right="340" w:hanging="426"/>
        <w:spacing w:after="0" w:line="277" w:lineRule="auto"/>
        <w:tabs>
          <w:tab w:leader="none" w:pos="42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or consolidation, the assumption of any outstanding Options by the surviving corporation or its parent in a manner that complies with Section 424(a) of the Code (whether or not such Options are ISOs).</w:t>
      </w:r>
    </w:p>
    <w:p>
      <w:pPr>
        <w:spacing w:after="0" w:line="69" w:lineRule="exact"/>
        <w:rPr>
          <w:rFonts w:ascii="Times New Roman" w:cs="Times New Roman" w:eastAsia="Times New Roman" w:hAnsi="Times New Roman"/>
          <w:sz w:val="18"/>
          <w:szCs w:val="18"/>
          <w:color w:val="auto"/>
        </w:rPr>
      </w:pPr>
    </w:p>
    <w:p>
      <w:pPr>
        <w:ind w:left="426" w:right="40" w:hanging="426"/>
        <w:spacing w:after="0" w:line="277" w:lineRule="auto"/>
        <w:tabs>
          <w:tab w:leader="none" w:pos="42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or consolidation, the substitution by the surviving corporation or its parent of new options for any outstanding Options in a manner that complies with Section 424(a) of the Code (whether or not such Options are ISOs).</w:t>
      </w:r>
    </w:p>
    <w:p>
      <w:pPr>
        <w:spacing w:after="0" w:line="69" w:lineRule="exact"/>
        <w:rPr>
          <w:rFonts w:ascii="Times New Roman" w:cs="Times New Roman" w:eastAsia="Times New Roman" w:hAnsi="Times New Roman"/>
          <w:sz w:val="18"/>
          <w:szCs w:val="18"/>
          <w:color w:val="auto"/>
        </w:rPr>
      </w:pPr>
    </w:p>
    <w:p>
      <w:pPr>
        <w:ind w:left="426" w:right="60" w:hanging="426"/>
        <w:spacing w:after="0" w:line="277" w:lineRule="auto"/>
        <w:tabs>
          <w:tab w:leader="none" w:pos="42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Stock Sale, the substitution by Purchaser, or its parent, of new options for any outstanding Options in a manner that complies with Section 424(a) of the Code (whether or not such Options are ISOs).</w:t>
      </w:r>
    </w:p>
    <w:p>
      <w:pPr>
        <w:spacing w:after="0" w:line="69" w:lineRule="exact"/>
        <w:rPr>
          <w:rFonts w:ascii="Times New Roman" w:cs="Times New Roman" w:eastAsia="Times New Roman" w:hAnsi="Times New Roman"/>
          <w:sz w:val="18"/>
          <w:szCs w:val="18"/>
          <w:color w:val="auto"/>
        </w:rPr>
      </w:pPr>
    </w:p>
    <w:p>
      <w:pPr>
        <w:ind w:left="426" w:hanging="426"/>
        <w:spacing w:after="0" w:line="253" w:lineRule="auto"/>
        <w:tabs>
          <w:tab w:leader="none" w:pos="42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exercisability of any outstanding Options and full vesting of the Shares subject to such Options, followed by the cancellation of such Options. The full exercisability of such Options and full vesting of the Shares subject to such Options may be contingent on the closing of such Company Sale. The Optionees shall be able to exercise such Options during a period of not less than five full business days preceding the closing date of such Company Sale, unless (A) a shorter period is required to permit a timely closing of such Company Sale and (B) such shorter period still offers the Optionees a reasonable opportunity to exercise such Options. Any exercise of such Options during such period may be contingent on the closing of such Company Sale.</w:t>
      </w:r>
    </w:p>
    <w:p>
      <w:pPr>
        <w:spacing w:after="0" w:line="93" w:lineRule="exact"/>
        <w:rPr>
          <w:rFonts w:ascii="Times New Roman" w:cs="Times New Roman" w:eastAsia="Times New Roman" w:hAnsi="Times New Roman"/>
          <w:sz w:val="18"/>
          <w:szCs w:val="18"/>
          <w:color w:val="auto"/>
        </w:rPr>
      </w:pPr>
    </w:p>
    <w:p>
      <w:pPr>
        <w:ind w:left="426" w:right="20" w:hanging="426"/>
        <w:spacing w:after="0" w:line="257" w:lineRule="auto"/>
        <w:tabs>
          <w:tab w:leader="none" w:pos="42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any outstanding Options and a payment to the Optionees equal to the excess of (A) the Fair Market Value of the Shares subject to such Options (whether or not such Options are then exercisable or such Shares are then vested) as of the closing date of such Company Sale over (B) their Exercise Price. Such payment shall be made in the form of cash, cash equivalents, or securities of the surviving corporation or its parent in the case of a merger or consolidation, or of a Purchaser or its parent in the case of a Stock</w:t>
      </w:r>
    </w:p>
    <w:p>
      <w:pPr>
        <w:sectPr>
          <w:pgSz w:w="11900" w:h="16838" w:orient="portrait"/>
          <w:cols w:equalWidth="0" w:num="1">
            <w:col w:w="10886"/>
          </w:cols>
          <w:pgMar w:left="494" w:top="264" w:right="519" w:bottom="1440" w:gutter="0" w:footer="0" w:header="0"/>
        </w:sectPr>
      </w:pPr>
    </w:p>
    <w:bookmarkStart w:id="458" w:name="page459"/>
    <w:bookmarkEnd w:id="458"/>
    <w:p>
      <w:pPr>
        <w:ind w:lef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Sale with a Fair Market Value equal to the required amount. Subject to Section 409A of the Code, such payment may be made in installments and may be deferred until the date or dates when such Options would have become exercisable or such Shares would have vested. Such payment may be subject to vesting based on the Optionee’s continuing Service, provided that the vesting schedule shall not be less favorable to the Optionee than the schedule under which such Options would have become exercisable or such Shares would have vested. If the Exercise Price of the Shares subject to such Options exceeds the Fair Market Value of such Shares, then such Options may be cancelled without making a payment to the Optionees. For purposes of this Paragraph (vi), the Fair Market Value of any security shall be determined without regard to any vesting conditions that may apply to such security.”</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undersigned Secretary of the Company hereby certifies that the foregoing is a true and correct amendment of the Plan.</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WITNESS the signature of the undersigned as of June 12, 2015.</w:t>
      </w:r>
    </w:p>
    <w:p>
      <w:pPr>
        <w:spacing w:after="0" w:line="24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Trevor Bezdek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15875</wp:posOffset>
            </wp:positionV>
            <wp:extent cx="219710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3">
                      <a:extLst>
                        <a:ext uri="{28A0092B-C50C-407E-A947-70E740481C1C}"/>
                      </a:extLst>
                    </a:blip>
                    <a:srcRect/>
                    <a:stretch>
                      <a:fillRect/>
                    </a:stretch>
                  </pic:blipFill>
                  <pic:spPr bwMode="auto">
                    <a:xfrm>
                      <a:off x="0" y="0"/>
                      <a:ext cx="2197100" cy="8255"/>
                    </a:xfrm>
                    <a:prstGeom prst="rect">
                      <a:avLst/>
                    </a:prstGeom>
                    <a:noFill/>
                  </pic:spPr>
                </pic:pic>
              </a:graphicData>
            </a:graphic>
          </wp:anchor>
        </w:drawing>
      </w:r>
    </w:p>
    <w:p>
      <w:pPr>
        <w:spacing w:after="0" w:line="1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Trevor Bezdek, Secretary</w:t>
      </w:r>
    </w:p>
    <w:p>
      <w:pPr>
        <w:sectPr>
          <w:pgSz w:w="11900" w:h="16838" w:orient="portrait"/>
          <w:cols w:equalWidth="0" w:num="1">
            <w:col w:w="9940"/>
          </w:cols>
          <w:pgMar w:left="1440" w:top="268" w:right="519" w:bottom="1440" w:gutter="0" w:footer="0" w:header="0"/>
        </w:sectPr>
      </w:pPr>
    </w:p>
    <w:bookmarkStart w:id="459" w:name="page460"/>
    <w:bookmarkEnd w:id="45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4">
                      <a:extLst>
                        <a:ext uri="{28A0092B-C50C-407E-A947-70E740481C1C}"/>
                      </a:extLst>
                    </a:blip>
                    <a:srcRect/>
                    <a:stretch>
                      <a:fillRect/>
                    </a:stretch>
                  </pic:blipFill>
                  <pic:spPr bwMode="auto">
                    <a:xfrm>
                      <a:off x="0" y="0"/>
                      <a:ext cx="7150735" cy="24765"/>
                    </a:xfrm>
                    <a:prstGeom prst="rect">
                      <a:avLst/>
                    </a:prstGeom>
                    <a:noFill/>
                  </pic:spPr>
                </pic:pic>
              </a:graphicData>
            </a:graphic>
          </wp:anchor>
        </w:drawing>
        <w:t>Exhibit 2</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Spousal Consent</w:t>
      </w:r>
    </w:p>
    <w:p>
      <w:pPr>
        <w:spacing w:after="0" w:line="224" w:lineRule="exact"/>
        <w:rPr>
          <w:sz w:val="20"/>
          <w:szCs w:val="20"/>
          <w:color w:val="auto"/>
        </w:rPr>
      </w:pPr>
    </w:p>
    <w:p>
      <w:pPr>
        <w:ind w:right="60" w:firstLine="981"/>
        <w:spacing w:after="0" w:line="277" w:lineRule="auto"/>
        <w:rPr>
          <w:sz w:val="20"/>
          <w:szCs w:val="20"/>
          <w:color w:val="auto"/>
        </w:rPr>
      </w:pPr>
      <w:r>
        <w:rPr>
          <w:rFonts w:ascii="Times New Roman" w:cs="Times New Roman" w:eastAsia="Times New Roman" w:hAnsi="Times New Roman"/>
          <w:sz w:val="18"/>
          <w:szCs w:val="18"/>
          <w:color w:val="auto"/>
        </w:rPr>
        <w:t>The undersigned spouse hereby acknowledges that I have read the following plans, arrangements and agreements to which my spouse is a party or subject:</w:t>
      </w:r>
    </w:p>
    <w:p>
      <w:pPr>
        <w:spacing w:after="0" w:line="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GoodRx Holdings, Inc. [________] Agreement, dated ___________</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GoodRx Holdings, Inc. Fifth Amended and Restated 2015 Equity Incentive Plan (the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b w:val="1"/>
          <w:bCs w:val="1"/>
          <w:color w:val="auto"/>
        </w:rPr>
        <w:t>”)</w:t>
      </w:r>
    </w:p>
    <w:p>
      <w:pPr>
        <w:spacing w:after="0" w:line="11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and that I understand their contents. I am aware that such plans, arrangements and agreements (i) provide for the repurchase, under certain circumstances, of any and all shares of capital stock of GoodRx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that are ever acquired by my spouse pursuant to the Plan and (ii) impose certain obligations upon my spouse and restrictions on transfer of my spouse’s shares of capital stock of the Company under certain circumstances. I agree that my spouse’s interest in the capital stock of the Company is subject to the documents referred to above and the other agreements referred to therein and any interest I may have in the Company or in such capital stock shall be irrevocably bound by these agreements and the other agreements referred to therein, and further agree that any community property interest of mine (if any) shall be similarly bound by these agreements.</w:t>
      </w:r>
    </w:p>
    <w:p>
      <w:pPr>
        <w:spacing w:after="0" w:line="82" w:lineRule="exact"/>
        <w:rPr>
          <w:sz w:val="20"/>
          <w:szCs w:val="20"/>
          <w:color w:val="auto"/>
        </w:rPr>
      </w:pPr>
    </w:p>
    <w:p>
      <w:pPr>
        <w:ind w:right="500" w:firstLine="981"/>
        <w:spacing w:after="0" w:line="274" w:lineRule="auto"/>
        <w:rPr>
          <w:sz w:val="20"/>
          <w:szCs w:val="20"/>
          <w:color w:val="auto"/>
        </w:rPr>
      </w:pPr>
      <w:r>
        <w:rPr>
          <w:rFonts w:ascii="Times New Roman" w:cs="Times New Roman" w:eastAsia="Times New Roman" w:hAnsi="Times New Roman"/>
          <w:sz w:val="17"/>
          <w:szCs w:val="17"/>
          <w:color w:val="auto"/>
        </w:rPr>
        <w:t>For the benefit of the Company (which is relying hereon), the undersigned spouse irrevocably constitutes and appoints, on behalf of himself or herself and his or her heirs, legatees and assigns, ______________, who is the spouse of the undersigned (the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as the</w:t>
      </w:r>
    </w:p>
    <w:p>
      <w:pPr>
        <w:spacing w:after="0" w:line="248" w:lineRule="auto"/>
        <w:rPr>
          <w:sz w:val="20"/>
          <w:szCs w:val="20"/>
          <w:color w:val="auto"/>
        </w:rPr>
      </w:pPr>
      <w:r>
        <w:rPr>
          <w:rFonts w:ascii="Times New Roman" w:cs="Times New Roman" w:eastAsia="Times New Roman" w:hAnsi="Times New Roman"/>
          <w:sz w:val="18"/>
          <w:szCs w:val="18"/>
          <w:color w:val="auto"/>
        </w:rPr>
        <w:t>undersigned’s true and lawful attorney and proxy in his or her name, place and stead to sign, make, execute, acknowledge, deliver, file and record all documents which may be required, and to manage, vote, act and make all decisions with respect to (whether necessary, incidental, convenient or otherwise), any and all shares or capital stock or options to acquire capital stock of the Company in which the undersigned now has or hereafter acquires any interest and in any and all shares of the Company now or hereafter held of record by the Participant (including but not limited to the right, without further signature, consent or knowledge of the undersigned spouse, to exercise or not to exercise any and all options under any appropriate agreements and to exercise amendments and modifications of and to terminate the foregoing agreements and to dispose of any and all shares of capital stock or options to acquire capital stock of the Company), with all powers the undersigned spouse would possess if personally present, it being expressly understood and intended by the undersigned that the foregoing power of attorney and proxy is coupled with an interest; and this power of attorney is a durable power of attorney and will not be affected by disability, incapacity or death of the Participant, or dissolution of marriage and this proxy will not terminate without consent of the Participant and the Company.</w:t>
      </w:r>
    </w:p>
    <w:p>
      <w:pPr>
        <w:sectPr>
          <w:pgSz w:w="11900" w:h="16838" w:orient="portrait"/>
          <w:cols w:equalWidth="0" w:num="1">
            <w:col w:w="10860"/>
          </w:cols>
          <w:pgMar w:left="500" w:top="263" w:right="539" w:bottom="1440" w:gutter="0" w:footer="0" w:header="0"/>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 Participant: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Spouse of Plan Participant: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w:t>
      </w:r>
    </w:p>
    <w:p>
      <w:pPr>
        <w:sectPr>
          <w:pgSz w:w="11900" w:h="16838" w:orient="portrait"/>
          <w:cols w:equalWidth="0" w:num="2">
            <w:col w:w="4960" w:space="720"/>
            <w:col w:w="5180"/>
          </w:cols>
          <w:pgMar w:left="500" w:top="263" w:right="539" w:bottom="1440" w:gutter="0" w:footer="0" w:header="0"/>
          <w:type w:val="continuous"/>
        </w:sectPr>
      </w:pPr>
    </w:p>
    <w:bookmarkStart w:id="460" w:name="page461"/>
    <w:bookmarkEnd w:id="460"/>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5">
                      <a:extLst>
                        <a:ext uri="{28A0092B-C50C-407E-A947-70E740481C1C}"/>
                      </a:extLst>
                    </a:blip>
                    <a:srcRect/>
                    <a:stretch>
                      <a:fillRect/>
                    </a:stretch>
                  </pic:blipFill>
                  <pic:spPr bwMode="auto">
                    <a:xfrm>
                      <a:off x="0" y="0"/>
                      <a:ext cx="7150735" cy="24765"/>
                    </a:xfrm>
                    <a:prstGeom prst="rect">
                      <a:avLst/>
                    </a:prstGeom>
                    <a:noFill/>
                  </pic:spPr>
                </pic:pic>
              </a:graphicData>
            </a:graphic>
          </wp:anchor>
        </w:drawing>
        <w:t>VESTED ONLY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EQUITY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STOCK OPTION GRANT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_____________________</w:t>
      </w:r>
    </w:p>
    <w:p>
      <w:pPr>
        <w:spacing w:after="0" w:line="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You have been granted an option to purchase Common Stock of GoodRx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follows:</w:t>
      </w:r>
    </w:p>
    <w:p>
      <w:pPr>
        <w:sectPr>
          <w:pgSz w:w="11900" w:h="16838" w:orient="portrait"/>
          <w:cols w:equalWidth="0" w:num="1">
            <w:col w:w="10900"/>
          </w:cols>
          <w:pgMar w:left="500" w:top="267" w:right="499" w:bottom="1440" w:gutter="0" w:footer="0" w:header="0"/>
        </w:sectPr>
      </w:pPr>
    </w:p>
    <w:p>
      <w:pPr>
        <w:spacing w:after="0" w:line="2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eshares</w:t>
      </w:r>
    </w:p>
    <w:p>
      <w:pPr>
        <w:spacing w:after="0" w:line="125" w:lineRule="exact"/>
        <w:rPr>
          <w:sz w:val="20"/>
          <w:szCs w:val="20"/>
          <w:color w:val="auto"/>
        </w:rPr>
      </w:pPr>
    </w:p>
    <w:p>
      <w:pPr>
        <w:sectPr>
          <w:pgSz w:w="11900" w:h="16838" w:orient="portrait"/>
          <w:cols w:equalWidth="0" w:num="2">
            <w:col w:w="3540" w:space="720"/>
            <w:col w:w="6640"/>
          </w:cols>
          <w:pgMar w:left="500" w:top="267" w:right="49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See eshares</w:t>
      </w:r>
    </w:p>
    <w:p>
      <w:pPr>
        <w:spacing w:after="0" w:line="125" w:lineRule="exact"/>
        <w:rPr>
          <w:sz w:val="20"/>
          <w:szCs w:val="20"/>
          <w:color w:val="auto"/>
        </w:rPr>
      </w:pPr>
    </w:p>
    <w:p>
      <w:pPr>
        <w:sectPr>
          <w:pgSz w:w="11900" w:h="16838" w:orient="portrait"/>
          <w:cols w:equalWidth="0" w:num="2">
            <w:col w:w="3540" w:space="720"/>
            <w:col w:w="6640"/>
          </w:cols>
          <w:pgMar w:left="500" w:top="267" w:right="499" w:bottom="1440" w:gutter="0" w:footer="0" w:header="0"/>
          <w:type w:val="continuous"/>
        </w:sectPr>
      </w:pPr>
    </w:p>
    <w:p>
      <w:pPr>
        <w:ind w:left="560"/>
        <w:spacing w:after="0" w:line="277" w:lineRule="auto"/>
        <w:rPr>
          <w:sz w:val="20"/>
          <w:szCs w:val="20"/>
          <w:color w:val="auto"/>
        </w:rPr>
      </w:pPr>
      <w:r>
        <w:rPr>
          <w:rFonts w:ascii="Times New Roman" w:cs="Times New Roman" w:eastAsia="Times New Roman" w:hAnsi="Times New Roman"/>
          <w:sz w:val="18"/>
          <w:szCs w:val="18"/>
          <w:color w:val="auto"/>
        </w:rPr>
        <w:t>Total Number of Shares of Common Stock (the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See eshares</w:t>
      </w:r>
    </w:p>
    <w:p>
      <w:pPr>
        <w:spacing w:after="0" w:line="339" w:lineRule="exact"/>
        <w:rPr>
          <w:sz w:val="20"/>
          <w:szCs w:val="20"/>
          <w:color w:val="auto"/>
        </w:rPr>
      </w:pPr>
    </w:p>
    <w:p>
      <w:pPr>
        <w:sectPr>
          <w:pgSz w:w="11900" w:h="16838" w:orient="portrait"/>
          <w:cols w:equalWidth="0" w:num="2">
            <w:col w:w="3920" w:space="340"/>
            <w:col w:w="6640"/>
          </w:cols>
          <w:pgMar w:left="500" w:top="267" w:right="49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Nonstatutory Stock Option</w:t>
      </w:r>
    </w:p>
    <w:p>
      <w:pPr>
        <w:spacing w:after="0" w:line="125" w:lineRule="exact"/>
        <w:rPr>
          <w:sz w:val="20"/>
          <w:szCs w:val="20"/>
          <w:color w:val="auto"/>
        </w:rPr>
      </w:pPr>
    </w:p>
    <w:p>
      <w:pPr>
        <w:sectPr>
          <w:pgSz w:w="11900" w:h="16838" w:orient="portrait"/>
          <w:cols w:equalWidth="0" w:num="2">
            <w:col w:w="3540" w:space="720"/>
            <w:col w:w="6640"/>
          </w:cols>
          <w:pgMar w:left="500" w:top="267" w:right="49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Expiration Date:</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Times New Roman" w:cs="Times New Roman" w:eastAsia="Times New Roman" w:hAnsi="Times New Roman"/>
          <w:sz w:val="18"/>
          <w:szCs w:val="18"/>
          <w:color w:val="auto"/>
        </w:rPr>
        <w:t>See eshares. This Option expires earlier if Optionee’s service terminates earlier, as provided in the Option Agreement.</w:t>
      </w:r>
    </w:p>
    <w:p>
      <w:pPr>
        <w:spacing w:after="0" w:line="57" w:lineRule="exact"/>
        <w:rPr>
          <w:sz w:val="20"/>
          <w:szCs w:val="20"/>
          <w:color w:val="auto"/>
        </w:rPr>
      </w:pPr>
    </w:p>
    <w:p>
      <w:pPr>
        <w:sectPr>
          <w:pgSz w:w="11900" w:h="16838" w:orient="portrait"/>
          <w:cols w:equalWidth="0" w:num="2">
            <w:col w:w="3540" w:space="720"/>
            <w:col w:w="6640"/>
          </w:cols>
          <w:pgMar w:left="500" w:top="267" w:right="49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See eshares</w:t>
      </w:r>
    </w:p>
    <w:p>
      <w:pPr>
        <w:spacing w:after="0" w:line="125" w:lineRule="exact"/>
        <w:rPr>
          <w:sz w:val="20"/>
          <w:szCs w:val="20"/>
          <w:color w:val="auto"/>
        </w:rPr>
      </w:pPr>
    </w:p>
    <w:p>
      <w:pPr>
        <w:sectPr>
          <w:pgSz w:w="11900" w:h="16838" w:orient="portrait"/>
          <w:cols w:equalWidth="0" w:num="2">
            <w:col w:w="3540" w:space="720"/>
            <w:col w:w="6640"/>
          </w:cols>
          <w:pgMar w:left="500" w:top="267" w:right="49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Exercisability: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Only vested Shares may be exercised.</w:t>
      </w:r>
    </w:p>
    <w:p>
      <w:pPr>
        <w:spacing w:after="0" w:line="125" w:lineRule="exact"/>
        <w:rPr>
          <w:sz w:val="20"/>
          <w:szCs w:val="20"/>
          <w:color w:val="auto"/>
        </w:rPr>
      </w:pPr>
    </w:p>
    <w:p>
      <w:pPr>
        <w:sectPr>
          <w:pgSz w:w="11900" w:h="16838" w:orient="portrait"/>
          <w:cols w:equalWidth="0" w:num="2">
            <w:col w:w="3540" w:space="720"/>
            <w:col w:w="6640"/>
          </w:cols>
          <w:pgMar w:left="500" w:top="267" w:right="49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Vesting/Exercise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See eshares. Acceleration – yes, see eshares.</w:t>
      </w:r>
    </w:p>
    <w:p>
      <w:pPr>
        <w:spacing w:after="0" w:line="125" w:lineRule="exact"/>
        <w:rPr>
          <w:sz w:val="20"/>
          <w:szCs w:val="20"/>
          <w:color w:val="auto"/>
        </w:rPr>
      </w:pPr>
    </w:p>
    <w:p>
      <w:pPr>
        <w:sectPr>
          <w:pgSz w:w="11900" w:h="16838" w:orient="portrait"/>
          <w:cols w:equalWidth="0" w:num="2">
            <w:col w:w="3540" w:space="720"/>
            <w:col w:w="6640"/>
          </w:cols>
          <w:pgMar w:left="500" w:top="267" w:right="49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Termination Period:</w:t>
      </w:r>
    </w:p>
    <w:p>
      <w:pPr>
        <w:spacing w:after="0" w:line="20" w:lineRule="exact"/>
        <w:rPr>
          <w:sz w:val="20"/>
          <w:szCs w:val="20"/>
          <w:color w:val="auto"/>
        </w:rPr>
      </w:pPr>
      <w:r>
        <w:rPr>
          <w:sz w:val="20"/>
          <w:szCs w:val="20"/>
          <w:color w:val="auto"/>
        </w:rPr>
        <w:br w:type="column"/>
      </w:r>
    </w:p>
    <w:p>
      <w:pPr>
        <w:ind w:right="300"/>
        <w:spacing w:after="0" w:line="255" w:lineRule="auto"/>
        <w:rPr>
          <w:sz w:val="20"/>
          <w:szCs w:val="20"/>
          <w:color w:val="auto"/>
        </w:rPr>
      </w:pPr>
      <w:r>
        <w:rPr>
          <w:rFonts w:ascii="Times New Roman" w:cs="Times New Roman" w:eastAsia="Times New Roman" w:hAnsi="Times New Roman"/>
          <w:sz w:val="18"/>
          <w:szCs w:val="18"/>
          <w:color w:val="auto"/>
        </w:rPr>
        <w:t>The Option may be exercised for one (1) month after termination of employment or consulting relationship except as set out in Section 3 of the Option Agreement (but in no event after the Expiration Date). Optionee is solely responsible for keeping track of these exercise periods following termination for any reason of his or her relationship with the Company. The Company will not provide further notice of such periods.</w:t>
      </w:r>
    </w:p>
    <w:p>
      <w:pPr>
        <w:sectPr>
          <w:pgSz w:w="11900" w:h="16838" w:orient="portrait"/>
          <w:cols w:equalWidth="0" w:num="2">
            <w:col w:w="3540" w:space="720"/>
            <w:col w:w="6640"/>
          </w:cols>
          <w:pgMar w:left="500" w:top="267" w:right="499" w:bottom="1440" w:gutter="0" w:footer="0" w:header="0"/>
          <w:type w:val="continuous"/>
        </w:sectPr>
      </w:pPr>
    </w:p>
    <w:bookmarkStart w:id="461" w:name="page462"/>
    <w:bookmarkEnd w:id="461"/>
    <w:p>
      <w:pPr>
        <w:jc w:val="both"/>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By your signature and the signature of the Company’s representative below, you and the Company agree that this Option is granted under and governed by the terms and conditions of the GoodRx Holdings, Inc. 2015 Equity Incentive Plan and Option Agreement, both of which are attached to and made a part of this document.</w:t>
      </w:r>
    </w:p>
    <w:p>
      <w:pPr>
        <w:spacing w:after="0" w:line="177"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In addition, you agree and acknowledge that your rights to any Shares underlying this Option will be earned only as you provide services to the Company over time, that the grant of this Option is not as consideration for services you rendered to the Company prior to your date of hire,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w:t>
      </w:r>
    </w:p>
    <w:p>
      <w:pPr>
        <w:spacing w:after="0" w:line="183"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Also, to the extent applicable, the Exercise Price Per Share has been set in good faith compliance with the applicable guidance issued by the IRS under Section 409A of the Code. However, there is no guarantee that the IRS will agree with the valuation, and by signing below, you agree and acknowledge that the Company, its Board, officers, employees and agents shall not be held liable for any applicable costs, taxes, or penalties associated with this Option if, in fact, the IRS or any other person (including, without limitation, a successor corporation or an acquirer in a Sale of the Company) were to determine that this Option constitutes deferred compensation under Section 409A of the Code. You should consult with your own tax advisor concerning the tax consequences of such a determination by the IRS.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00"/>
          </w:cols>
          <w:pgMar w:left="500" w:top="268" w:right="599" w:bottom="1440" w:gutter="0" w:footer="0" w:header="0"/>
        </w:sectPr>
      </w:pPr>
    </w:p>
    <w:bookmarkStart w:id="462" w:name="page463"/>
    <w:bookmarkEnd w:id="462"/>
    <w:p>
      <w:pPr>
        <w:jc w:val="center"/>
        <w:ind w:right="-45"/>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OPTION AGREEMENT</w:t>
      </w:r>
    </w:p>
    <w:p>
      <w:pPr>
        <w:spacing w:after="0" w:line="220"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OOD</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X</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b w:val="1"/>
          <w:bCs w:val="1"/>
          <w:color w:val="auto"/>
        </w:rPr>
        <w:t>2015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0"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7"/>
          <w:szCs w:val="17"/>
          <w:color w:val="auto"/>
        </w:rPr>
        <w:t>This Option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made and entered into as of the date of grant (the “</w:t>
      </w:r>
      <w:r>
        <w:rPr>
          <w:rFonts w:ascii="Times New Roman" w:cs="Times New Roman" w:eastAsia="Times New Roman" w:hAnsi="Times New Roman"/>
          <w:sz w:val="17"/>
          <w:szCs w:val="17"/>
          <w:b w:val="1"/>
          <w:bCs w:val="1"/>
          <w:i w:val="1"/>
          <w:iCs w:val="1"/>
          <w:color w:val="auto"/>
        </w:rPr>
        <w:t>Date of Grant</w:t>
      </w:r>
      <w:r>
        <w:rPr>
          <w:rFonts w:ascii="Times New Roman" w:cs="Times New Roman" w:eastAsia="Times New Roman" w:hAnsi="Times New Roman"/>
          <w:sz w:val="17"/>
          <w:szCs w:val="17"/>
          <w:color w:val="auto"/>
        </w:rPr>
        <w:t>”) set forth on the Notice of Stock</w:t>
      </w:r>
    </w:p>
    <w:p>
      <w:pPr>
        <w:spacing w:after="0" w:line="4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Option Grant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by and between GoodRx Holdings, Inc., a Delaware corporation (together with any successor thereto, the</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optionee named on the Grant Notice (the “</w:t>
      </w:r>
      <w:r>
        <w:rPr>
          <w:rFonts w:ascii="Times New Roman" w:cs="Times New Roman" w:eastAsia="Times New Roman" w:hAnsi="Times New Roman"/>
          <w:sz w:val="18"/>
          <w:szCs w:val="18"/>
          <w:b w:val="1"/>
          <w:bCs w:val="1"/>
          <w:i w:val="1"/>
          <w:iCs w:val="1"/>
          <w:color w:val="auto"/>
        </w:rPr>
        <w:t>Optionee</w:t>
      </w:r>
      <w:r>
        <w:rPr>
          <w:rFonts w:ascii="Times New Roman" w:cs="Times New Roman" w:eastAsia="Times New Roman" w:hAnsi="Times New Roman"/>
          <w:sz w:val="18"/>
          <w:szCs w:val="18"/>
          <w:color w:val="auto"/>
        </w:rPr>
        <w:t>”). Capitalized terms not defined in this Agreement shall have the meaning</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ascribed to them in the GoodRx Holdings, Inc. 2015 Equity Incentive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or in the Grant Notice, as</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applicable.</w:t>
      </w:r>
    </w:p>
    <w:p>
      <w:pPr>
        <w:spacing w:after="0" w:line="91" w:lineRule="exact"/>
        <w:rPr>
          <w:sz w:val="20"/>
          <w:szCs w:val="20"/>
          <w:color w:val="auto"/>
        </w:rPr>
      </w:pPr>
    </w:p>
    <w:p>
      <w:pPr>
        <w:ind w:left="6" w:right="260" w:firstLine="430"/>
        <w:spacing w:after="0" w:line="287" w:lineRule="auto"/>
        <w:tabs>
          <w:tab w:leader="none" w:pos="620" w:val="left"/>
        </w:tabs>
        <w:numPr>
          <w:ilvl w:val="0"/>
          <w:numId w:val="3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GRANT OF OPTION</w:t>
      </w:r>
      <w:r>
        <w:rPr>
          <w:rFonts w:ascii="Times New Roman" w:cs="Times New Roman" w:eastAsia="Times New Roman" w:hAnsi="Times New Roman"/>
          <w:sz w:val="17"/>
          <w:szCs w:val="17"/>
          <w:color w:val="auto"/>
        </w:rPr>
        <w:t>. The Company hereby grants to Optionee an option (this “</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to purchase up to the total number of shares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 Stock of the Company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set forth in the Grant Notice as the Shares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at the Exercise Price Per Share set forth in the Grant Notice (the “</w:t>
      </w:r>
      <w:r>
        <w:rPr>
          <w:rFonts w:ascii="Times New Roman" w:cs="Times New Roman" w:eastAsia="Times New Roman" w:hAnsi="Times New Roman"/>
          <w:sz w:val="17"/>
          <w:szCs w:val="17"/>
          <w:b w:val="1"/>
          <w:bCs w:val="1"/>
          <w:i w:val="1"/>
          <w:iCs w:val="1"/>
          <w:color w:val="auto"/>
        </w:rPr>
        <w:t>Exercise Price</w:t>
      </w:r>
      <w:r>
        <w:rPr>
          <w:rFonts w:ascii="Times New Roman" w:cs="Times New Roman" w:eastAsia="Times New Roman" w:hAnsi="Times New Roman"/>
          <w:sz w:val="17"/>
          <w:szCs w:val="17"/>
          <w:color w:val="auto"/>
        </w:rPr>
        <w:t>”), subject to all of the terms and conditions of the Grant Notice, this Agreement and the Plan.</w:t>
      </w:r>
    </w:p>
    <w:p>
      <w:pPr>
        <w:spacing w:after="0" w:line="46" w:lineRule="exact"/>
        <w:rPr>
          <w:rFonts w:ascii="Times New Roman" w:cs="Times New Roman" w:eastAsia="Times New Roman" w:hAnsi="Times New Roman"/>
          <w:sz w:val="17"/>
          <w:szCs w:val="17"/>
          <w:b w:val="1"/>
          <w:bCs w:val="1"/>
          <w:color w:val="auto"/>
        </w:rPr>
      </w:pPr>
    </w:p>
    <w:p>
      <w:pPr>
        <w:ind w:left="606" w:hanging="170"/>
        <w:spacing w:after="0"/>
        <w:tabs>
          <w:tab w:leader="none" w:pos="606" w:val="left"/>
        </w:tabs>
        <w:numPr>
          <w:ilvl w:val="0"/>
          <w:numId w:val="3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right="120" w:firstLine="98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Exercise Period of Option</w:t>
      </w:r>
      <w:r>
        <w:rPr>
          <w:rFonts w:ascii="Times New Roman" w:cs="Times New Roman" w:eastAsia="Times New Roman" w:hAnsi="Times New Roman"/>
          <w:sz w:val="18"/>
          <w:szCs w:val="18"/>
          <w:color w:val="auto"/>
        </w:rPr>
        <w:t>. Subject to the conditions set forth in this Agreement, this Option shall be exercisable during its term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Vesting/Exercise Schedule set forth in the Grant Notice. Notwithstanding any provision in the Plan or this Agreement to the contrary, on or after Optionee’s Termination Date, this Option may not be exercised with respect to any Shares that are Unvested Shares on Optionee’s Termination Date.</w:t>
      </w:r>
    </w:p>
    <w:p>
      <w:pPr>
        <w:spacing w:after="0" w:line="68" w:lineRule="exact"/>
        <w:rPr>
          <w:sz w:val="20"/>
          <w:szCs w:val="20"/>
          <w:color w:val="auto"/>
        </w:rPr>
      </w:pPr>
    </w:p>
    <w:p>
      <w:pPr>
        <w:jc w:val="both"/>
        <w:ind w:left="6" w:right="60" w:firstLine="981"/>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Vesting of Option Shares</w:t>
      </w:r>
      <w:r>
        <w:rPr>
          <w:rFonts w:ascii="Times New Roman" w:cs="Times New Roman" w:eastAsia="Times New Roman" w:hAnsi="Times New Roman"/>
          <w:sz w:val="18"/>
          <w:szCs w:val="18"/>
          <w:color w:val="auto"/>
        </w:rPr>
        <w:t>. Shares with respect to which this Option is vested and exercisable at a given time pursuant to the 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set forth in the Grant Notice are referred to herein as “</w:t>
      </w:r>
      <w:r>
        <w:rPr>
          <w:rFonts w:ascii="Times New Roman" w:cs="Times New Roman" w:eastAsia="Times New Roman" w:hAnsi="Times New Roman"/>
          <w:sz w:val="18"/>
          <w:szCs w:val="18"/>
          <w:b w:val="1"/>
          <w:bCs w:val="1"/>
          <w:i w:val="1"/>
          <w:iCs w:val="1"/>
          <w:color w:val="auto"/>
        </w:rPr>
        <w:t>Vested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Shares with respect to which this Option is not vested or exercisable at a given time pursuant to the Vesting Schedule set forth in the Grant Notice are referred to herein as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Unvested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62"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u w:val="single" w:color="auto"/>
          <w:color w:val="auto"/>
        </w:rPr>
        <w:t>Expiration</w:t>
      </w:r>
      <w:r>
        <w:rPr>
          <w:rFonts w:ascii="Times New Roman" w:cs="Times New Roman" w:eastAsia="Times New Roman" w:hAnsi="Times New Roman"/>
          <w:sz w:val="18"/>
          <w:szCs w:val="18"/>
          <w:color w:val="auto"/>
        </w:rPr>
        <w:t>. The Option shall expire on the Expiration Date set forth in the Grant Notice or earlier as provided in Section 3 below.</w:t>
      </w:r>
    </w:p>
    <w:p>
      <w:pPr>
        <w:spacing w:after="0" w:line="114"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b w:val="1"/>
          <w:bCs w:val="1"/>
          <w:color w:val="auto"/>
        </w:rPr>
        <w:t>3. TERMINATION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firstLine="981"/>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3.1. </w:t>
      </w:r>
      <w:r>
        <w:rPr>
          <w:rFonts w:ascii="Times New Roman" w:cs="Times New Roman" w:eastAsia="Times New Roman" w:hAnsi="Times New Roman"/>
          <w:sz w:val="17"/>
          <w:szCs w:val="17"/>
          <w:b w:val="1"/>
          <w:bCs w:val="1"/>
          <w:u w:val="single" w:color="auto"/>
          <w:color w:val="auto"/>
        </w:rPr>
        <w:t>Termination for Any Reason Except Death, Disability or Cause</w:t>
      </w:r>
      <w:r>
        <w:rPr>
          <w:rFonts w:ascii="Times New Roman" w:cs="Times New Roman" w:eastAsia="Times New Roman" w:hAnsi="Times New Roman"/>
          <w:sz w:val="17"/>
          <w:szCs w:val="17"/>
          <w:color w:val="auto"/>
        </w:rPr>
        <w:t>. Except as provided in subsection 3.2 in a case in which Optionee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dies within three (3) months after Optionee’s service as an executive, director, consultant, other service provider or key employee of the Company (“</w:t>
      </w:r>
      <w:r>
        <w:rPr>
          <w:rFonts w:ascii="Times New Roman" w:cs="Times New Roman" w:eastAsia="Times New Roman" w:hAnsi="Times New Roman"/>
          <w:sz w:val="17"/>
          <w:szCs w:val="17"/>
          <w:b w:val="1"/>
          <w:bCs w:val="1"/>
          <w:i w:val="1"/>
          <w:iCs w:val="1"/>
          <w:color w:val="auto"/>
        </w:rPr>
        <w:t>Service</w:t>
      </w:r>
      <w:r>
        <w:rPr>
          <w:rFonts w:ascii="Times New Roman" w:cs="Times New Roman" w:eastAsia="Times New Roman" w:hAnsi="Times New Roman"/>
          <w:sz w:val="17"/>
          <w:szCs w:val="17"/>
          <w:color w:val="auto"/>
        </w:rPr>
        <w:t>”) is terminated other than for Cause, if Optionee’s Service is terminated for any reason (other than Optionee’s death or Disability or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no later than one</w:t>
      </w:r>
    </w:p>
    <w:p>
      <w:pPr>
        <w:ind w:left="5406" w:right="2460" w:hanging="5406"/>
        <w:spacing w:after="0" w:line="426" w:lineRule="auto"/>
        <w:tabs>
          <w:tab w:leader="none" w:pos="253"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after Optionee’s Termination Date (but in no event may this Option be exercised after the Expiration Date). 3</w:t>
      </w:r>
    </w:p>
    <w:p>
      <w:pPr>
        <w:sectPr>
          <w:pgSz w:w="11900" w:h="16838" w:orient="portrait"/>
          <w:cols w:equalWidth="0" w:num="1">
            <w:col w:w="10846"/>
          </w:cols>
          <w:pgMar w:left="494" w:top="264" w:right="559" w:bottom="1440" w:gutter="0" w:footer="0" w:header="0"/>
        </w:sectPr>
      </w:pPr>
    </w:p>
    <w:bookmarkStart w:id="463" w:name="page464"/>
    <w:bookmarkEnd w:id="463"/>
    <w:p>
      <w:pPr>
        <w:ind w:right="20" w:firstLine="98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8">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3.2. </w:t>
      </w:r>
      <w:r>
        <w:rPr>
          <w:rFonts w:ascii="Times New Roman" w:cs="Times New Roman" w:eastAsia="Times New Roman" w:hAnsi="Times New Roman"/>
          <w:sz w:val="18"/>
          <w:szCs w:val="18"/>
          <w:b w:val="1"/>
          <w:bCs w:val="1"/>
          <w:u w:val="single" w:color="auto"/>
          <w:color w:val="auto"/>
        </w:rPr>
        <w:t>Termination Because of Death or Disability</w:t>
      </w:r>
      <w:r>
        <w:rPr>
          <w:rFonts w:ascii="Times New Roman" w:cs="Times New Roman" w:eastAsia="Times New Roman" w:hAnsi="Times New Roman"/>
          <w:sz w:val="18"/>
          <w:szCs w:val="18"/>
          <w:color w:val="auto"/>
        </w:rPr>
        <w:t>. If Optionee’s Service is terminated because of Optionee’s death or Disability (or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dies within three (3) months of the date Optionee’s Service terminates for any reason other than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(or Optionee’s legal representative) no later than six (6) months after Optionee’s Termination Date, but in no event later than the Expiration Date.</w:t>
      </w:r>
    </w:p>
    <w:p>
      <w:pPr>
        <w:spacing w:after="0" w:line="75" w:lineRule="exact"/>
        <w:rPr>
          <w:sz w:val="20"/>
          <w:szCs w:val="20"/>
          <w:color w:val="auto"/>
        </w:rPr>
      </w:pPr>
    </w:p>
    <w:p>
      <w:pPr>
        <w:ind w:right="60" w:firstLine="98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Termination for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Optionee’s Service terminates for Cause, then Optionee may exercise this Option, but only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Shares that are Vested Shares on Optionee’s Termination Date, and this Option shall expire on Optionee’s Termination Date, or at such later time and on such conditions as may be affirmatively determined by the Board. On and after Optionee’s Termination Date, this Option shall expire immediately with respect to any Shares that are Unvested Shares and may not be exercised with respect to any Shares that are Unvested Shares on Optionee’s Termination Date.</w:t>
      </w:r>
    </w:p>
    <w:p>
      <w:pPr>
        <w:spacing w:after="0" w:line="72" w:lineRule="exact"/>
        <w:rPr>
          <w:sz w:val="20"/>
          <w:szCs w:val="20"/>
          <w:color w:val="auto"/>
        </w:rPr>
      </w:pPr>
    </w:p>
    <w:p>
      <w:pPr>
        <w:ind w:right="100" w:firstLine="981"/>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No Obligation to Employ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the Plan or this Agreement shall confer on Optionee any right to continue in the employ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relationship with, the Company, or limit in any way the right of the Company to terminate Optionee’s employment or other relationship at any time, with or without Cause.</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4. MANNER OF EXERCISE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81"/>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Stock Option Exercise Notice and Agreement</w:t>
      </w:r>
      <w:r>
        <w:rPr>
          <w:rFonts w:ascii="Times New Roman" w:cs="Times New Roman" w:eastAsia="Times New Roman" w:hAnsi="Times New Roman"/>
          <w:sz w:val="18"/>
          <w:szCs w:val="18"/>
          <w:color w:val="auto"/>
        </w:rPr>
        <w:t>. To exercise this Option, Optionee (or in the case of exercise after Optionee’s death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incapacity, Optionee’s executor, administrator, heir or legatee, as the case may be) must deliver to the Company an executed Stock Option Exercise Notice and Agreement in the form attached hereto as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,or in such other form as may be approved by the Board from time to time (the “</w:t>
      </w:r>
      <w:r>
        <w:rPr>
          <w:rFonts w:ascii="Times New Roman" w:cs="Times New Roman" w:eastAsia="Times New Roman" w:hAnsi="Times New Roman"/>
          <w:sz w:val="18"/>
          <w:szCs w:val="18"/>
          <w:b w:val="1"/>
          <w:bCs w:val="1"/>
          <w:i w:val="1"/>
          <w:i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payment for the shares being purchased in accordance with this Agreement. The Exercise Agreement shall set forth, among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things, (i) Optionee’s election to exercise this Option, (ii) the number of Vested Shares being purchased, (iii) any representations, warranties and agreements regarding Optionee’s investment intent and access to information as may be required by the Company to comply with applicable securities laws in connection with any exercise of this Option, (iv) any other agreements required by the Company, and (v) Optionee’s obligation to execute and deliver certain Stock Powers and Assignments Separate from Stock Certificate to the Company. If someone other than Optionee exercises this Option, then such person must submit documentation reasonably acceptable to the Company verifying that such person has the legal right to exercise this Option and such person shall be subject to all of the restrictions contained herein as if such person were Optionee.</w:t>
      </w:r>
    </w:p>
    <w:p>
      <w:pPr>
        <w:spacing w:after="0" w:line="79" w:lineRule="exact"/>
        <w:rPr>
          <w:sz w:val="20"/>
          <w:szCs w:val="20"/>
          <w:color w:val="auto"/>
        </w:rPr>
      </w:pPr>
    </w:p>
    <w:p>
      <w:pPr>
        <w:ind w:right="40" w:firstLine="981"/>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Limitations on Exercise</w:t>
      </w:r>
      <w:r>
        <w:rPr>
          <w:rFonts w:ascii="Times New Roman" w:cs="Times New Roman" w:eastAsia="Times New Roman" w:hAnsi="Times New Roman"/>
          <w:sz w:val="18"/>
          <w:szCs w:val="18"/>
          <w:color w:val="auto"/>
        </w:rPr>
        <w:t>. This Option may not be exercised unless such exercise is in compliance with all applicable federal and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laws, as they are in effect on the date of exercise.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63" w:right="519" w:bottom="1440" w:gutter="0" w:footer="0" w:header="0"/>
        </w:sectPr>
      </w:pPr>
    </w:p>
    <w:bookmarkStart w:id="464" w:name="page465"/>
    <w:bookmarkEnd w:id="464"/>
    <w:p>
      <w:pPr>
        <w:ind w:right="40" w:firstLine="981"/>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4.3. </w:t>
      </w: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color w:val="auto"/>
        </w:rPr>
        <w:t>. The Exercise Agreement shall be accompanied by full payment of the Exercise Price for the shares being purchased in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check or wire transfer), or where permitted by law:</w:t>
      </w:r>
    </w:p>
    <w:p>
      <w:pPr>
        <w:spacing w:after="0" w:line="52" w:lineRule="exact"/>
        <w:rPr>
          <w:sz w:val="20"/>
          <w:szCs w:val="20"/>
          <w:color w:val="auto"/>
        </w:rPr>
      </w:pPr>
    </w:p>
    <w:p>
      <w:pPr>
        <w:ind w:right="20" w:firstLine="1411"/>
        <w:spacing w:after="0" w:line="257" w:lineRule="auto"/>
        <w:tabs>
          <w:tab w:leader="none" w:pos="1659"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surrender of shares of the Company held for at least six months by the Optionee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 (ii) that were obtained by Optionee in the public market;</w:t>
      </w:r>
    </w:p>
    <w:p>
      <w:pPr>
        <w:spacing w:after="0" w:line="75" w:lineRule="exact"/>
        <w:rPr>
          <w:rFonts w:ascii="Times New Roman" w:cs="Times New Roman" w:eastAsia="Times New Roman" w:hAnsi="Times New Roman"/>
          <w:sz w:val="18"/>
          <w:szCs w:val="18"/>
          <w:color w:val="auto"/>
        </w:rPr>
      </w:pPr>
    </w:p>
    <w:p>
      <w:pPr>
        <w:ind w:right="60" w:firstLine="1411"/>
        <w:spacing w:after="0" w:line="257" w:lineRule="auto"/>
        <w:tabs>
          <w:tab w:leader="none" w:pos="1669"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a public market for the Common Stock exists, subject to compliance with applicable law,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 or</w:t>
      </w:r>
    </w:p>
    <w:p>
      <w:pPr>
        <w:spacing w:after="0" w:line="75" w:lineRule="exact"/>
        <w:rPr>
          <w:rFonts w:ascii="Times New Roman" w:cs="Times New Roman" w:eastAsia="Times New Roman" w:hAnsi="Times New Roman"/>
          <w:sz w:val="18"/>
          <w:szCs w:val="18"/>
          <w:color w:val="auto"/>
        </w:rPr>
      </w:pPr>
    </w:p>
    <w:p>
      <w:pPr>
        <w:ind w:right="100" w:firstLine="1411"/>
        <w:spacing w:after="0" w:line="277" w:lineRule="auto"/>
        <w:tabs>
          <w:tab w:leader="none" w:pos="1659"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foregoing or any other method of payment approved by the Board that constitutes legal consideration for the issuance of Shares.</w:t>
      </w:r>
    </w:p>
    <w:p>
      <w:pPr>
        <w:spacing w:after="0" w:line="53" w:lineRule="exact"/>
        <w:rPr>
          <w:sz w:val="20"/>
          <w:szCs w:val="20"/>
          <w:color w:val="auto"/>
        </w:rPr>
      </w:pPr>
    </w:p>
    <w:p>
      <w:pPr>
        <w:ind w:right="40" w:firstLine="98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Prior to the issuance of the Shares upon exercise of the Option, Optionee must pay or provide for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state and local withholding obligations of the Company. If the Board permits, Optionee may provide for payment of withholding taxes upon exercise of the Option by requesting that the Company retain the minimum number of Shares with a Fair Market Value equal to the minimum amount of taxes required to be withheld; or to arrange a mandatory “sell to cover” on Participant’s behalf (without further authorization); but in no event will the Company withhold Shares or “sell to cover” if such withholding would result in adverse accounting consequences to the Company. In case of stock withholding or a sell to cover, the Company shall issue the net number of Shares to the Optionee by deducting the Shares retained from the Shares issuable upon exercise.</w:t>
      </w:r>
    </w:p>
    <w:p>
      <w:pPr>
        <w:spacing w:after="0" w:line="76" w:lineRule="exact"/>
        <w:rPr>
          <w:sz w:val="20"/>
          <w:szCs w:val="20"/>
          <w:color w:val="auto"/>
        </w:rPr>
      </w:pPr>
    </w:p>
    <w:p>
      <w:pPr>
        <w:ind w:right="220" w:firstLine="981"/>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4.5. </w:t>
      </w:r>
      <w:r>
        <w:rPr>
          <w:rFonts w:ascii="Times New Roman" w:cs="Times New Roman" w:eastAsia="Times New Roman" w:hAnsi="Times New Roman"/>
          <w:sz w:val="17"/>
          <w:szCs w:val="17"/>
          <w:b w:val="1"/>
          <w:bCs w:val="1"/>
          <w:u w:val="single" w:color="auto"/>
          <w:color w:val="auto"/>
        </w:rPr>
        <w:t>Issuance of Shares</w:t>
      </w:r>
      <w:r>
        <w:rPr>
          <w:rFonts w:ascii="Times New Roman" w:cs="Times New Roman" w:eastAsia="Times New Roman" w:hAnsi="Times New Roman"/>
          <w:sz w:val="17"/>
          <w:szCs w:val="17"/>
          <w:color w:val="auto"/>
        </w:rPr>
        <w:t>. Provided that the Exercise Agreement and payment are in form and substance satisfactory to counsel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the Company shall issue the Shares issuable upon a valid exercise of this Option registered in the name of Optionee, Optionee’s authorized assignee, or Optionee’s legal representative, and shall deliver certificates representing the Shares with the appropriate legends affixed thereto.</w:t>
      </w:r>
    </w:p>
    <w:p>
      <w:pPr>
        <w:spacing w:after="0" w:line="47" w:lineRule="exact"/>
        <w:rPr>
          <w:sz w:val="20"/>
          <w:szCs w:val="20"/>
          <w:color w:val="auto"/>
        </w:rPr>
      </w:pPr>
    </w:p>
    <w:p>
      <w:pPr>
        <w:ind w:firstLine="430"/>
        <w:spacing w:after="0" w:line="252" w:lineRule="auto"/>
        <w:tabs>
          <w:tab w:leader="none" w:pos="614" w:val="left"/>
        </w:tabs>
        <w:numPr>
          <w:ilvl w:val="0"/>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LAWS AND REGULATIONS. </w:t>
      </w:r>
      <w:r>
        <w:rPr>
          <w:rFonts w:ascii="Times New Roman" w:cs="Times New Roman" w:eastAsia="Times New Roman" w:hAnsi="Times New Roman"/>
          <w:sz w:val="18"/>
          <w:szCs w:val="18"/>
          <w:color w:val="auto"/>
        </w:rPr>
        <w:t>The Plan and this Agreement are intended to comply with Section 25102(o)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California Corporations Code (“</w:t>
      </w:r>
      <w:r>
        <w:rPr>
          <w:rFonts w:ascii="Times New Roman" w:cs="Times New Roman" w:eastAsia="Times New Roman" w:hAnsi="Times New Roman"/>
          <w:sz w:val="18"/>
          <w:szCs w:val="18"/>
          <w:b w:val="1"/>
          <w:bCs w:val="1"/>
          <w:i w:val="1"/>
          <w:iCs w:val="1"/>
          <w:color w:val="auto"/>
        </w:rPr>
        <w:t>Section 25102(o)</w:t>
      </w:r>
      <w:r>
        <w:rPr>
          <w:rFonts w:ascii="Times New Roman" w:cs="Times New Roman" w:eastAsia="Times New Roman" w:hAnsi="Times New Roman"/>
          <w:sz w:val="18"/>
          <w:szCs w:val="18"/>
          <w:color w:val="auto"/>
        </w:rPr>
        <w:t xml:space="preserve">”) and Rule 701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promulgated by the Securities and Exchange Commission under the Securities Act of 1933, as amended (“</w:t>
      </w:r>
      <w:r>
        <w:rPr>
          <w:rFonts w:ascii="Times New Roman" w:cs="Times New Roman" w:eastAsia="Times New Roman" w:hAnsi="Times New Roman"/>
          <w:sz w:val="18"/>
          <w:szCs w:val="18"/>
          <w:b w:val="1"/>
          <w:bCs w:val="1"/>
          <w:i w:val="1"/>
          <w:iCs w:val="1"/>
          <w:color w:val="auto"/>
        </w:rPr>
        <w:t>Rule 701</w:t>
      </w:r>
      <w:r>
        <w:rPr>
          <w:rFonts w:ascii="Times New Roman" w:cs="Times New Roman" w:eastAsia="Times New Roman" w:hAnsi="Times New Roman"/>
          <w:sz w:val="18"/>
          <w:szCs w:val="18"/>
          <w:color w:val="auto"/>
        </w:rPr>
        <w:t>”). Any provision of this Agreement that is inconsistent with Section 25102(o) or Rule 701 shall, without further act or amendment by the Company or the Board, be reformed to comply with the requirements of Section 25102(o) and/or Rule 701. The exercise of this Option and the issuance and transfer of Shares shall be subject to compliance by the Company and Optionee with all applicable requirements of federal and state securities laws and with all applicable requirements of any stock exchange on which the Common Stock may be listed at the time of such issuance or transfer. Optionee understands that the Company is under no obligation to register or qualify the Shares with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any state securities commission or any stock exchange to effect such compliance.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500" w:top="263" w:right="519" w:bottom="1440" w:gutter="0" w:footer="0" w:header="0"/>
        </w:sectPr>
      </w:pPr>
    </w:p>
    <w:bookmarkStart w:id="465" w:name="page466"/>
    <w:bookmarkEnd w:id="465"/>
    <w:p>
      <w:pPr>
        <w:ind w:right="60" w:firstLine="430"/>
        <w:spacing w:after="0" w:line="265" w:lineRule="auto"/>
        <w:tabs>
          <w:tab w:leader="none" w:pos="614" w:val="left"/>
        </w:tabs>
        <w:numPr>
          <w:ilvl w:val="0"/>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NONTRANSFERABILITY OF OPTION. </w:t>
      </w:r>
      <w:r>
        <w:rPr>
          <w:rFonts w:ascii="Times New Roman" w:cs="Times New Roman" w:eastAsia="Times New Roman" w:hAnsi="Times New Roman"/>
          <w:sz w:val="18"/>
          <w:szCs w:val="18"/>
          <w:color w:val="auto"/>
        </w:rPr>
        <w:t>This Option may not be transferred in any manner other than by will or by the laws of descent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62" w:lineRule="exact"/>
        <w:rPr>
          <w:rFonts w:ascii="Times New Roman" w:cs="Times New Roman" w:eastAsia="Times New Roman" w:hAnsi="Times New Roman"/>
          <w:sz w:val="18"/>
          <w:szCs w:val="18"/>
          <w:b w:val="1"/>
          <w:bCs w:val="1"/>
          <w:color w:val="auto"/>
        </w:rPr>
      </w:pPr>
    </w:p>
    <w:p>
      <w:pPr>
        <w:ind w:left="600" w:hanging="170"/>
        <w:spacing w:after="0"/>
        <w:tabs>
          <w:tab w:leader="none" w:pos="600" w:val="left"/>
        </w:tabs>
        <w:numPr>
          <w:ilvl w:val="0"/>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TRANSFER OF SHARES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981"/>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color w:val="auto"/>
        </w:rPr>
        <w:t>. Optionee agrees that Optionee shall not transfer, assign, grant a lien or security interest in, pledge, hypothecate, encumber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dispose of (including, without limitation, a transfer by gift or operation of law)(collectively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any of the Shares (or any interest therein) unless and until:</w:t>
      </w:r>
    </w:p>
    <w:p>
      <w:pPr>
        <w:spacing w:after="0" w:line="66" w:lineRule="exact"/>
        <w:rPr>
          <w:sz w:val="20"/>
          <w:szCs w:val="20"/>
          <w:color w:val="auto"/>
        </w:rPr>
      </w:pPr>
    </w:p>
    <w:p>
      <w:pPr>
        <w:ind w:right="100" w:firstLine="1411"/>
        <w:spacing w:after="0" w:line="277" w:lineRule="auto"/>
        <w:tabs>
          <w:tab w:leader="none" w:pos="1659"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notified the Company of the proposed Transfer and provided a written summary of the terms and conditions of the proposed disposition;</w:t>
      </w:r>
    </w:p>
    <w:p>
      <w:pPr>
        <w:spacing w:after="0" w:line="56" w:lineRule="exact"/>
        <w:rPr>
          <w:rFonts w:ascii="Times New Roman" w:cs="Times New Roman" w:eastAsia="Times New Roman" w:hAnsi="Times New Roman"/>
          <w:sz w:val="18"/>
          <w:szCs w:val="18"/>
          <w:color w:val="auto"/>
        </w:rPr>
      </w:pPr>
    </w:p>
    <w:p>
      <w:pPr>
        <w:ind w:right="140" w:firstLine="1411"/>
        <w:spacing w:after="0" w:line="277" w:lineRule="auto"/>
        <w:tabs>
          <w:tab w:leader="none" w:pos="1669"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complied with all requirements of this Agreement, the Company’s Bylaws and Certificate of Incorporation, the Stockholders Agreement and other agreements applicable to the Transfer of the Shares;</w:t>
      </w:r>
    </w:p>
    <w:p>
      <w:pPr>
        <w:spacing w:after="0" w:line="56" w:lineRule="exact"/>
        <w:rPr>
          <w:rFonts w:ascii="Times New Roman" w:cs="Times New Roman" w:eastAsia="Times New Roman" w:hAnsi="Times New Roman"/>
          <w:sz w:val="18"/>
          <w:szCs w:val="18"/>
          <w:color w:val="auto"/>
        </w:rPr>
      </w:pPr>
    </w:p>
    <w:p>
      <w:pPr>
        <w:ind w:right="40" w:firstLine="1411"/>
        <w:spacing w:after="0" w:line="255" w:lineRule="auto"/>
        <w:tabs>
          <w:tab w:leader="none" w:pos="1659"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provided the Company with written assurances, in form and substance satisfactory to counsel for the Company, which may include without limitation an opinion of counsel, that (i) the proposed disposition does not require registration of the Shares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or under any applicable state securities laws and (ii) all appropriate actions necessary for compliance with the registration requirements of the Securities Act or of any exemption from registration available under the Securities Act (including Rule 144) or applicable state securities laws have been taken; and</w:t>
      </w:r>
    </w:p>
    <w:p>
      <w:pPr>
        <w:spacing w:after="0" w:line="75" w:lineRule="exact"/>
        <w:rPr>
          <w:rFonts w:ascii="Times New Roman" w:cs="Times New Roman" w:eastAsia="Times New Roman" w:hAnsi="Times New Roman"/>
          <w:sz w:val="18"/>
          <w:szCs w:val="18"/>
          <w:color w:val="auto"/>
        </w:rPr>
      </w:pPr>
    </w:p>
    <w:p>
      <w:pPr>
        <w:ind w:right="220" w:firstLine="1411"/>
        <w:spacing w:after="0" w:line="255" w:lineRule="auto"/>
        <w:tabs>
          <w:tab w:leader="none" w:pos="1669"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provided the Company with written assurances, in form and substance satisfactory to the Company, which may include without limitation an opinion of counsel, that the proposed disposition will not result in the contravention of any transfer restrictions applicable to the Shares pursuant to the provisions of the regulations promulgated under Section 25102(o), Rule 701 or under any other applicable securities laws or adversely affect the Company’s ability to rely on the exemption(s) from registration under the Securities Act or under any other applicable securities laws for the grant of the Option, the issuance of Shares thereunder or any other issuance of securities under the Plan.</w:t>
      </w:r>
    </w:p>
    <w:p>
      <w:pPr>
        <w:spacing w:after="0" w:line="72" w:lineRule="exact"/>
        <w:rPr>
          <w:sz w:val="20"/>
          <w:szCs w:val="20"/>
          <w:color w:val="auto"/>
        </w:rPr>
      </w:pPr>
    </w:p>
    <w:p>
      <w:pPr>
        <w:ind w:right="220" w:firstLine="981"/>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Restriction on Transfer</w:t>
      </w:r>
      <w:r>
        <w:rPr>
          <w:rFonts w:ascii="Times New Roman" w:cs="Times New Roman" w:eastAsia="Times New Roman" w:hAnsi="Times New Roman"/>
          <w:sz w:val="18"/>
          <w:szCs w:val="18"/>
          <w:color w:val="auto"/>
        </w:rPr>
        <w:t>. Optionee shall not Transfer any of the Shares (or any interest therein) which are subject 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Option or the Stockholders Agreement, except as permitted by this Agreement and the Stockholders Agreement.</w:t>
      </w:r>
    </w:p>
    <w:p>
      <w:pPr>
        <w:spacing w:after="0" w:line="48" w:lineRule="exact"/>
        <w:rPr>
          <w:sz w:val="20"/>
          <w:szCs w:val="20"/>
          <w:color w:val="auto"/>
        </w:rPr>
      </w:pPr>
    </w:p>
    <w:p>
      <w:pPr>
        <w:ind w:firstLine="98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u w:val="single" w:color="auto"/>
          <w:color w:val="auto"/>
        </w:rPr>
        <w:t>Transferee Obligations</w:t>
      </w:r>
      <w:r>
        <w:rPr>
          <w:rFonts w:ascii="Times New Roman" w:cs="Times New Roman" w:eastAsia="Times New Roman" w:hAnsi="Times New Roman"/>
          <w:sz w:val="18"/>
          <w:szCs w:val="18"/>
          <w:color w:val="auto"/>
        </w:rPr>
        <w:t>. Each person (other than the Company) to whom the Shares (or any interest therein) are Transferred by means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one of the permitted transfers specified in this Agreement or the Stockholders Agreement must, as a condition precedent to the validity of such transfer, acknowledge in writing satisfactory to the Company that such person is bound by the provisions of this Agreement and that the transferred Shares are subject to (i) each the Company’s Repurchase Option and the Stockholders Agreement and (ii) the market stand-off provisions of Section 8 below, to the same extent such Shares would be so subject if retained by Optionee.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500" w:top="264" w:right="499" w:bottom="1440" w:gutter="0" w:footer="0" w:header="0"/>
        </w:sectPr>
      </w:pPr>
    </w:p>
    <w:bookmarkStart w:id="466" w:name="page467"/>
    <w:bookmarkEnd w:id="466"/>
    <w:p>
      <w:pPr>
        <w:ind w:firstLine="430"/>
        <w:spacing w:after="0" w:line="249" w:lineRule="auto"/>
        <w:tabs>
          <w:tab w:leader="none" w:pos="614"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MARKET STANDOFF AGREEMENT. </w:t>
      </w:r>
      <w:r>
        <w:rPr>
          <w:rFonts w:ascii="Times New Roman" w:cs="Times New Roman" w:eastAsia="Times New Roman" w:hAnsi="Times New Roman"/>
          <w:sz w:val="18"/>
          <w:szCs w:val="18"/>
          <w:color w:val="auto"/>
        </w:rPr>
        <w:t>In connection with the initial public offering of the Company’s securities and upon request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the underwriters managing such offering of the Company’s securities, Optionee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securities of the Company however or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In addition, upon request of the Company or the underwriters managing a public offering of the Company’s securities (other than the initial public offering), Optionee hereby agrees to be bound by similar restrictions, and to sign a similar agreement as may be requested by the underwriters, in connection with no more than one additional registration statement filed within 12 months after the closing date of the initial public offering, provided that the duration of the lock-up period with respect to such additional registration shall not exceed 90 days from the effective date of such additional registration statement.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 In order to enforce the foregoing covenants, the Company shall have the right to place restrictive legends on the certificates representing the Shares subject to this Section and to impose stop transfer instructions with respect to the Shares until the end of such period.</w:t>
      </w:r>
    </w:p>
    <w:p>
      <w:pPr>
        <w:spacing w:after="0" w:line="87" w:lineRule="exact"/>
        <w:rPr>
          <w:rFonts w:ascii="Times New Roman" w:cs="Times New Roman" w:eastAsia="Times New Roman" w:hAnsi="Times New Roman"/>
          <w:sz w:val="18"/>
          <w:szCs w:val="18"/>
          <w:b w:val="1"/>
          <w:bCs w:val="1"/>
          <w:color w:val="auto"/>
        </w:rPr>
      </w:pPr>
    </w:p>
    <w:p>
      <w:pPr>
        <w:ind w:left="600" w:hanging="170"/>
        <w:spacing w:after="0"/>
        <w:tabs>
          <w:tab w:leader="none" w:pos="600"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AGREEMENT</w:t>
      </w:r>
    </w:p>
    <w:p>
      <w:pPr>
        <w:spacing w:after="0" w:line="118" w:lineRule="exact"/>
        <w:rPr>
          <w:sz w:val="20"/>
          <w:szCs w:val="20"/>
          <w:color w:val="auto"/>
        </w:rPr>
      </w:pPr>
    </w:p>
    <w:p>
      <w:pPr>
        <w:ind w:right="40" w:firstLine="981"/>
        <w:spacing w:after="0" w:line="253" w:lineRule="auto"/>
        <w:rPr>
          <w:sz w:val="20"/>
          <w:szCs w:val="20"/>
          <w:color w:val="auto"/>
        </w:rPr>
      </w:pPr>
      <w:r>
        <w:rPr>
          <w:rFonts w:ascii="Times New Roman" w:cs="Times New Roman" w:eastAsia="Times New Roman" w:hAnsi="Times New Roman"/>
          <w:sz w:val="18"/>
          <w:szCs w:val="18"/>
          <w:color w:val="auto"/>
        </w:rPr>
        <w:t>Concurrent with Optionee’s exercise of all or any portion of the Option, Optionee and, if married, his or her spouse, shall execute and deliver to the Company a counterpart to the Stockholders Agreement, as amended, binding the Optionee and his or her spouse to the terms contained therein. If Optionee becomes legally married (whether in the first instance or to a different spouse) subsequent to the exercise of all or any portion of the Option, but prior to the Termination Date, Optionee shall cause Optionee’s spouse to execute and deliver to the Company a counterpart to the Stockholders Agreement, as amended. In the event of a conflict between such Stockholders Agreement, the Plan and this Agreement, the Stockholders Agreement shall prevail.</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10. REPURCHASE OPTION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00" w:firstLine="981"/>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b w:val="1"/>
          <w:bCs w:val="1"/>
          <w:u w:val="single" w:color="auto"/>
          <w:color w:val="auto"/>
        </w:rPr>
        <w:t>Repurchase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Optionee is no longer employed (or in the case of an Optionee who was not an employee, the date on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Optionee is no longer acting as a director or officer of, or consultant or advisor to, the Company or any of its subsidiaries) by the Company or its subsidiaries for any reason, the Shares (whether held by such Optionee or one or more transferees of such</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500" w:top="264" w:right="519" w:bottom="1440" w:gutter="0" w:footer="0" w:header="0"/>
        </w:sectPr>
      </w:pPr>
    </w:p>
    <w:bookmarkStart w:id="467" w:name="page468"/>
    <w:bookmarkEnd w:id="467"/>
    <w:p>
      <w:pPr>
        <w:ind w:right="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Optionee, other than the Company or any Investor (as defined in the Stockholders Agreement)) will be subject to repurchase by the Company and the Investors (each of the aforementioned solely at their option and the latter on a pro rata basis in accordance with their respective percentage of ownership of the Company’s Common Stock on a fully diluted and as-converted basis) pursuant to the terms and conditions set forth in this Section 10 (the “</w:t>
      </w:r>
      <w:r>
        <w:rPr>
          <w:rFonts w:ascii="Times New Roman" w:cs="Times New Roman" w:eastAsia="Times New Roman" w:hAnsi="Times New Roman"/>
          <w:sz w:val="18"/>
          <w:szCs w:val="18"/>
          <w:b w:val="1"/>
          <w:bCs w:val="1"/>
          <w:i w:val="1"/>
          <w:iCs w:val="1"/>
          <w:color w:val="auto"/>
        </w:rPr>
        <w:t>Repurchase Option</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right="140" w:firstLine="98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10.2. </w:t>
      </w:r>
      <w:r>
        <w:rPr>
          <w:rFonts w:ascii="Times New Roman" w:cs="Times New Roman" w:eastAsia="Times New Roman" w:hAnsi="Times New Roman"/>
          <w:sz w:val="18"/>
          <w:szCs w:val="18"/>
          <w:b w:val="1"/>
          <w:bCs w:val="1"/>
          <w:u w:val="single" w:color="auto"/>
          <w:color w:val="auto"/>
        </w:rPr>
        <w:t>Repurchase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Termination Date of any Optionee, the Company and the Investors may elect to repurchase all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portion of the Shares held by such Optionee at a price per share equal to (i) in the event of such Optionee’s termination for Cause, at the lower of Original Cost or Fair Market Value (as of the Termination Date) and (ii) otherwise (including, but not limited to, a resignation other than for Good Reason and termination without Cause), at Fair Market Value (as of the Termination Date).</w:t>
      </w:r>
    </w:p>
    <w:p>
      <w:pPr>
        <w:spacing w:after="0" w:line="68" w:lineRule="exact"/>
        <w:rPr>
          <w:sz w:val="20"/>
          <w:szCs w:val="20"/>
          <w:color w:val="auto"/>
        </w:rPr>
      </w:pPr>
    </w:p>
    <w:p>
      <w:pPr>
        <w:ind w:firstLine="981"/>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10.3. </w:t>
      </w:r>
      <w:r>
        <w:rPr>
          <w:rFonts w:ascii="Times New Roman" w:cs="Times New Roman" w:eastAsia="Times New Roman" w:hAnsi="Times New Roman"/>
          <w:sz w:val="18"/>
          <w:szCs w:val="18"/>
          <w:b w:val="1"/>
          <w:bCs w:val="1"/>
          <w:u w:val="single" w:color="auto"/>
          <w:color w:val="auto"/>
        </w:rPr>
        <w:t>Repurchase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elect to exercise the Repurchase Option to purchase any amount of the Shares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Repurchase Option by delivering written notice (the “</w:t>
      </w:r>
      <w:r>
        <w:rPr>
          <w:rFonts w:ascii="Times New Roman" w:cs="Times New Roman" w:eastAsia="Times New Roman" w:hAnsi="Times New Roman"/>
          <w:sz w:val="18"/>
          <w:szCs w:val="18"/>
          <w:b w:val="1"/>
          <w:bCs w:val="1"/>
          <w:i w:val="1"/>
          <w:iCs w:val="1"/>
          <w:color w:val="auto"/>
        </w:rPr>
        <w:t>Company Repurchase Notice</w:t>
      </w:r>
      <w:r>
        <w:rPr>
          <w:rFonts w:ascii="Times New Roman" w:cs="Times New Roman" w:eastAsia="Times New Roman" w:hAnsi="Times New Roman"/>
          <w:sz w:val="18"/>
          <w:szCs w:val="18"/>
          <w:color w:val="auto"/>
        </w:rPr>
        <w:t>”) to the holder or holders of the Shares and the Investors no later than the later of (A) 90 days after the Termination Date and (B) 90 days after the acquisition of the Shares subject to repurchase. To the extent that any portion of the Shares are not being repurchased by the Company, the Investors may elect to exercise the Repurchase Option to purchase up to their respective pro rata share of the remaining Shares by delivering written notice (an “</w:t>
      </w:r>
      <w:r>
        <w:rPr>
          <w:rFonts w:ascii="Times New Roman" w:cs="Times New Roman" w:eastAsia="Times New Roman" w:hAnsi="Times New Roman"/>
          <w:sz w:val="18"/>
          <w:szCs w:val="18"/>
          <w:b w:val="1"/>
          <w:bCs w:val="1"/>
          <w:i w:val="1"/>
          <w:iCs w:val="1"/>
          <w:color w:val="auto"/>
        </w:rPr>
        <w:t>Investor Repurchase Notice</w:t>
      </w:r>
      <w:r>
        <w:rPr>
          <w:rFonts w:ascii="Times New Roman" w:cs="Times New Roman" w:eastAsia="Times New Roman" w:hAnsi="Times New Roman"/>
          <w:sz w:val="18"/>
          <w:szCs w:val="18"/>
          <w:color w:val="auto"/>
        </w:rPr>
        <w:t>” and together with the Company Repurchase Notice, a “</w:t>
      </w:r>
      <w:r>
        <w:rPr>
          <w:rFonts w:ascii="Times New Roman" w:cs="Times New Roman" w:eastAsia="Times New Roman" w:hAnsi="Times New Roman"/>
          <w:sz w:val="18"/>
          <w:szCs w:val="18"/>
          <w:b w:val="1"/>
          <w:bCs w:val="1"/>
          <w:i w:val="1"/>
          <w:iCs w:val="1"/>
          <w:color w:val="auto"/>
        </w:rPr>
        <w:t>Repurchase Notice</w:t>
      </w:r>
      <w:r>
        <w:rPr>
          <w:rFonts w:ascii="Times New Roman" w:cs="Times New Roman" w:eastAsia="Times New Roman" w:hAnsi="Times New Roman"/>
          <w:sz w:val="18"/>
          <w:szCs w:val="18"/>
          <w:color w:val="auto"/>
        </w:rPr>
        <w:t>”) to the holder or holders of the applicable Shares within 10 business days of the expiration of the latest period during which the Company was entitled to deliver the Company Repurchase Notice. Each Repurchase Notice will set forth the number of Shares to be acquired from such holder(s), the aggregate consideration to be paid for such Shares and the time and place for the closing of the transaction. If any Shares are held by any transferees of Optionee, the Investors and the Company, as the case may be, will purchase the Shares elected to be purchased from such holder(s) of Shares, pro rata according to the number of Shares held by such holder(s) at the time of delivery of such Repurchase Notice (determined as nearly as practicable to the nearest share). If Shares of different classes are to be purchased pursuant to the Repurchase Option and Shares are held by any transferees of Optionee, the number of Shares of each class of Shares to be purchased will be allocated among such holders, pro rata according to the total number of Shares to be purchased from such Persons.</w:t>
      </w:r>
    </w:p>
    <w:p>
      <w:pPr>
        <w:spacing w:after="0" w:line="82" w:lineRule="exact"/>
        <w:rPr>
          <w:sz w:val="20"/>
          <w:szCs w:val="20"/>
          <w:color w:val="auto"/>
        </w:rPr>
      </w:pPr>
    </w:p>
    <w:p>
      <w:pPr>
        <w:ind w:firstLine="981"/>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10.4.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closing of the transactions contemplated by this Section 10 will take place on the date designated in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Notice, which date will not be more than 90 days after the delivery of such notice. Each Investor will pay for the Shares to be purchased by it by delivery of a check payable to the holder of such Shares. The Company will pay for the Shares to be purchased by it by first offsetting amounts outstanding under any bona fide debts owing by such Optionee to the Company or any of its subsidiaries, now existing or hereinafter arising (irrespective as to whether such amounts are owing by the holder of such Shares), and will pay the remainder of the purchase price by, at its option, delivery of (A) a check payable to the holder of such Shares, (B) if payment in accordance with clause (A) would result in a breach or default under the Company’s debt financing agreements, if any, a subordinated promissory note with a maturity date that does not exceed three years from the closing of the transactions contemplated by this Section 10, payable in equal monthly installments of principal and interest during the term of the note and bearing interest at a rate per annum equal to the greater of five percent (5%) and the then applicable short term federal rate, or (C) a combination of both (A) and (B), in the aggregate amount of the purchase price for such Shares. Any notes issued by the Company pursuant to this Section 10 shall be subject to any restrictive covenants 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500" w:top="268" w:right="539" w:bottom="1440" w:gutter="0" w:footer="0" w:header="0"/>
        </w:sectPr>
      </w:pPr>
    </w:p>
    <w:bookmarkStart w:id="468" w:name="page469"/>
    <w:bookmarkEnd w:id="468"/>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which the Company or its subsidiaries are subject at the time of such purchase. Notwithstanding anything to the contrary contained herein, all repurchases of Shares by the Company will be subject to applicable restrictions contained in the corporation law of the Company’s jurisdiction of incorporation and in the Company’s and its subsidiaries’ debt and equity financing agreements. If any such restrictions prohibit the repurchase of Shares hereunder which the Company is otherwise entitled to make, the Company may make such repurchases as soon as it is permitted to do so under such restrictions. The Investors and/or the Company, as the case may be, will receive customary representations and warranties from each seller regarding the sale of the Shares, including, but not limited to, representations that such seller has good and marketable title to the Shares to be transferred free and clear of all liens, claims and other encumbrances.</w:t>
      </w:r>
    </w:p>
    <w:p>
      <w:pPr>
        <w:spacing w:after="0" w:line="78" w:lineRule="exact"/>
        <w:rPr>
          <w:sz w:val="20"/>
          <w:szCs w:val="20"/>
          <w:color w:val="auto"/>
        </w:rPr>
      </w:pPr>
    </w:p>
    <w:p>
      <w:pPr>
        <w:ind w:right="80" w:firstLine="981"/>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10.5. </w:t>
      </w:r>
      <w:r>
        <w:rPr>
          <w:rFonts w:ascii="Times New Roman" w:cs="Times New Roman" w:eastAsia="Times New Roman" w:hAnsi="Times New Roman"/>
          <w:sz w:val="18"/>
          <w:szCs w:val="18"/>
          <w:color w:val="auto"/>
        </w:rPr>
        <w:t>This Section 10 shall terminate automatically and shall be of no further force and effect upon the earlier to occur of a consummation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Public Offering or a Sale of the Company.</w:t>
      </w:r>
    </w:p>
    <w:p>
      <w:pPr>
        <w:spacing w:after="0" w:line="48" w:lineRule="exact"/>
        <w:rPr>
          <w:sz w:val="20"/>
          <w:szCs w:val="20"/>
          <w:color w:val="auto"/>
        </w:rPr>
      </w:pPr>
    </w:p>
    <w:p>
      <w:pPr>
        <w:ind w:firstLine="430"/>
        <w:spacing w:after="0" w:line="252" w:lineRule="auto"/>
        <w:tabs>
          <w:tab w:leader="none" w:pos="693" w:val="left"/>
        </w:tabs>
        <w:numPr>
          <w:ilvl w:val="0"/>
          <w:numId w:val="3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AS A STOCKHOLDER. </w:t>
      </w:r>
      <w:r>
        <w:rPr>
          <w:rFonts w:ascii="Times New Roman" w:cs="Times New Roman" w:eastAsia="Times New Roman" w:hAnsi="Times New Roman"/>
          <w:sz w:val="18"/>
          <w:szCs w:val="18"/>
          <w:color w:val="auto"/>
        </w:rPr>
        <w:t>Optionee shall not have any of the rights of a stockholder with respect to any Shares unless and until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Repurchase Option or rights under the Stockholders Agreement. Upon an exercise of the rights under the Stockholders Agreement or Repurchase Option, Optionee will have no further rights as a holder of the Shares so purchased upon such exercise, other than the right to receive payment for the Shares so purchased in accordance with the provisions of this Agreement and the Stockholders Agreement, and Optionee will promptly surrender the stock certificate(s) evidencing the Shares so purchased to the Company for transfer or cancellation.</w:t>
      </w:r>
    </w:p>
    <w:p>
      <w:pPr>
        <w:spacing w:after="0" w:line="78" w:lineRule="exact"/>
        <w:rPr>
          <w:rFonts w:ascii="Times New Roman" w:cs="Times New Roman" w:eastAsia="Times New Roman" w:hAnsi="Times New Roman"/>
          <w:sz w:val="18"/>
          <w:szCs w:val="18"/>
          <w:b w:val="1"/>
          <w:bCs w:val="1"/>
          <w:color w:val="auto"/>
        </w:rPr>
      </w:pPr>
    </w:p>
    <w:p>
      <w:pPr>
        <w:ind w:firstLine="430"/>
        <w:spacing w:after="0" w:line="250" w:lineRule="auto"/>
        <w:tabs>
          <w:tab w:leader="none" w:pos="703" w:val="left"/>
        </w:tabs>
        <w:numPr>
          <w:ilvl w:val="0"/>
          <w:numId w:val="3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ESCROW. </w:t>
      </w:r>
      <w:r>
        <w:rPr>
          <w:rFonts w:ascii="Times New Roman" w:cs="Times New Roman" w:eastAsia="Times New Roman" w:hAnsi="Times New Roman"/>
          <w:sz w:val="18"/>
          <w:szCs w:val="18"/>
          <w:color w:val="auto"/>
        </w:rPr>
        <w:t>As security for Optionee’s faithful performance of this Agreement, Optionee agrees, immediately upon receipt of the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evidencing the Shares, to deliver such certificate(s), together with two (2) copies of a blank Stock Power and Assignment Separate from Stock Certificate in the form attached to the Exercise Agreement (the “</w:t>
      </w:r>
      <w:r>
        <w:rPr>
          <w:rFonts w:ascii="Times New Roman" w:cs="Times New Roman" w:eastAsia="Times New Roman" w:hAnsi="Times New Roman"/>
          <w:sz w:val="18"/>
          <w:szCs w:val="18"/>
          <w:b w:val="1"/>
          <w:bCs w:val="1"/>
          <w:i w:val="1"/>
          <w:iCs w:val="1"/>
          <w:color w:val="auto"/>
        </w:rPr>
        <w:t>Stock Powers</w:t>
      </w:r>
      <w:r>
        <w:rPr>
          <w:rFonts w:ascii="Times New Roman" w:cs="Times New Roman" w:eastAsia="Times New Roman" w:hAnsi="Times New Roman"/>
          <w:sz w:val="18"/>
          <w:szCs w:val="18"/>
          <w:color w:val="auto"/>
        </w:rPr>
        <w:t>”), both executed by Optionee (and Optionee’s spouse, if any) (with the transferee, certificate number, date and number of Shares left blank), to the Secretary of the Company or other designee of the Company (the “</w:t>
      </w:r>
      <w:r>
        <w:rPr>
          <w:rFonts w:ascii="Times New Roman" w:cs="Times New Roman" w:eastAsia="Times New Roman" w:hAnsi="Times New Roman"/>
          <w:sz w:val="18"/>
          <w:szCs w:val="18"/>
          <w:b w:val="1"/>
          <w:bCs w:val="1"/>
          <w:i w:val="1"/>
          <w:iCs w:val="1"/>
          <w:color w:val="auto"/>
        </w:rPr>
        <w:t>Escrow Holder</w:t>
      </w:r>
      <w:r>
        <w:rPr>
          <w:rFonts w:ascii="Times New Roman" w:cs="Times New Roman" w:eastAsia="Times New Roman" w:hAnsi="Times New Roman"/>
          <w:sz w:val="18"/>
          <w:szCs w:val="18"/>
          <w:color w:val="auto"/>
        </w:rPr>
        <w:t>”), who is hereby appointed to hold such certificate(s) and Stock Powers in escrow and to take all such actions and to effectuate all such transfers and/or releases of such 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both of the Stockholders Agreement and Repurchase Option.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500" w:top="268" w:right="519" w:bottom="1440" w:gutter="0" w:footer="0" w:header="0"/>
        </w:sectPr>
      </w:pPr>
    </w:p>
    <w:bookmarkStart w:id="469" w:name="page470"/>
    <w:bookmarkEnd w:id="469"/>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13. RESTRICTIVE LEGENDS AND STOP-TRANSFER ORDERS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60" w:firstLine="98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13.1. </w:t>
      </w:r>
      <w:r>
        <w:rPr>
          <w:rFonts w:ascii="Times New Roman" w:cs="Times New Roman" w:eastAsia="Times New Roman" w:hAnsi="Times New Roman"/>
          <w:sz w:val="18"/>
          <w:szCs w:val="18"/>
          <w:b w:val="1"/>
          <w:bCs w:val="1"/>
          <w:u w:val="single" w:color="auto"/>
          <w:color w:val="auto"/>
        </w:rPr>
        <w:t>Legends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understands and agrees that the Company will place the legends set forth below or similar legends on 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evidencing the Shares, together with any other legends that may be required by state or U.S. Federal securities laws, the Company’s Certificate of Incorporation or Bylaws, the Stockholders Agreement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76" w:lineRule="exact"/>
        <w:rPr>
          <w:sz w:val="20"/>
          <w:szCs w:val="20"/>
          <w:color w:val="auto"/>
        </w:rPr>
      </w:pPr>
    </w:p>
    <w:p>
      <w:pPr>
        <w:ind w:firstLine="1411"/>
        <w:spacing w:after="0" w:line="252" w:lineRule="auto"/>
        <w:tabs>
          <w:tab w:leader="none" w:pos="1659"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78" w:lineRule="exact"/>
        <w:rPr>
          <w:rFonts w:ascii="Times New Roman" w:cs="Times New Roman" w:eastAsia="Times New Roman" w:hAnsi="Times New Roman"/>
          <w:sz w:val="18"/>
          <w:szCs w:val="18"/>
          <w:color w:val="auto"/>
        </w:rPr>
      </w:pPr>
    </w:p>
    <w:p>
      <w:pPr>
        <w:ind w:right="40" w:firstLine="1411"/>
        <w:spacing w:after="0" w:line="255" w:lineRule="auto"/>
        <w:tabs>
          <w:tab w:leader="none" w:pos="1669"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SECURITIES REPRESENTED BY THIS CERTIFICATE IS SUBJECT TO A STOCKHOLDERS AGREEMENT DATED AS OF OCTOBER 7, 2015, AMONG THE ISSUER OF SUCH SECURITIES (THE “COMPANY”) AND CERTAIN OF THE COMPANY’S STOCKHOLDERS, AS THE SAME MAY BE AMENDED OR MODIFIED FROM TIME TO TIME. A COPY OF SUCH STOCKHOLDERS AGREEMENT SHALL BE FURNISHED WITHOUT CHARGE BY THE COMPANY TO THE HOLDER HEREOF UPON WRITTEN REQUEST.</w:t>
      </w:r>
    </w:p>
    <w:p>
      <w:pPr>
        <w:spacing w:after="0" w:line="75" w:lineRule="exact"/>
        <w:rPr>
          <w:rFonts w:ascii="Times New Roman" w:cs="Times New Roman" w:eastAsia="Times New Roman" w:hAnsi="Times New Roman"/>
          <w:sz w:val="18"/>
          <w:szCs w:val="18"/>
          <w:color w:val="auto"/>
        </w:rPr>
      </w:pPr>
    </w:p>
    <w:p>
      <w:pPr>
        <w:ind w:firstLine="1411"/>
        <w:spacing w:after="0" w:line="255" w:lineRule="auto"/>
        <w:tabs>
          <w:tab w:leader="none" w:pos="1659"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REPRESENTED BY THIS CERTIFICATE ARE SUBJECT TO CERTAIN RESTRICTIONS ON RESALE AND TRANSFER, INCLUDING THE REPURCHASE OPTION HELD BY THE ISSUER AND/OR ITS ASSIGNEE(S) AS SET FORTH IN A STOCK AGREEMENT BETWEEN THE ISSUER AND THE ORIGINAL HOLDER OF THESE SHARES, A COPY OF WHICH MAY BE OBTAINED AT THE PRINCIPAL OFFICE OF THE ISSUER. SUCH SALE AND TRANSFER RESTRICTIONS, INCLUDING THE REPURCHASE OPTION, ARE BINDING ON TRANSFEREES OF THESE SHARES.</w:t>
      </w:r>
    </w:p>
    <w:p>
      <w:pPr>
        <w:spacing w:after="0" w:line="75" w:lineRule="exact"/>
        <w:rPr>
          <w:rFonts w:ascii="Times New Roman" w:cs="Times New Roman" w:eastAsia="Times New Roman" w:hAnsi="Times New Roman"/>
          <w:sz w:val="18"/>
          <w:szCs w:val="18"/>
          <w:color w:val="auto"/>
        </w:rPr>
      </w:pPr>
    </w:p>
    <w:p>
      <w:pPr>
        <w:ind w:right="40" w:firstLine="1411"/>
        <w:spacing w:after="0" w:line="253" w:lineRule="auto"/>
        <w:tabs>
          <w:tab w:leader="none" w:pos="1669"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 AS A RESULT OF SUCH AGREEMENT, THESE SHARES MAY NOT BE TRADED PRIOR TO 180 DAYS (AND POSSIBLY LONGER) AFTER THE EFFECTIVE DATE OF CERTAIN PUBLIC OFFERINGS OF THE COMMON STOCK OF THE ISSUER HEREOF. SUCH RESTRICTION IS BINDING ON TRANSFEREES OF THESE SHARES.</w:t>
      </w:r>
    </w:p>
    <w:p>
      <w:pPr>
        <w:spacing w:after="0" w:line="76" w:lineRule="exact"/>
        <w:rPr>
          <w:sz w:val="20"/>
          <w:szCs w:val="20"/>
          <w:color w:val="auto"/>
        </w:rPr>
      </w:pPr>
    </w:p>
    <w:p>
      <w:pPr>
        <w:ind w:right="300" w:firstLine="981"/>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13.2. </w:t>
      </w:r>
      <w:r>
        <w:rPr>
          <w:rFonts w:ascii="Times New Roman" w:cs="Times New Roman" w:eastAsia="Times New Roman" w:hAnsi="Times New Roman"/>
          <w:sz w:val="18"/>
          <w:szCs w:val="18"/>
          <w:b w:val="1"/>
          <w:bCs w:val="1"/>
          <w:u w:val="single" w:color="auto"/>
          <w:color w:val="auto"/>
        </w:rPr>
        <w:t>Stop-Transfer Instructions</w:t>
      </w:r>
      <w:r>
        <w:rPr>
          <w:rFonts w:ascii="Times New Roman" w:cs="Times New Roman" w:eastAsia="Times New Roman" w:hAnsi="Times New Roman"/>
          <w:sz w:val="18"/>
          <w:szCs w:val="18"/>
          <w:color w:val="auto"/>
        </w:rPr>
        <w:t>. Optionee agrees that, to ensure compliance with the restrictions imposed by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issue appropriate “stop-transfer” instructions to its transfer agent, if any, and if the Company transfers its own securities, it may make appropriate notations to the same effect in its own records.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500" w:top="264" w:right="519" w:bottom="1440" w:gutter="0" w:footer="0" w:header="0"/>
        </w:sectPr>
      </w:pPr>
    </w:p>
    <w:bookmarkStart w:id="470" w:name="page471"/>
    <w:bookmarkEnd w:id="470"/>
    <w:p>
      <w:pPr>
        <w:ind w:right="100" w:firstLine="981"/>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13.3. </w:t>
      </w:r>
      <w:r>
        <w:rPr>
          <w:rFonts w:ascii="Times New Roman" w:cs="Times New Roman" w:eastAsia="Times New Roman" w:hAnsi="Times New Roman"/>
          <w:sz w:val="18"/>
          <w:szCs w:val="18"/>
          <w:b w:val="1"/>
          <w:bCs w:val="1"/>
          <w:u w:val="single" w:color="auto"/>
          <w:color w:val="auto"/>
        </w:rPr>
        <w:t>Refusal to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not be required (i) to transfer on its books any Shares that have been sold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in violation of any of the provisions of this Agreement or (ii) to treat as owner of such Shares, or to accord the right to vote or pay dividends to any purchaser or other transferee to whom such Shares have been so transferred.</w:t>
      </w:r>
    </w:p>
    <w:p>
      <w:pPr>
        <w:spacing w:after="0" w:line="169" w:lineRule="exact"/>
        <w:rPr>
          <w:sz w:val="20"/>
          <w:szCs w:val="20"/>
          <w:color w:val="auto"/>
        </w:rPr>
      </w:pPr>
    </w:p>
    <w:p>
      <w:pPr>
        <w:ind w:firstLine="430"/>
        <w:spacing w:after="0" w:line="250" w:lineRule="auto"/>
        <w:tabs>
          <w:tab w:leader="none" w:pos="703" w:val="left"/>
        </w:tabs>
        <w:numPr>
          <w:ilvl w:val="0"/>
          <w:numId w:val="3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OF STATUTORY INFORMATION RIGHTS. </w:t>
      </w:r>
      <w:r>
        <w:rPr>
          <w:rFonts w:ascii="Times New Roman" w:cs="Times New Roman" w:eastAsia="Times New Roman" w:hAnsi="Times New Roman"/>
          <w:sz w:val="18"/>
          <w:szCs w:val="18"/>
          <w:color w:val="auto"/>
        </w:rPr>
        <w:t>Optionee acknowledges and understands that, but for the waiver made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Optionee as may be provided for in Section 220, the “</w:t>
      </w:r>
      <w:r>
        <w:rPr>
          <w:rFonts w:ascii="Times New Roman" w:cs="Times New Roman" w:eastAsia="Times New Roman" w:hAnsi="Times New Roman"/>
          <w:sz w:val="18"/>
          <w:szCs w:val="18"/>
          <w:u w:val="single" w:color="auto"/>
          <w:color w:val="auto"/>
        </w:rPr>
        <w:t>Inspection Rights</w:t>
      </w:r>
      <w:r>
        <w:rPr>
          <w:rFonts w:ascii="Times New Roman" w:cs="Times New Roman" w:eastAsia="Times New Roman" w:hAnsi="Times New Roman"/>
          <w:sz w:val="18"/>
          <w:szCs w:val="18"/>
          <w:color w:val="auto"/>
        </w:rPr>
        <w:t>”). In light of the foregoing, until the first sale of Common Stock of the Company to the general public pursuant to a registration statement filed with and declared effective by the SEC under the Securities Act,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the Inspection Rights of Optionee in Optionee’s capacity as a stockholder and shall not affect any rights of a director, in his or her capacity as such, under Section 220. The foregoing waiver shall not apply to any contractual inspection rights of Optionee under any written agreement with the Company.</w:t>
      </w:r>
    </w:p>
    <w:p>
      <w:pPr>
        <w:spacing w:after="0" w:line="84" w:lineRule="exact"/>
        <w:rPr>
          <w:rFonts w:ascii="Times New Roman" w:cs="Times New Roman" w:eastAsia="Times New Roman" w:hAnsi="Times New Roman"/>
          <w:sz w:val="18"/>
          <w:szCs w:val="18"/>
          <w:b w:val="1"/>
          <w:bCs w:val="1"/>
          <w:color w:val="auto"/>
        </w:rPr>
      </w:pPr>
    </w:p>
    <w:p>
      <w:pPr>
        <w:ind w:left="700" w:hanging="270"/>
        <w:spacing w:after="0"/>
        <w:tabs>
          <w:tab w:leader="none" w:pos="700" w:val="left"/>
        </w:tabs>
        <w:numPr>
          <w:ilvl w:val="0"/>
          <w:numId w:val="3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114" w:lineRule="exact"/>
        <w:rPr>
          <w:sz w:val="20"/>
          <w:szCs w:val="20"/>
          <w:color w:val="auto"/>
        </w:rPr>
      </w:pPr>
    </w:p>
    <w:p>
      <w:pPr>
        <w:ind w:right="260" w:firstLine="981"/>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15.1.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dispute regarding the interpretation of this Agreement shall be submitted by Optionee or the Company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for review. The resolution of such a dispute by the Committee shall be final and binding on the Company and Optionee.</w:t>
      </w:r>
    </w:p>
    <w:p>
      <w:pPr>
        <w:spacing w:after="0" w:line="48" w:lineRule="exact"/>
        <w:rPr>
          <w:sz w:val="20"/>
          <w:szCs w:val="20"/>
          <w:color w:val="auto"/>
        </w:rPr>
      </w:pPr>
    </w:p>
    <w:p>
      <w:pPr>
        <w:ind w:firstLine="98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15.2.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the Grant Notice and the Exercise Agreement are each incorporated herein by reference.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Grant Notice, the Plan and the Exercise Agreement constitute the entire agreement of the parties with respect to the subject matter hereof and supersede all prior undertakings and agreements with respect to such subject matter. This Agreement may only be modified or amended in writing signed by the Company and Optionee.</w:t>
      </w:r>
    </w:p>
    <w:p>
      <w:pPr>
        <w:spacing w:after="0" w:line="68" w:lineRule="exact"/>
        <w:rPr>
          <w:sz w:val="20"/>
          <w:szCs w:val="20"/>
          <w:color w:val="auto"/>
        </w:rPr>
      </w:pPr>
    </w:p>
    <w:p>
      <w:pPr>
        <w:ind w:left="700" w:hanging="270"/>
        <w:spacing w:after="0"/>
        <w:tabs>
          <w:tab w:leader="none" w:pos="700"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17" w:lineRule="exact"/>
        <w:rPr>
          <w:rFonts w:ascii="Times New Roman" w:cs="Times New Roman" w:eastAsia="Times New Roman" w:hAnsi="Times New Roman"/>
          <w:sz w:val="18"/>
          <w:szCs w:val="18"/>
          <w:b w:val="1"/>
          <w:bCs w:val="1"/>
          <w:color w:val="auto"/>
        </w:rPr>
      </w:pPr>
    </w:p>
    <w:p>
      <w:pPr>
        <w:ind w:right="60" w:firstLine="975"/>
        <w:spacing w:after="0" w:line="262" w:lineRule="auto"/>
        <w:tabs>
          <w:tab w:leader="none" w:pos="1248" w:val="left"/>
        </w:tabs>
        <w:numPr>
          <w:ilvl w:val="1"/>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notice required or permitted under this Agreement or any agreement executed and delivered in connection with this Agreement shall be in writing and shall be either personally delivered, or mailed by first class mail, return receipt requested, to Purchaser at the address indicated in the Company’s records for such Person, and to the Company at the address below indicated: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Notices to the Company:</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GoodRx Holdings, Inc.</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Francisco Partners</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Letterman Drive</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Building C, Suite 410</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500" w:top="264" w:right="499" w:bottom="1440" w:gutter="0" w:footer="0" w:header="0"/>
        </w:sectPr>
      </w:pPr>
    </w:p>
    <w:bookmarkStart w:id="471" w:name="page472"/>
    <w:bookmarkEnd w:id="47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San Francisco, CA 94129</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Chris Adams and Adam Solomon</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(415) 418-2999</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GoodRx Holdings, Inc.</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Spectrum Equity</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140 New Montgomery, 20th Fl.</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Stephen LeSieur</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(415) 464-4600</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M&amp;H, LLP</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525 Middlefield Road, Suite 250</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Menlo Park, California 94025</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Kerry Smith</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(650) 3317001</w:t>
      </w:r>
    </w:p>
    <w:p>
      <w:pPr>
        <w:spacing w:after="0" w:line="95" w:lineRule="exact"/>
        <w:rPr>
          <w:sz w:val="20"/>
          <w:szCs w:val="20"/>
          <w:color w:val="auto"/>
        </w:rPr>
      </w:pPr>
    </w:p>
    <w:p>
      <w:pPr>
        <w:ind w:right="220" w:firstLine="430"/>
        <w:spacing w:after="0" w:line="277" w:lineRule="auto"/>
        <w:tabs>
          <w:tab w:leader="none" w:pos="703"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 such other address or to the attention of such other person as the recipient party shall have specified by prior written notice to the sending party. Any notice under this Agreement shall be deemed to have been given when so delivered or mailed.</w:t>
      </w:r>
    </w:p>
    <w:p>
      <w:pPr>
        <w:spacing w:after="0" w:line="52" w:lineRule="exact"/>
        <w:rPr>
          <w:rFonts w:ascii="Times New Roman" w:cs="Times New Roman" w:eastAsia="Times New Roman" w:hAnsi="Times New Roman"/>
          <w:sz w:val="18"/>
          <w:szCs w:val="18"/>
          <w:b w:val="1"/>
          <w:bCs w:val="1"/>
          <w:color w:val="auto"/>
        </w:rPr>
      </w:pPr>
    </w:p>
    <w:p>
      <w:pPr>
        <w:ind w:firstLine="430"/>
        <w:spacing w:after="0" w:line="279" w:lineRule="auto"/>
        <w:tabs>
          <w:tab w:leader="none" w:pos="703" w:val="left"/>
        </w:tabs>
        <w:numPr>
          <w:ilvl w:val="0"/>
          <w:numId w:val="3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SUCCESSORS AND ASSIGNS</w:t>
      </w:r>
      <w:r>
        <w:rPr>
          <w:rFonts w:ascii="Times New Roman" w:cs="Times New Roman" w:eastAsia="Times New Roman" w:hAnsi="Times New Roman"/>
          <w:sz w:val="17"/>
          <w:szCs w:val="17"/>
          <w:color w:val="auto"/>
        </w:rPr>
        <w:t>. The Company may, in its sole discretion, assign any of its rights under this Agreement and the Stockholders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including its rights to purchase Shares under both the Right of Repurchase and Repurchase Option. This Agreement shall be binding upon and inure to the benefit of the successors and assigns of the Company. Subject to the restrictions set forth herein and in the Stockholders Agreement, this Agreement shall be binding upon Optionee and Optionee’s heirs, executors, administrators, legal representatives, successors and assigns.</w:t>
      </w:r>
    </w:p>
    <w:p>
      <w:pPr>
        <w:spacing w:after="0" w:line="52" w:lineRule="exact"/>
        <w:rPr>
          <w:rFonts w:ascii="Times New Roman" w:cs="Times New Roman" w:eastAsia="Times New Roman" w:hAnsi="Times New Roman"/>
          <w:sz w:val="17"/>
          <w:szCs w:val="17"/>
          <w:b w:val="1"/>
          <w:bCs w:val="1"/>
          <w:color w:val="auto"/>
        </w:rPr>
      </w:pPr>
    </w:p>
    <w:p>
      <w:pPr>
        <w:ind w:right="140" w:firstLine="430"/>
        <w:spacing w:after="0" w:line="259" w:lineRule="auto"/>
        <w:tabs>
          <w:tab w:leader="none" w:pos="703"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the internal laws of the State of Delaware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laws are applied to agreements between Delaware residents entered into and to be performed entirely within Delaware. If any provision of this Agreement is determined by a court of law to be illegal or unenforceable, then such provision will be enforced to the maximum extent possible and the other provisions will remain fully effective and enforceable.</w:t>
      </w:r>
    </w:p>
    <w:p>
      <w:pPr>
        <w:spacing w:after="0" w:line="68" w:lineRule="exact"/>
        <w:rPr>
          <w:rFonts w:ascii="Times New Roman" w:cs="Times New Roman" w:eastAsia="Times New Roman" w:hAnsi="Times New Roman"/>
          <w:sz w:val="18"/>
          <w:szCs w:val="18"/>
          <w:b w:val="1"/>
          <w:bCs w:val="1"/>
          <w:color w:val="auto"/>
        </w:rPr>
      </w:pPr>
    </w:p>
    <w:p>
      <w:pPr>
        <w:ind w:right="80" w:firstLine="430"/>
        <w:spacing w:after="0" w:line="282" w:lineRule="auto"/>
        <w:tabs>
          <w:tab w:leader="none" w:pos="703"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FURTHER ASSURANCES. </w:t>
      </w:r>
      <w:r>
        <w:rPr>
          <w:rFonts w:ascii="Times New Roman" w:cs="Times New Roman" w:eastAsia="Times New Roman" w:hAnsi="Times New Roman"/>
          <w:sz w:val="18"/>
          <w:szCs w:val="18"/>
          <w:color w:val="auto"/>
        </w:rPr>
        <w:t>The parties agree to execute such further documents and instruments and to take such further actions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necessary to carry out the purposes and intent of this Agreement.</w:t>
      </w:r>
    </w:p>
    <w:p>
      <w:pPr>
        <w:spacing w:after="0" w:line="47" w:lineRule="exact"/>
        <w:rPr>
          <w:rFonts w:ascii="Times New Roman" w:cs="Times New Roman" w:eastAsia="Times New Roman" w:hAnsi="Times New Roman"/>
          <w:sz w:val="18"/>
          <w:szCs w:val="18"/>
          <w:b w:val="1"/>
          <w:bCs w:val="1"/>
          <w:color w:val="auto"/>
        </w:rPr>
      </w:pPr>
    </w:p>
    <w:p>
      <w:pPr>
        <w:ind w:right="360" w:firstLine="430"/>
        <w:spacing w:after="0" w:line="265" w:lineRule="auto"/>
        <w:tabs>
          <w:tab w:leader="none" w:pos="703"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TITLES AND HEADINGS. </w:t>
      </w:r>
      <w:r>
        <w:rPr>
          <w:rFonts w:ascii="Times New Roman" w:cs="Times New Roman" w:eastAsia="Times New Roman" w:hAnsi="Times New Roman"/>
          <w:sz w:val="18"/>
          <w:szCs w:val="18"/>
          <w:color w:val="auto"/>
        </w:rPr>
        <w:t>The titles, captions and headings of this Agreement are included for ease of reference only and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disregarded in interpreting or construing this Agreement. Unless otherwise specifically stated, all references herein to “sections” and “exhibits” will mean “sections” and “exhibits” to this Agreement.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500" w:top="268" w:right="519" w:bottom="1440" w:gutter="0" w:footer="0" w:header="0"/>
        </w:sectPr>
      </w:pPr>
    </w:p>
    <w:bookmarkStart w:id="472" w:name="page473"/>
    <w:bookmarkEnd w:id="472"/>
    <w:p>
      <w:pPr>
        <w:ind w:right="20" w:firstLine="430"/>
        <w:spacing w:after="0" w:line="282" w:lineRule="auto"/>
        <w:tabs>
          <w:tab w:leader="none" w:pos="703" w:val="left"/>
        </w:tabs>
        <w:numPr>
          <w:ilvl w:val="0"/>
          <w:numId w:val="3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COUNTERPARTS. </w:t>
      </w:r>
      <w:r>
        <w:rPr>
          <w:rFonts w:ascii="Times New Roman" w:cs="Times New Roman" w:eastAsia="Times New Roman" w:hAnsi="Times New Roman"/>
          <w:sz w:val="18"/>
          <w:szCs w:val="18"/>
          <w:color w:val="auto"/>
        </w:rPr>
        <w:t>This Agreement may be executed in any number of counterparts, each of which when so executed and delivered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and all of which together shall constitute one and the same agreement.</w:t>
      </w:r>
    </w:p>
    <w:p>
      <w:pPr>
        <w:spacing w:after="0" w:line="47" w:lineRule="exact"/>
        <w:rPr>
          <w:rFonts w:ascii="Times New Roman" w:cs="Times New Roman" w:eastAsia="Times New Roman" w:hAnsi="Times New Roman"/>
          <w:sz w:val="18"/>
          <w:szCs w:val="18"/>
          <w:b w:val="1"/>
          <w:bCs w:val="1"/>
          <w:color w:val="auto"/>
        </w:rPr>
      </w:pPr>
    </w:p>
    <w:p>
      <w:pPr>
        <w:ind w:firstLine="430"/>
        <w:spacing w:after="0" w:line="253" w:lineRule="auto"/>
        <w:tabs>
          <w:tab w:leader="none" w:pos="703" w:val="left"/>
        </w:tabs>
        <w:numPr>
          <w:ilvl w:val="0"/>
          <w:numId w:val="3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provision of this Agreement is determined by any court or arbitrator of competent jurisdiction to be invalid, illegal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86" w:lineRule="exact"/>
        <w:rPr>
          <w:rFonts w:ascii="Times New Roman" w:cs="Times New Roman" w:eastAsia="Times New Roman" w:hAnsi="Times New Roman"/>
          <w:sz w:val="18"/>
          <w:szCs w:val="18"/>
          <w:b w:val="1"/>
          <w:bCs w:val="1"/>
          <w:color w:val="auto"/>
        </w:rPr>
      </w:pPr>
    </w:p>
    <w:p>
      <w:pPr>
        <w:ind w:left="4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Form of Stock Option Exercise Notice and Agreement</w:t>
      </w:r>
    </w:p>
    <w:p>
      <w:pPr>
        <w:spacing w:after="0" w:line="1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80"/>
          </w:cols>
          <w:pgMar w:left="500" w:top="264" w:right="619" w:bottom="1440" w:gutter="0" w:footer="0" w:header="0"/>
        </w:sectPr>
      </w:pPr>
    </w:p>
    <w:bookmarkStart w:id="473" w:name="page474"/>
    <w:bookmarkEnd w:id="47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ANNEX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STOCK OPTION EXERCISE NOTICE AND AGREEMENT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019"/>
          </w:cols>
          <w:pgMar w:left="1440" w:top="264" w:right="1440" w:bottom="1440" w:gutter="0" w:footer="0" w:header="0"/>
        </w:sectPr>
      </w:pPr>
    </w:p>
    <w:bookmarkStart w:id="474" w:name="page475"/>
    <w:bookmarkEnd w:id="474"/>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ANNEX A</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VESTED ONLY</w:t>
      </w:r>
    </w:p>
    <w:p>
      <w:pPr>
        <w:spacing w:after="0" w:line="200" w:lineRule="exact"/>
        <w:rPr>
          <w:sz w:val="20"/>
          <w:szCs w:val="20"/>
          <w:color w:val="auto"/>
        </w:rPr>
      </w:pPr>
    </w:p>
    <w:p>
      <w:pPr>
        <w:spacing w:after="0" w:line="278" w:lineRule="exact"/>
        <w:rPr>
          <w:sz w:val="20"/>
          <w:szCs w:val="20"/>
          <w:color w:val="auto"/>
        </w:rPr>
      </w:pPr>
    </w:p>
    <w:p>
      <w:pPr>
        <w:ind w:left="2386" w:hanging="650"/>
        <w:spacing w:after="0"/>
        <w:tabs>
          <w:tab w:leader="none" w:pos="238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 OPTION EXERCISE NOTICE AND AGREEMENT</w:t>
      </w:r>
    </w:p>
    <w:p>
      <w:pPr>
        <w:spacing w:after="0" w:line="32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OOD</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X</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2015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*NOTE: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sign this Notice on Page 4 before submitting it to GoodRx Holdings, Inc. (the “Company”).</w:t>
      </w:r>
    </w:p>
    <w:p>
      <w:pPr>
        <w:spacing w:after="0" w:line="220"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PTIONEE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Please provide the following information about yourself (“</w:t>
      </w:r>
      <w:r>
        <w:rPr>
          <w:rFonts w:ascii="Times New Roman" w:cs="Times New Roman" w:eastAsia="Times New Roman" w:hAnsi="Times New Roman"/>
          <w:sz w:val="18"/>
          <w:szCs w:val="18"/>
          <w:b w:val="1"/>
          <w:bCs w:val="1"/>
          <w:i w:val="1"/>
          <w:iCs w:val="1"/>
          <w:color w:val="auto"/>
        </w:rPr>
        <w:t>Optionee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ectPr>
          <w:pgSz w:w="11900" w:h="16838" w:orient="portrait"/>
          <w:cols w:equalWidth="0" w:num="1">
            <w:col w:w="10906"/>
          </w:cols>
          <w:pgMar w:left="494" w:top="268" w:right="499" w:bottom="1440" w:gutter="0" w:footer="0" w:header="0"/>
        </w:sectPr>
      </w:pPr>
    </w:p>
    <w:p>
      <w:pPr>
        <w:spacing w:after="0" w:line="25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Social Security Number:</w:t>
      </w:r>
    </w:p>
    <w:p>
      <w:pPr>
        <w:spacing w:after="0" w:line="125" w:lineRule="exact"/>
        <w:rPr>
          <w:sz w:val="20"/>
          <w:szCs w:val="20"/>
          <w:color w:val="auto"/>
        </w:rPr>
      </w:pPr>
    </w:p>
    <w:p>
      <w:pPr>
        <w:sectPr>
          <w:pgSz w:w="11900" w:h="16838" w:orient="portrait"/>
          <w:cols w:equalWidth="0" w:num="2">
            <w:col w:w="4966" w:space="720"/>
            <w:col w:w="5220"/>
          </w:cols>
          <w:pgMar w:left="494" w:top="268" w:right="499" w:bottom="1440" w:gutter="0" w:footer="0" w:header="0"/>
          <w:type w:val="continuous"/>
        </w:sectPr>
      </w:pPr>
    </w:p>
    <w:p>
      <w:pPr>
        <w:ind w:left="6"/>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Employee Number:</w:t>
      </w:r>
    </w:p>
    <w:p>
      <w:pPr>
        <w:spacing w:after="0" w:line="200" w:lineRule="exact"/>
        <w:rPr>
          <w:sz w:val="20"/>
          <w:szCs w:val="20"/>
          <w:color w:val="auto"/>
        </w:rPr>
      </w:pPr>
    </w:p>
    <w:p>
      <w:pPr>
        <w:sectPr>
          <w:pgSz w:w="11900" w:h="16838" w:orient="portrait"/>
          <w:cols w:equalWidth="0" w:num="2">
            <w:col w:w="4966" w:space="720"/>
            <w:col w:w="5220"/>
          </w:cols>
          <w:pgMar w:left="494" w:top="268" w:right="499" w:bottom="1440" w:gutter="0" w:footer="0" w:header="0"/>
          <w:type w:val="continuous"/>
        </w:sectPr>
      </w:pPr>
    </w:p>
    <w:p>
      <w:pPr>
        <w:spacing w:after="0" w:line="2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Please provide this information on the option being exercised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Date of Grant:</w:t>
            </w:r>
          </w:p>
        </w:tc>
        <w:tc>
          <w:tcPr>
            <w:tcW w:w="1080" w:type="dxa"/>
            <w:vAlign w:val="bottom"/>
            <w:tcBorders>
              <w:bottom w:val="single" w:sz="8" w:color="auto"/>
            </w:tcBorders>
            <w:gridSpan w:val="2"/>
          </w:tcPr>
          <w:p>
            <w:pPr>
              <w:spacing w:after="0"/>
              <w:rPr>
                <w:sz w:val="17"/>
                <w:szCs w:val="17"/>
                <w:color w:val="auto"/>
              </w:rPr>
            </w:pPr>
          </w:p>
        </w:tc>
        <w:tc>
          <w:tcPr>
            <w:tcW w:w="3280" w:type="dxa"/>
            <w:vAlign w:val="bottom"/>
          </w:tcPr>
          <w:p>
            <w:pPr>
              <w:spacing w:after="0"/>
              <w:rPr>
                <w:sz w:val="17"/>
                <w:szCs w:val="17"/>
                <w:color w:val="auto"/>
              </w:rPr>
            </w:pPr>
          </w:p>
        </w:tc>
        <w:tc>
          <w:tcPr>
            <w:tcW w:w="2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Type of Stock Option:</w:t>
            </w:r>
          </w:p>
        </w:tc>
      </w:tr>
      <w:tr>
        <w:trPr>
          <w:trHeight w:val="215"/>
        </w:trPr>
        <w:tc>
          <w:tcPr>
            <w:tcW w:w="5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Exercise Price per Share: $______</w:t>
            </w:r>
          </w:p>
        </w:tc>
        <w:tc>
          <w:tcPr>
            <w:tcW w:w="2040" w:type="dxa"/>
            <w:vAlign w:val="bottom"/>
          </w:tcPr>
          <w:p>
            <w:pPr>
              <w:ind w:left="260"/>
              <w:spacing w:after="0" w:line="207" w:lineRule="exact"/>
              <w:rPr>
                <w:sz w:val="20"/>
                <w:szCs w:val="20"/>
                <w:color w:val="auto"/>
              </w:rPr>
            </w:pP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 xml:space="preserve"> Nonqualified (NQSO)</w:t>
            </w:r>
          </w:p>
        </w:tc>
      </w:tr>
      <w:tr>
        <w:trPr>
          <w:trHeight w:val="214"/>
        </w:trPr>
        <w:tc>
          <w:tcPr>
            <w:tcW w:w="5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number of shares of Common Stock of the Company subject to the</w:t>
            </w:r>
          </w:p>
        </w:tc>
        <w:tc>
          <w:tcPr>
            <w:tcW w:w="2040" w:type="dxa"/>
            <w:vAlign w:val="bottom"/>
          </w:tcPr>
          <w:p>
            <w:pPr>
              <w:spacing w:after="0"/>
              <w:rPr>
                <w:sz w:val="18"/>
                <w:szCs w:val="18"/>
                <w:color w:val="auto"/>
              </w:rPr>
            </w:pPr>
          </w:p>
        </w:tc>
      </w:tr>
      <w:tr>
        <w:trPr>
          <w:trHeight w:val="192"/>
        </w:trPr>
        <w:tc>
          <w:tcPr>
            <w:tcW w:w="5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Option:</w:t>
            </w:r>
          </w:p>
        </w:tc>
        <w:tc>
          <w:tcPr>
            <w:tcW w:w="900" w:type="dxa"/>
            <w:vAlign w:val="bottom"/>
            <w:tcBorders>
              <w:bottom w:val="single" w:sz="8" w:color="auto"/>
            </w:tcBorders>
            <w:gridSpan w:val="2"/>
          </w:tcPr>
          <w:p>
            <w:pPr>
              <w:spacing w:after="0"/>
              <w:rPr>
                <w:sz w:val="16"/>
                <w:szCs w:val="16"/>
                <w:color w:val="auto"/>
              </w:rPr>
            </w:pPr>
          </w:p>
        </w:tc>
        <w:tc>
          <w:tcPr>
            <w:tcW w:w="3940" w:type="dxa"/>
            <w:vAlign w:val="bottom"/>
            <w:gridSpan w:val="2"/>
          </w:tcPr>
          <w:p>
            <w:pPr>
              <w:spacing w:after="0"/>
              <w:rPr>
                <w:sz w:val="16"/>
                <w:szCs w:val="16"/>
                <w:color w:val="auto"/>
              </w:rPr>
            </w:pPr>
          </w:p>
        </w:tc>
        <w:tc>
          <w:tcPr>
            <w:tcW w:w="2040" w:type="dxa"/>
            <w:vAlign w:val="bottom"/>
          </w:tcPr>
          <w:p>
            <w:pPr>
              <w:spacing w:after="0"/>
              <w:rPr>
                <w:sz w:val="16"/>
                <w:szCs w:val="16"/>
                <w:color w:val="auto"/>
              </w:rPr>
            </w:pPr>
          </w:p>
        </w:tc>
      </w:tr>
    </w:tbl>
    <w:p>
      <w:pPr>
        <w:spacing w:after="0" w:line="3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Number of shares of Common Stock of the Company for which the Option is now being exercised: __________________. (These shares are referred to</w:t>
      </w:r>
    </w:p>
    <w:p>
      <w:pPr>
        <w:spacing w:after="0" w:line="3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below as the “</w:t>
      </w:r>
      <w:r>
        <w:rPr>
          <w:rFonts w:ascii="Times New Roman" w:cs="Times New Roman" w:eastAsia="Times New Roman" w:hAnsi="Times New Roman"/>
          <w:sz w:val="18"/>
          <w:szCs w:val="18"/>
          <w:b w:val="1"/>
          <w:bCs w:val="1"/>
          <w:i w:val="1"/>
          <w:iCs w:val="1"/>
          <w:color w:val="auto"/>
        </w:rPr>
        <w:t>Purchased Shares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Total Exercise Price being paid for the Purchased Shares: $______________</w:t>
      </w:r>
    </w:p>
    <w:p>
      <w:pPr>
        <w:spacing w:after="0" w:line="2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Form of payment enclosed </w:t>
      </w:r>
      <w:r>
        <w:rPr>
          <w:rFonts w:ascii="Times New Roman" w:cs="Times New Roman" w:eastAsia="Times New Roman" w:hAnsi="Times New Roman"/>
          <w:sz w:val="18"/>
          <w:szCs w:val="18"/>
          <w:b w:val="1"/>
          <w:bCs w:val="1"/>
          <w:i w:val="1"/>
          <w:iCs w:val="1"/>
          <w:color w:val="auto"/>
        </w:rPr>
        <w:t>[check all that apply]</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426" w:hanging="426"/>
        <w:spacing w:after="0"/>
        <w:tabs>
          <w:tab w:leader="none" w:pos="426" w:val="left"/>
        </w:tabs>
        <w:numPr>
          <w:ilvl w:val="0"/>
          <w:numId w:val="36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for $____________, payable to “</w:t>
      </w:r>
      <w:r>
        <w:rPr>
          <w:rFonts w:ascii="Times New Roman" w:cs="Times New Roman" w:eastAsia="Times New Roman" w:hAnsi="Times New Roman"/>
          <w:sz w:val="18"/>
          <w:szCs w:val="18"/>
          <w:i w:val="1"/>
          <w:iCs w:val="1"/>
          <w:color w:val="auto"/>
        </w:rPr>
        <w:t>GoodRx Holdings,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28" w:lineRule="exact"/>
        <w:rPr>
          <w:rFonts w:ascii="MS PGothic" w:cs="MS PGothic" w:eastAsia="MS PGothic" w:hAnsi="MS PGothic"/>
          <w:sz w:val="18"/>
          <w:szCs w:val="18"/>
          <w:color w:val="auto"/>
        </w:rPr>
      </w:pPr>
    </w:p>
    <w:p>
      <w:pPr>
        <w:ind w:left="426" w:hanging="426"/>
        <w:spacing w:after="0"/>
        <w:tabs>
          <w:tab w:leader="none" w:pos="426" w:val="left"/>
        </w:tabs>
        <w:numPr>
          <w:ilvl w:val="0"/>
          <w:numId w:val="36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Wire transfer to the Company for $____________.</w:t>
      </w:r>
    </w:p>
    <w:p>
      <w:pPr>
        <w:spacing w:after="0" w:line="126" w:lineRule="exact"/>
        <w:rPr>
          <w:rFonts w:ascii="MS PGothic" w:cs="MS PGothic" w:eastAsia="MS PGothic" w:hAnsi="MS PGothic"/>
          <w:sz w:val="18"/>
          <w:szCs w:val="18"/>
          <w:color w:val="auto"/>
        </w:rPr>
      </w:pPr>
    </w:p>
    <w:p>
      <w:pPr>
        <w:ind w:left="426" w:hanging="426"/>
        <w:spacing w:after="0"/>
        <w:tabs>
          <w:tab w:leader="none" w:pos="426" w:val="left"/>
        </w:tabs>
        <w:numPr>
          <w:ilvl w:val="0"/>
          <w:numId w:val="36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 form of consideration as permitted by the Option Agreement. Please describe:</w:t>
      </w:r>
    </w:p>
    <w:p>
      <w:pPr>
        <w:spacing w:after="0" w:line="113" w:lineRule="exact"/>
        <w:rPr>
          <w:rFonts w:ascii="MS PGothic" w:cs="MS PGothic" w:eastAsia="MS PGothic" w:hAnsi="MS PGothic"/>
          <w:sz w:val="18"/>
          <w:szCs w:val="18"/>
          <w:color w:val="auto"/>
        </w:rPr>
      </w:pPr>
    </w:p>
    <w:p>
      <w:pPr>
        <w:ind w:left="426"/>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________________________________________________________________________.</w:t>
      </w:r>
    </w:p>
    <w:p>
      <w:pPr>
        <w:spacing w:after="0" w:line="220" w:lineRule="exact"/>
        <w:rPr>
          <w:sz w:val="20"/>
          <w:szCs w:val="20"/>
          <w:color w:val="auto"/>
        </w:rPr>
      </w:pPr>
    </w:p>
    <w:p>
      <w:pPr>
        <w:ind w:left="6" w:right="60"/>
        <w:spacing w:after="0" w:line="277"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GREEMENTS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CKNOWLEDGMENTS OF</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PTIONEE</w:t>
      </w:r>
      <w:r>
        <w:rPr>
          <w:rFonts w:ascii="Times New Roman" w:cs="Times New Roman" w:eastAsia="Times New Roman" w:hAnsi="Times New Roman"/>
          <w:sz w:val="18"/>
          <w:szCs w:val="18"/>
          <w:color w:val="auto"/>
        </w:rPr>
        <w:t>: By signing this Stock Option Exercise Notice and Agreement, Optionee hereby agrees with, and represents to, the Company as follows:</w:t>
      </w:r>
    </w:p>
    <w:p>
      <w:pPr>
        <w:spacing w:after="0" w:line="66" w:lineRule="exact"/>
        <w:rPr>
          <w:sz w:val="20"/>
          <w:szCs w:val="20"/>
          <w:color w:val="auto"/>
        </w:rPr>
      </w:pPr>
    </w:p>
    <w:p>
      <w:pPr>
        <w:ind w:left="426" w:right="180" w:hanging="426"/>
        <w:spacing w:after="0" w:line="265" w:lineRule="auto"/>
        <w:tabs>
          <w:tab w:leader="none" w:pos="426"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Governing</w:t>
      </w:r>
      <w:r>
        <w:rPr>
          <w:rFonts w:ascii="Times New Roman" w:cs="Times New Roman" w:eastAsia="Times New Roman" w:hAnsi="Times New Roman"/>
          <w:sz w:val="18"/>
          <w:szCs w:val="18"/>
          <w:color w:val="auto"/>
        </w:rPr>
        <w:t>. I acknowledge and agree with the Company that I am acquiring the Purchased Shares by exercise of the Option subject to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terms and conditions of the Notice of Stock Option Grant and the Stock Option Agreement that govern the Option, including without limitation the terms of the Company’s 2015 Equity Incentive Plan, as it may be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ectPr>
          <w:pgSz w:w="11900" w:h="16838" w:orient="portrait"/>
          <w:cols w:equalWidth="0" w:num="1">
            <w:col w:w="10906"/>
          </w:cols>
          <w:pgMar w:left="494" w:top="268" w:right="499" w:bottom="1440" w:gutter="0" w:footer="0" w:header="0"/>
          <w:type w:val="continuous"/>
        </w:sectPr>
      </w:pPr>
    </w:p>
    <w:bookmarkStart w:id="475" w:name="page476"/>
    <w:bookmarkEnd w:id="475"/>
    <w:p>
      <w:pPr>
        <w:ind w:left="426" w:right="60" w:hanging="426"/>
        <w:spacing w:after="0" w:line="253" w:lineRule="auto"/>
        <w:tabs>
          <w:tab w:leader="none" w:pos="426" w:val="left"/>
        </w:tabs>
        <w:numPr>
          <w:ilvl w:val="0"/>
          <w:numId w:val="3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Investment Intent; Securities Law Restrictions</w:t>
      </w:r>
      <w:r>
        <w:rPr>
          <w:rFonts w:ascii="Times New Roman" w:cs="Times New Roman" w:eastAsia="Times New Roman" w:hAnsi="Times New Roman"/>
          <w:sz w:val="18"/>
          <w:szCs w:val="18"/>
          <w:color w:val="auto"/>
        </w:rPr>
        <w:t>. I represent and warrant to the Company that I am acquiring and will hold the Purchased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investment for my account only, and not with a view to, or for resale in connection with, any “distribution” of the Purchased Shares within the meaning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88" w:lineRule="exact"/>
        <w:rPr>
          <w:rFonts w:ascii="Times New Roman" w:cs="Times New Roman" w:eastAsia="Times New Roman" w:hAnsi="Times New Roman"/>
          <w:sz w:val="18"/>
          <w:szCs w:val="18"/>
          <w:b w:val="1"/>
          <w:bCs w:val="1"/>
          <w:color w:val="auto"/>
        </w:rPr>
      </w:pPr>
    </w:p>
    <w:p>
      <w:pPr>
        <w:ind w:left="426" w:right="100" w:hanging="426"/>
        <w:spacing w:after="0" w:line="268" w:lineRule="auto"/>
        <w:tabs>
          <w:tab w:leader="none" w:pos="426" w:val="left"/>
        </w:tabs>
        <w:numPr>
          <w:ilvl w:val="0"/>
          <w:numId w:val="3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Restrictions on Transfer; Rule 144</w:t>
      </w:r>
      <w:r>
        <w:rPr>
          <w:rFonts w:ascii="Times New Roman" w:cs="Times New Roman" w:eastAsia="Times New Roman" w:hAnsi="Times New Roman"/>
          <w:sz w:val="17"/>
          <w:szCs w:val="17"/>
          <w:color w:val="auto"/>
        </w:rPr>
        <w:t>. I acknowledge that the Purchased Shares are subject to the restrictions on Transfer set forth in the Notice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Option Grant and the Stock Option Agreement that govern the Option. I will not sell, transfer or otherwise dispose of the Purchased Shares in violation of the Securities Act, the Securities Exchange Act of 1934, or the rules promulgated thereunder (including Rule 144 under the Securities Act described below “Rule 144”) or of any other applicable securities laws. I am aware of Rule 144, which permits limited public resales of securities acquired in a non-public offering, subject to satisfaction of certain conditions, which include (without limitation) that:</w:t>
      </w:r>
    </w:p>
    <w:p>
      <w:pPr>
        <w:ind w:left="426" w:right="80"/>
        <w:spacing w:after="0" w:line="25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 certain current public information about the Company is available; (b) the resale occurs only after the holding period required by Rule 144 has been met; (c)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89" w:lineRule="exact"/>
        <w:rPr>
          <w:rFonts w:ascii="Times New Roman" w:cs="Times New Roman" w:eastAsia="Times New Roman" w:hAnsi="Times New Roman"/>
          <w:sz w:val="17"/>
          <w:szCs w:val="17"/>
          <w:b w:val="1"/>
          <w:bCs w:val="1"/>
          <w:color w:val="auto"/>
        </w:rPr>
      </w:pPr>
    </w:p>
    <w:p>
      <w:pPr>
        <w:ind w:left="426" w:hanging="426"/>
        <w:spacing w:after="0" w:line="256" w:lineRule="auto"/>
        <w:tabs>
          <w:tab w:leader="none" w:pos="426" w:val="left"/>
        </w:tabs>
        <w:numPr>
          <w:ilvl w:val="0"/>
          <w:numId w:val="3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Access to Information; Understanding of Risk in Investment</w:t>
      </w:r>
      <w:r>
        <w:rPr>
          <w:rFonts w:ascii="Times New Roman" w:cs="Times New Roman" w:eastAsia="Times New Roman" w:hAnsi="Times New Roman"/>
          <w:sz w:val="18"/>
          <w:szCs w:val="18"/>
          <w:color w:val="auto"/>
        </w:rPr>
        <w:t>. I acknowledge that I have received and had access to such information as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 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84" w:lineRule="exact"/>
        <w:rPr>
          <w:rFonts w:ascii="Times New Roman" w:cs="Times New Roman" w:eastAsia="Times New Roman" w:hAnsi="Times New Roman"/>
          <w:sz w:val="18"/>
          <w:szCs w:val="18"/>
          <w:b w:val="1"/>
          <w:bCs w:val="1"/>
          <w:color w:val="auto"/>
        </w:rPr>
      </w:pPr>
    </w:p>
    <w:p>
      <w:pPr>
        <w:ind w:left="426" w:right="60" w:hanging="426"/>
        <w:spacing w:after="0" w:line="265" w:lineRule="auto"/>
        <w:tabs>
          <w:tab w:leader="none" w:pos="426" w:val="left"/>
        </w:tabs>
        <w:numPr>
          <w:ilvl w:val="0"/>
          <w:numId w:val="3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Agreement; Repurchase Option; Market Stand-off</w:t>
      </w:r>
      <w:r>
        <w:rPr>
          <w:rFonts w:ascii="Times New Roman" w:cs="Times New Roman" w:eastAsia="Times New Roman" w:hAnsi="Times New Roman"/>
          <w:sz w:val="18"/>
          <w:szCs w:val="18"/>
          <w:color w:val="auto"/>
        </w:rPr>
        <w:t>. I acknowledge that the Purchased Shares remain subject to the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amended, the Company’s Repurchase Option and the market stand-off covenants (sometimes referred to as the “lock-up”), all in accordance with the Notice of Stock Option Grant and the Option Agreement that govern the Option</w:t>
      </w:r>
    </w:p>
    <w:p>
      <w:pPr>
        <w:spacing w:after="0" w:line="75" w:lineRule="exact"/>
        <w:rPr>
          <w:rFonts w:ascii="Times New Roman" w:cs="Times New Roman" w:eastAsia="Times New Roman" w:hAnsi="Times New Roman"/>
          <w:sz w:val="18"/>
          <w:szCs w:val="18"/>
          <w:b w:val="1"/>
          <w:bCs w:val="1"/>
          <w:color w:val="auto"/>
        </w:rPr>
      </w:pPr>
    </w:p>
    <w:p>
      <w:pPr>
        <w:jc w:val="both"/>
        <w:ind w:left="426" w:right="100" w:hanging="426"/>
        <w:spacing w:after="0" w:line="259" w:lineRule="auto"/>
        <w:tabs>
          <w:tab w:leader="none" w:pos="426" w:val="left"/>
        </w:tabs>
        <w:numPr>
          <w:ilvl w:val="0"/>
          <w:numId w:val="3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Ownership</w:t>
      </w:r>
      <w:r>
        <w:rPr>
          <w:rFonts w:ascii="Times New Roman" w:cs="Times New Roman" w:eastAsia="Times New Roman" w:hAnsi="Times New Roman"/>
          <w:sz w:val="18"/>
          <w:szCs w:val="18"/>
          <w:color w:val="auto"/>
        </w:rPr>
        <w:t>. I acknowledge that the Company has encouraged me to consult my own adviser to determine the form of ownership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unfavorable tax consequences may occur.</w:t>
      </w:r>
    </w:p>
    <w:p>
      <w:pPr>
        <w:spacing w:after="0" w:line="81" w:lineRule="exact"/>
        <w:rPr>
          <w:rFonts w:ascii="Times New Roman" w:cs="Times New Roman" w:eastAsia="Times New Roman" w:hAnsi="Times New Roman"/>
          <w:sz w:val="18"/>
          <w:szCs w:val="18"/>
          <w:b w:val="1"/>
          <w:bCs w:val="1"/>
          <w:color w:val="auto"/>
        </w:rPr>
      </w:pPr>
    </w:p>
    <w:p>
      <w:pPr>
        <w:ind w:left="426" w:right="600" w:hanging="426"/>
        <w:spacing w:after="0" w:line="282" w:lineRule="auto"/>
        <w:tabs>
          <w:tab w:leader="none" w:pos="426" w:val="left"/>
        </w:tabs>
        <w:numPr>
          <w:ilvl w:val="0"/>
          <w:numId w:val="3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Investigation of Tax Consequences. </w:t>
      </w:r>
      <w:r>
        <w:rPr>
          <w:rFonts w:ascii="Times New Roman" w:cs="Times New Roman" w:eastAsia="Times New Roman" w:hAnsi="Times New Roman"/>
          <w:sz w:val="18"/>
          <w:szCs w:val="18"/>
          <w:color w:val="auto"/>
        </w:rPr>
        <w:t>I acknowledge that the Company has encouraged me to consult my own advisor to determine the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consequences of acquiring the Purchased Shares at this time.</w:t>
      </w:r>
    </w:p>
    <w:p>
      <w:pPr>
        <w:spacing w:after="0" w:line="61" w:lineRule="exact"/>
        <w:rPr>
          <w:rFonts w:ascii="Times New Roman" w:cs="Times New Roman" w:eastAsia="Times New Roman" w:hAnsi="Times New Roman"/>
          <w:sz w:val="18"/>
          <w:szCs w:val="18"/>
          <w:b w:val="1"/>
          <w:bCs w:val="1"/>
          <w:color w:val="auto"/>
        </w:rPr>
      </w:pPr>
    </w:p>
    <w:p>
      <w:pPr>
        <w:ind w:left="426" w:right="460" w:hanging="426"/>
        <w:spacing w:after="0" w:line="265" w:lineRule="auto"/>
        <w:tabs>
          <w:tab w:leader="none" w:pos="426" w:val="left"/>
        </w:tabs>
        <w:numPr>
          <w:ilvl w:val="0"/>
          <w:numId w:val="3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Tax Matters. </w:t>
      </w:r>
      <w:r>
        <w:rPr>
          <w:rFonts w:ascii="Times New Roman" w:cs="Times New Roman" w:eastAsia="Times New Roman" w:hAnsi="Times New Roman"/>
          <w:sz w:val="18"/>
          <w:szCs w:val="18"/>
          <w:color w:val="auto"/>
        </w:rPr>
        <w:t>I agree that the Company does not have a duty to design or administer the Plan or its other compensation programs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that minimizes my tax liabilities. I will not make any claim against the Company or its Board, officers or employees related to tax liabilities arising from my options or my other compensation. In particular, I acknowledge that my options (including the</w:t>
      </w:r>
    </w:p>
    <w:p>
      <w:pPr>
        <w:spacing w:after="0" w:line="10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6"/>
          </w:cols>
          <w:pgMar w:left="494" w:top="264" w:right="519" w:bottom="1440" w:gutter="0" w:footer="0" w:header="0"/>
        </w:sectPr>
      </w:pPr>
    </w:p>
    <w:bookmarkStart w:id="476" w:name="page477"/>
    <w:bookmarkEnd w:id="476"/>
    <w:p>
      <w:pPr>
        <w:ind w:left="426"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Option) are exempt from Section 409A of the Internal Revenue Code only if the exercise price per 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89" w:lineRule="exact"/>
        <w:rPr>
          <w:sz w:val="20"/>
          <w:szCs w:val="20"/>
          <w:color w:val="auto"/>
        </w:rPr>
      </w:pPr>
    </w:p>
    <w:p>
      <w:pPr>
        <w:ind w:left="426" w:right="40" w:hanging="426"/>
        <w:spacing w:after="0" w:line="265" w:lineRule="auto"/>
        <w:tabs>
          <w:tab w:leader="none" w:pos="426" w:val="left"/>
        </w:tabs>
        <w:numPr>
          <w:ilvl w:val="0"/>
          <w:numId w:val="3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 Powers. </w:t>
      </w:r>
      <w:r>
        <w:rPr>
          <w:rFonts w:ascii="Times New Roman" w:cs="Times New Roman" w:eastAsia="Times New Roman" w:hAnsi="Times New Roman"/>
          <w:sz w:val="18"/>
          <w:szCs w:val="18"/>
          <w:color w:val="auto"/>
        </w:rPr>
        <w:t>As security for my faithful performance of this Agreement, including the Notice of Stock Option Grant and the Option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 (and my spouse, if any) have executed and deliver herewith two copies of the Stock Power and Assignment Separate from Stock Certificate, in the form attached hereto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(with the date and number of shares left blank) (the “</w:t>
      </w:r>
      <w:r>
        <w:rPr>
          <w:rFonts w:ascii="Times New Roman" w:cs="Times New Roman" w:eastAsia="Times New Roman" w:hAnsi="Times New Roman"/>
          <w:sz w:val="18"/>
          <w:szCs w:val="18"/>
          <w:b w:val="1"/>
          <w:bCs w:val="1"/>
          <w:i w:val="1"/>
          <w:iCs w:val="1"/>
          <w:color w:val="auto"/>
        </w:rPr>
        <w:t>Stock Powers</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b w:val="1"/>
          <w:bCs w:val="1"/>
          <w:color w:val="auto"/>
        </w:rPr>
      </w:pPr>
    </w:p>
    <w:p>
      <w:pPr>
        <w:ind w:left="426" w:right="60" w:hanging="426"/>
        <w:spacing w:after="0" w:line="256" w:lineRule="auto"/>
        <w:tabs>
          <w:tab w:leader="none" w:pos="426" w:val="left"/>
        </w:tabs>
        <w:numPr>
          <w:ilvl w:val="0"/>
          <w:numId w:val="3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r>
        <w:rPr>
          <w:rFonts w:ascii="Times New Roman" w:cs="Times New Roman" w:eastAsia="Times New Roman" w:hAnsi="Times New Roman"/>
          <w:sz w:val="18"/>
          <w:szCs w:val="18"/>
          <w:color w:val="auto"/>
        </w:rPr>
        <w:t>. To the extent not covered by an existing agreement concerning confidentiality or non-disclosure between me and the Company,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that I shall at all times hold in strict confidence and not disclose to any individual or entity, and shall not use for any purpose other than for the benefit of the Company, all non-public information of the Company received by me (including without limitation information disclosed to me in connection with the Option Agreement, exercise of my option, or my being an option holder or stockholder of the Company) except upon the prior written authorization of the Company.</w:t>
      </w:r>
    </w:p>
    <w:p>
      <w:pPr>
        <w:spacing w:after="0" w:line="84" w:lineRule="exact"/>
        <w:rPr>
          <w:rFonts w:ascii="Times New Roman" w:cs="Times New Roman" w:eastAsia="Times New Roman" w:hAnsi="Times New Roman"/>
          <w:sz w:val="18"/>
          <w:szCs w:val="18"/>
          <w:b w:val="1"/>
          <w:bCs w:val="1"/>
          <w:color w:val="auto"/>
        </w:rPr>
      </w:pPr>
    </w:p>
    <w:p>
      <w:pPr>
        <w:ind w:left="426" w:right="140" w:hanging="426"/>
        <w:spacing w:after="0" w:line="282" w:lineRule="auto"/>
        <w:tabs>
          <w:tab w:leader="none" w:pos="426" w:val="left"/>
        </w:tabs>
        <w:numPr>
          <w:ilvl w:val="0"/>
          <w:numId w:val="3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Escrow. </w:t>
      </w:r>
      <w:r>
        <w:rPr>
          <w:rFonts w:ascii="Times New Roman" w:cs="Times New Roman" w:eastAsia="Times New Roman" w:hAnsi="Times New Roman"/>
          <w:sz w:val="18"/>
          <w:szCs w:val="18"/>
          <w:color w:val="auto"/>
        </w:rPr>
        <w:t>Immediately upon receipt of the stock certificate evidencing the Shares, I will deliver such certificate to the Escrow Holder to be held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escrow in accordance with the terms of the Notice of Stock Option Grant and the Option Agreement and this Agreement.</w:t>
      </w:r>
    </w:p>
    <w:p>
      <w:pPr>
        <w:spacing w:after="0" w:line="61" w:lineRule="exact"/>
        <w:rPr>
          <w:rFonts w:ascii="Times New Roman" w:cs="Times New Roman" w:eastAsia="Times New Roman" w:hAnsi="Times New Roman"/>
          <w:sz w:val="18"/>
          <w:szCs w:val="18"/>
          <w:b w:val="1"/>
          <w:bCs w:val="1"/>
          <w:color w:val="auto"/>
        </w:rPr>
      </w:pPr>
    </w:p>
    <w:p>
      <w:pPr>
        <w:ind w:left="426" w:right="80" w:hanging="426"/>
        <w:spacing w:after="0" w:line="282" w:lineRule="auto"/>
        <w:tabs>
          <w:tab w:leader="none" w:pos="426" w:val="left"/>
        </w:tabs>
        <w:numPr>
          <w:ilvl w:val="0"/>
          <w:numId w:val="3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Consent of Spouse. </w:t>
      </w:r>
      <w:r>
        <w:rPr>
          <w:rFonts w:ascii="Times New Roman" w:cs="Times New Roman" w:eastAsia="Times New Roman" w:hAnsi="Times New Roman"/>
          <w:sz w:val="18"/>
          <w:szCs w:val="18"/>
          <w:color w:val="auto"/>
        </w:rPr>
        <w:t>As a further condition to the Company’s obligations under this Agreement, I deliver herewith the Consent of Spouse attached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hereto as </w:t>
      </w:r>
      <w:r>
        <w:rPr>
          <w:rFonts w:ascii="Times New Roman" w:cs="Times New Roman" w:eastAsia="Times New Roman" w:hAnsi="Times New Roman"/>
          <w:sz w:val="18"/>
          <w:szCs w:val="18"/>
          <w:u w:val="single" w:color="auto"/>
          <w:color w:val="auto"/>
        </w:rPr>
        <w:t>Exhibit 2</w:t>
      </w:r>
      <w:r>
        <w:rPr>
          <w:rFonts w:ascii="Times New Roman" w:cs="Times New Roman" w:eastAsia="Times New Roman" w:hAnsi="Times New Roman"/>
          <w:sz w:val="18"/>
          <w:szCs w:val="18"/>
          <w:color w:val="auto"/>
        </w:rPr>
        <w:t xml:space="preserve"> executed by my spouse (or appropriated marked and executed by me if I do not have a spouse).</w:t>
      </w:r>
    </w:p>
    <w:p>
      <w:pPr>
        <w:spacing w:after="0" w:line="61" w:lineRule="exact"/>
        <w:rPr>
          <w:rFonts w:ascii="Times New Roman" w:cs="Times New Roman" w:eastAsia="Times New Roman" w:hAnsi="Times New Roman"/>
          <w:sz w:val="18"/>
          <w:szCs w:val="18"/>
          <w:b w:val="1"/>
          <w:bCs w:val="1"/>
          <w:color w:val="auto"/>
        </w:rPr>
      </w:pPr>
    </w:p>
    <w:p>
      <w:pPr>
        <w:ind w:left="426" w:hanging="426"/>
        <w:spacing w:after="0" w:line="254" w:lineRule="auto"/>
        <w:tabs>
          <w:tab w:leader="none" w:pos="426" w:val="left"/>
        </w:tabs>
        <w:numPr>
          <w:ilvl w:val="0"/>
          <w:numId w:val="3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13. California Corporate Securities Law. </w:t>
      </w:r>
      <w:r>
        <w:rPr>
          <w:rFonts w:ascii="Times New Roman" w:cs="Times New Roman" w:eastAsia="Times New Roman" w:hAnsi="Times New Roman"/>
          <w:sz w:val="18"/>
          <w:szCs w:val="18"/>
          <w:color w:val="auto"/>
        </w:rPr>
        <w:t>THE SALE OF THE SECURITIES WHICH ARE THE SUBJECT OF THIS AGREEMENT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BEEN 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88" w:lineRule="exact"/>
        <w:rPr>
          <w:rFonts w:ascii="Times New Roman" w:cs="Times New Roman" w:eastAsia="Times New Roman" w:hAnsi="Times New Roman"/>
          <w:sz w:val="18"/>
          <w:szCs w:val="18"/>
          <w:b w:val="1"/>
          <w:bCs w:val="1"/>
          <w:color w:val="auto"/>
        </w:rPr>
      </w:pPr>
    </w:p>
    <w:p>
      <w:pPr>
        <w:ind w:left="426" w:right="160" w:hanging="426"/>
        <w:spacing w:after="0" w:line="265" w:lineRule="auto"/>
        <w:tabs>
          <w:tab w:leader="none" w:pos="42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14. Tax Withholding</w:t>
      </w:r>
      <w:r>
        <w:rPr>
          <w:rFonts w:ascii="Times New Roman" w:cs="Times New Roman" w:eastAsia="Times New Roman" w:hAnsi="Times New Roman"/>
          <w:sz w:val="18"/>
          <w:szCs w:val="18"/>
          <w:color w:val="auto"/>
        </w:rPr>
        <w:t>. As a condition of exercising the Option, I agree to make adequate provision for foreign, federal, state or other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obligations, if any, which arise upon the grant, vesting or exercise of this Option, or disposition of the Purchased Shares, whether by withholding, direct payment to the Company, or otherwise.</w:t>
      </w:r>
    </w:p>
    <w:p>
      <w:pPr>
        <w:spacing w:after="0" w:line="62" w:lineRule="exact"/>
        <w:rPr>
          <w:rFonts w:ascii="Times New Roman" w:cs="Times New Roman" w:eastAsia="Times New Roman" w:hAnsi="Times New Roman"/>
          <w:sz w:val="18"/>
          <w:szCs w:val="18"/>
          <w:color w:val="auto"/>
        </w:rPr>
      </w:pPr>
    </w:p>
    <w:p>
      <w:pPr>
        <w:ind w:left="6" w:right="60" w:hanging="6"/>
        <w:spacing w:after="0" w:line="265" w:lineRule="auto"/>
        <w:tabs>
          <w:tab w:leader="none" w:pos="273"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IMPORTANT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HAVE REVIEWED WITH MY OWN TAX ADVISORS THE FEDERAL, STATE, LOCAL AND FOREIGN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CONSEQUENCES OF THIS INVESTMENT AND THE TRANSACTIONS CONTEMPLATED BY THIS AGREEMENT. I AM RELYING SOLELY ON SUCH ADVISORS AND NOT ON ANY STATEMENTS OR REPRESENTATIONS OF THE COMPANY OR ITS AGENTS.</w:t>
      </w:r>
    </w:p>
    <w:p>
      <w:pPr>
        <w:spacing w:after="0" w:line="10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6"/>
          </w:cols>
          <w:pgMar w:left="494" w:top="268" w:right="499"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2">
                      <a:extLst>
                        <a:ext uri="{28A0092B-C50C-407E-A947-70E740481C1C}"/>
                      </a:extLst>
                    </a:blip>
                    <a:srcRect/>
                    <a:stretch>
                      <a:fillRect/>
                    </a:stretch>
                  </pic:blipFill>
                  <pic:spPr bwMode="auto">
                    <a:xfrm>
                      <a:off x="0" y="0"/>
                      <a:ext cx="7150735" cy="24765"/>
                    </a:xfrm>
                    <a:prstGeom prst="rect">
                      <a:avLst/>
                    </a:prstGeom>
                    <a:noFill/>
                  </pic:spPr>
                </pic:pic>
              </a:graphicData>
            </a:graphic>
          </wp:anchor>
        </w:drawing>
        <w:t>The undersigned hereby executes and delivers this Stock Option Exercise Notice and Agreement and agrees to be bound by its terms</w:t>
      </w:r>
    </w:p>
    <w:p>
      <w:pPr>
        <w:spacing w:after="0" w:line="255"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275590</wp:posOffset>
            </wp:positionV>
            <wp:extent cx="471614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3">
                      <a:extLst>
                        <a:ext uri="{28A0092B-C50C-407E-A947-70E740481C1C}"/>
                      </a:extLst>
                    </a:blip>
                    <a:srcRect/>
                    <a:stretch>
                      <a:fillRect/>
                    </a:stretch>
                  </pic:blipFill>
                  <pic:spPr bwMode="auto">
                    <a:xfrm>
                      <a:off x="0" y="0"/>
                      <a:ext cx="4716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1</w:t>
      </w:r>
      <w:r>
        <w:rPr>
          <w:rFonts w:ascii="Times New Roman" w:cs="Times New Roman" w:eastAsia="Times New Roman" w:hAnsi="Times New Roman"/>
          <w:sz w:val="18"/>
          <w:szCs w:val="18"/>
          <w:color w:val="auto"/>
        </w:rPr>
        <w:t>– Stock Powers and Assignments Separate from Stock Certificate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2</w:t>
      </w:r>
      <w:r>
        <w:rPr>
          <w:rFonts w:ascii="Times New Roman" w:cs="Times New Roman" w:eastAsia="Times New Roman" w:hAnsi="Times New Roman"/>
          <w:sz w:val="18"/>
          <w:szCs w:val="18"/>
          <w:color w:val="auto"/>
        </w:rPr>
        <w:t>– Spousal Consent</w:t>
      </w:r>
    </w:p>
    <w:p>
      <w:pPr>
        <w:spacing w:after="0" w:line="200" w:lineRule="exact"/>
        <w:rPr>
          <w:sz w:val="20"/>
          <w:szCs w:val="20"/>
          <w:color w:val="auto"/>
        </w:rPr>
      </w:pPr>
    </w:p>
    <w:p>
      <w:pPr>
        <w:spacing w:after="0" w:line="234"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[Signature Page to Stock Option Exercise Notice and Agreement]</w:t>
      </w:r>
    </w:p>
    <w:p>
      <w:pPr>
        <w:spacing w:after="0" w:line="158"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959"/>
          </w:cols>
          <w:pgMar w:left="500" w:top="267" w:right="1440" w:bottom="1440" w:gutter="0" w:footer="0" w:header="0"/>
        </w:sectPr>
      </w:pPr>
    </w:p>
    <w:bookmarkStart w:id="478" w:name="page479"/>
    <w:bookmarkEnd w:id="4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4">
                      <a:extLst>
                        <a:ext uri="{28A0092B-C50C-407E-A947-70E740481C1C}"/>
                      </a:extLst>
                    </a:blip>
                    <a:srcRect/>
                    <a:stretch>
                      <a:fillRect/>
                    </a:stretch>
                  </pic:blipFill>
                  <pic:spPr bwMode="auto">
                    <a:xfrm>
                      <a:off x="0" y="0"/>
                      <a:ext cx="7150735" cy="24765"/>
                    </a:xfrm>
                    <a:prstGeom prst="rect">
                      <a:avLst/>
                    </a:prstGeom>
                    <a:noFill/>
                  </pic:spPr>
                </pic:pic>
              </a:graphicData>
            </a:graphic>
          </wp:anchor>
        </w:drawing>
        <w:t>EXHIBIT 1</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STOCK POWERS AND ASSIGNMENTS SEPARATE FROM STOCK CERTIFICATE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019"/>
          </w:cols>
          <w:pgMar w:left="1440" w:top="263" w:right="1440" w:bottom="1440" w:gutter="0" w:footer="0" w:header="0"/>
        </w:sectPr>
      </w:pPr>
    </w:p>
    <w:bookmarkStart w:id="479" w:name="page480"/>
    <w:bookmarkEnd w:id="479"/>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5">
                      <a:extLst>
                        <a:ext uri="{28A0092B-C50C-407E-A947-70E740481C1C}"/>
                      </a:extLst>
                    </a:blip>
                    <a:srcRect/>
                    <a:stretch>
                      <a:fillRect/>
                    </a:stretch>
                  </pic:blipFill>
                  <pic:spPr bwMode="auto">
                    <a:xfrm>
                      <a:off x="0" y="0"/>
                      <a:ext cx="7150735" cy="24765"/>
                    </a:xfrm>
                    <a:prstGeom prst="rect">
                      <a:avLst/>
                    </a:prstGeom>
                    <a:noFill/>
                  </pic:spPr>
                </pic:pic>
              </a:graphicData>
            </a:graphic>
          </wp:anchor>
        </w:drawing>
        <w:t>Stock Power And Assignment</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Separate From Stock Certificate</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VALUE RECEIVED and pursuant to that certain Stock Option Exercise Notice and Agreement, dated as of _______________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undersigned hereby sells, assigns and transfers unto ___________________________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__________ shares of the</w:t>
      </w:r>
    </w:p>
    <w:p>
      <w:pPr>
        <w:spacing w:after="0" w:line="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Common Stock of GoodRx Holdings,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standing in the undersigned’s name on the books of the Company represented by Certificate No(s).________ delivered herewith, and does hereby irrevocably constitute and appoint the Secretary of the Company as the</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undersigned’s attorney-in-fact, with full power of substitution, to transfer said stock on the books of the Company. </w:t>
      </w:r>
      <w:r>
        <w:rPr>
          <w:rFonts w:ascii="Times New Roman" w:cs="Times New Roman" w:eastAsia="Times New Roman" w:hAnsi="Times New Roman"/>
          <w:sz w:val="18"/>
          <w:szCs w:val="18"/>
          <w:i w:val="1"/>
          <w:iCs w:val="1"/>
          <w:color w:val="auto"/>
        </w:rPr>
        <w:t>THIS ASSIGNMENT MAY ONLY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USED AS AUTHORIZED BY THE AGREEMENT AND ANY EXHIBITS THERETO</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304165</wp:posOffset>
            </wp:positionV>
            <wp:extent cx="276542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6">
                      <a:extLst>
                        <a:ext uri="{28A0092B-C50C-407E-A947-70E740481C1C}"/>
                      </a:extLst>
                    </a:blip>
                    <a:srcRect/>
                    <a:stretch>
                      <a:fillRect/>
                    </a:stretch>
                  </pic:blipFill>
                  <pic:spPr bwMode="auto">
                    <a:xfrm>
                      <a:off x="0" y="0"/>
                      <a:ext cx="2765425" cy="825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-8890</wp:posOffset>
            </wp:positionV>
            <wp:extent cx="56515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7">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287655</wp:posOffset>
            </wp:positionV>
            <wp:extent cx="276542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8">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287655</wp:posOffset>
            </wp:positionV>
            <wp:extent cx="276542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9">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(Signature)(Purchaser’s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287655</wp:posOffset>
            </wp:positionV>
            <wp:extent cx="276542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0">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216"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b w:val="1"/>
          <w:bCs w:val="1"/>
          <w:u w:val="single" w:color="auto"/>
          <w:color w:val="auto"/>
        </w:rPr>
        <w:t>Instruction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Please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fill in any blanks other than the signature line. The purpose of this Stock Power and Assignment is to enable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its assignee(s) to acquire the shares upon exercise of its rights under the Agreement, as set forth in the Agreement, without requiring additional signatures on the part of Purchaser or Purchaser’s Spouse.</w:t>
      </w:r>
    </w:p>
    <w:p>
      <w:pPr>
        <w:spacing w:after="0" w:line="1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00"/>
          </w:cols>
          <w:pgMar w:left="500" w:top="263" w:right="599" w:bottom="1440" w:gutter="0" w:footer="0" w:header="0"/>
        </w:sectPr>
      </w:pPr>
    </w:p>
    <w:bookmarkStart w:id="480" w:name="page481"/>
    <w:bookmarkEnd w:id="480"/>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Stock Power And Assignment</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Separate From Stock Certificate</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VALUE RECEIVED and pursuant to that certain Stock Option Exercise Notice and Agreement, dated as of _______________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undersigned hereby sells, assigns and transfers unto ___________________________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__________ shares of the</w:t>
      </w:r>
    </w:p>
    <w:p>
      <w:pPr>
        <w:spacing w:after="0" w:line="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Common Stock of GoodRx Holdings,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standing in the undersigned’s name on the books of the Company represented by Certificate No(s).________ delivered herewith, and does hereby irrevocably constitute and appoint the Secretary of the Company as the</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undersigned’s attorney-in-fact, with full power of substitution, to transfer said stock on the books of the Company. </w:t>
      </w:r>
      <w:r>
        <w:rPr>
          <w:rFonts w:ascii="Times New Roman" w:cs="Times New Roman" w:eastAsia="Times New Roman" w:hAnsi="Times New Roman"/>
          <w:sz w:val="18"/>
          <w:szCs w:val="18"/>
          <w:i w:val="1"/>
          <w:iCs w:val="1"/>
          <w:color w:val="auto"/>
        </w:rPr>
        <w:t>THIS ASSIGNMENT MAY ONLY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USED AS AUTHORIZED BY THE AGREEMENT AND ANY EXHIBITS THERETO</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304165</wp:posOffset>
            </wp:positionV>
            <wp:extent cx="276542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2">
                      <a:extLst>
                        <a:ext uri="{28A0092B-C50C-407E-A947-70E740481C1C}"/>
                      </a:extLst>
                    </a:blip>
                    <a:srcRect/>
                    <a:stretch>
                      <a:fillRect/>
                    </a:stretch>
                  </pic:blipFill>
                  <pic:spPr bwMode="auto">
                    <a:xfrm>
                      <a:off x="0" y="0"/>
                      <a:ext cx="2765425" cy="825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-8890</wp:posOffset>
            </wp:positionV>
            <wp:extent cx="56515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3">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287655</wp:posOffset>
            </wp:positionV>
            <wp:extent cx="276542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4">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287655</wp:posOffset>
            </wp:positionV>
            <wp:extent cx="276542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5">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(Signature)(Purchaser’s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287655</wp:posOffset>
            </wp:positionV>
            <wp:extent cx="276542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6">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216"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b w:val="1"/>
          <w:bCs w:val="1"/>
          <w:u w:val="single" w:color="auto"/>
          <w:color w:val="auto"/>
        </w:rPr>
        <w:t>Instruction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Please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fill in any blanks other than the signature line. The purpose of this Stock Power and Assignment is to enable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its assignee(s) to acquire the shares upon exercise of its rights under the Agreement, as set forth in the Agreement, without requiring additional signatures on the part of Purchaser or Purchaser’s Spouse.</w:t>
      </w:r>
    </w:p>
    <w:p>
      <w:pPr>
        <w:spacing w:after="0" w:line="1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00"/>
          </w:cols>
          <w:pgMar w:left="500" w:top="264" w:right="599" w:bottom="1440" w:gutter="0" w:footer="0" w:header="0"/>
        </w:sectPr>
      </w:pPr>
    </w:p>
    <w:bookmarkStart w:id="481" w:name="page482"/>
    <w:bookmarkEnd w:id="4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2</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CONSENT OF SPOUSE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019"/>
          </w:cols>
          <w:pgMar w:left="1440" w:top="264" w:right="1440" w:bottom="1440" w:gutter="0" w:footer="0" w:header="0"/>
        </w:sectPr>
      </w:pPr>
    </w:p>
    <w:bookmarkStart w:id="482" w:name="page483"/>
    <w:bookmarkEnd w:id="48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8">
                      <a:extLst>
                        <a:ext uri="{28A0092B-C50C-407E-A947-70E740481C1C}"/>
                      </a:extLst>
                    </a:blip>
                    <a:srcRect/>
                    <a:stretch>
                      <a:fillRect/>
                    </a:stretch>
                  </pic:blipFill>
                  <pic:spPr bwMode="auto">
                    <a:xfrm>
                      <a:off x="0" y="0"/>
                      <a:ext cx="7150735" cy="24765"/>
                    </a:xfrm>
                    <a:prstGeom prst="rect">
                      <a:avLst/>
                    </a:prstGeom>
                    <a:noFill/>
                  </pic:spPr>
                </pic:pic>
              </a:graphicData>
            </a:graphic>
          </wp:anchor>
        </w:drawing>
        <w:t>CONSENT OF SPOUSE</w:t>
      </w:r>
    </w:p>
    <w:p>
      <w:pPr>
        <w:spacing w:after="0" w:line="224" w:lineRule="exact"/>
        <w:rPr>
          <w:sz w:val="20"/>
          <w:szCs w:val="20"/>
          <w:color w:val="auto"/>
        </w:rPr>
      </w:pPr>
    </w:p>
    <w:p>
      <w:pPr>
        <w:ind w:firstLine="436"/>
        <w:spacing w:after="0" w:line="277" w:lineRule="auto"/>
        <w:rPr>
          <w:sz w:val="20"/>
          <w:szCs w:val="20"/>
          <w:color w:val="auto"/>
        </w:rPr>
      </w:pPr>
      <w:r>
        <w:rPr>
          <w:rFonts w:ascii="Times New Roman" w:cs="Times New Roman" w:eastAsia="Times New Roman" w:hAnsi="Times New Roman"/>
          <w:sz w:val="18"/>
          <w:szCs w:val="18"/>
          <w:color w:val="auto"/>
        </w:rPr>
        <w:t>The undersigned spouse hereby acknowledges that I have read the following plans, arrangements and agreements to which my spouse is a party or subject: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GoodRx Holdings, Inc. [Option][Stock] Agreement, dated _________, ____ GoodRx Holdings, Inc. 2015 Equity Incentive Plan (the “</w:t>
      </w:r>
      <w:r>
        <w:rPr>
          <w:rFonts w:ascii="Times New Roman" w:cs="Times New Roman" w:eastAsia="Times New Roman" w:hAnsi="Times New Roman"/>
          <w:sz w:val="18"/>
          <w:szCs w:val="18"/>
          <w:b w:val="1"/>
          <w:bCs w:val="1"/>
          <w:u w:val="single" w:color="auto"/>
          <w:color w:val="auto"/>
        </w:rPr>
        <w:t>Pla</w:t>
      </w:r>
      <w:r>
        <w:rPr>
          <w:rFonts w:ascii="Times New Roman" w:cs="Times New Roman" w:eastAsia="Times New Roman" w:hAnsi="Times New Roman"/>
          <w:sz w:val="18"/>
          <w:szCs w:val="18"/>
          <w:b w:val="1"/>
          <w:bCs w:val="1"/>
          <w:color w:val="auto"/>
        </w:rPr>
        <w:t>n”)</w:t>
      </w:r>
    </w:p>
    <w:p>
      <w:pPr>
        <w:spacing w:after="0" w:line="22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and that I understand their contents. I am aware that such plans, arrangements and agreements (i) provide for the repurchase, under certain circumstances, of any and all shares of capital stock of GoodRx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that are ever acquired by my spouse pursuant to the Plan and (ii) impose certain obligations upon my spouse and restrictions on transfer of my spouse’s shares of capital stock of the Company under certain circumstances. I agree that my spouse’s interest in the capital stock of the Company is subject to the documents referred to above and the other agreements referred to therein and any interest I may have in the Company or in such capital stock shall be irrevocably bound by these agreements and the other agreements referred to therein, and further agree that any community property interest of mine (if any) shall be similarly bound by these agreements.</w:t>
      </w:r>
    </w:p>
    <w:p>
      <w:pPr>
        <w:spacing w:after="0" w:line="189" w:lineRule="exact"/>
        <w:rPr>
          <w:sz w:val="20"/>
          <w:szCs w:val="20"/>
          <w:color w:val="auto"/>
        </w:rPr>
      </w:pPr>
    </w:p>
    <w:p>
      <w:pPr>
        <w:ind w:right="60" w:firstLine="436"/>
        <w:spacing w:after="0" w:line="274" w:lineRule="auto"/>
        <w:rPr>
          <w:sz w:val="20"/>
          <w:szCs w:val="20"/>
          <w:color w:val="auto"/>
        </w:rPr>
      </w:pPr>
      <w:r>
        <w:rPr>
          <w:rFonts w:ascii="Times New Roman" w:cs="Times New Roman" w:eastAsia="Times New Roman" w:hAnsi="Times New Roman"/>
          <w:sz w:val="17"/>
          <w:szCs w:val="17"/>
          <w:color w:val="auto"/>
        </w:rPr>
        <w:t>For the benefit of the Company (which is relying hereon), the undersigned spouse irrevocably constitutes and appoints, on behalf of himself or herself and his or her heirs, legatees and assigns, ___________________, who is the spouse of the undersigned (the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as the undersigned’s</w:t>
      </w:r>
    </w:p>
    <w:p>
      <w:pPr>
        <w:spacing w:after="0" w:line="248" w:lineRule="auto"/>
        <w:rPr>
          <w:sz w:val="20"/>
          <w:szCs w:val="20"/>
          <w:color w:val="auto"/>
        </w:rPr>
      </w:pPr>
      <w:r>
        <w:rPr>
          <w:rFonts w:ascii="Times New Roman" w:cs="Times New Roman" w:eastAsia="Times New Roman" w:hAnsi="Times New Roman"/>
          <w:sz w:val="18"/>
          <w:szCs w:val="18"/>
          <w:color w:val="auto"/>
        </w:rPr>
        <w:t>true and lawful attorney and proxy in his or her name, place and stead to sign, make, execute, acknowledge, deliver, file and record all documents which may be required, and to manage, vote, act and make all decisions with respect to (whether necessary, incidental, convenient or otherwise), any and all shares or capital stock or options to acquire capital stock of the Company in which the undersigned now has or hereafter acquires any interest and in any and all shares of the Company now or hereafter held of record by the Participant (including but not limited to the right, without further signature, consent or knowledge of the undersigned spouse, to exercise or not to exercise any and all options under any appropriate agreements and to exercise amendments and modifications of and to terminate the foregoing agreements and to dispose of any and all shares of capital stock or options to acquire capital stock of the Company), with all powers the undersigned spouse would possess if personally present, it being expressly understood and intended by the undersigned that the foregoing power of attorney and proxy is coupled with an interest; and this power of attorney is a durable power of attorney and will not be affected by disability, incapacity or death of the Participant, or dissolution of marriage and this proxy will not terminate without consent of the Participant and the Company.</w:t>
      </w:r>
    </w:p>
    <w:p>
      <w:pPr>
        <w:sectPr>
          <w:pgSz w:w="11900" w:h="16838" w:orient="portrait"/>
          <w:cols w:equalWidth="0" w:num="1">
            <w:col w:w="10860"/>
          </w:cols>
          <w:pgMar w:left="500" w:top="263" w:right="539" w:bottom="1440" w:gutter="0" w:footer="0" w:header="0"/>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 Participant: _________________</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______________________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Printed Name: 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Spouse of Plan Participant: 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__________________________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Printed Name: _______________________</w:t>
      </w:r>
    </w:p>
    <w:p>
      <w:pPr>
        <w:spacing w:after="0" w:line="200" w:lineRule="exact"/>
        <w:rPr>
          <w:sz w:val="20"/>
          <w:szCs w:val="20"/>
          <w:color w:val="auto"/>
        </w:rPr>
      </w:pPr>
    </w:p>
    <w:p>
      <w:pPr>
        <w:sectPr>
          <w:pgSz w:w="11900" w:h="16838" w:orient="portrait"/>
          <w:cols w:equalWidth="0" w:num="2">
            <w:col w:w="4960" w:space="720"/>
            <w:col w:w="5180"/>
          </w:cols>
          <w:pgMar w:left="500" w:top="263" w:right="539" w:bottom="1440" w:gutter="0" w:footer="0" w:header="0"/>
          <w:type w:val="continuous"/>
        </w:sectPr>
      </w:pPr>
    </w:p>
    <w:p>
      <w:pPr>
        <w:spacing w:after="0" w:line="13"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I do not have a spouse.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860"/>
          </w:cols>
          <w:pgMar w:left="500" w:top="263" w:right="539" w:bottom="1440" w:gutter="0" w:footer="0" w:header="0"/>
          <w:type w:val="continuous"/>
        </w:sectPr>
      </w:pPr>
    </w:p>
    <w:bookmarkStart w:id="483" w:name="page484"/>
    <w:bookmarkEnd w:id="48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Sign if box above is checked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1595120</wp:posOffset>
            </wp:positionH>
            <wp:positionV relativeFrom="paragraph">
              <wp:posOffset>15875</wp:posOffset>
            </wp:positionV>
            <wp:extent cx="262953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0">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1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NAME:</w:t>
      </w:r>
    </w:p>
    <w:p>
      <w:pPr>
        <w:spacing w:after="0" w:line="15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959"/>
          </w:cols>
          <w:pgMar w:left="500" w:top="267" w:right="1440" w:bottom="1440" w:gutter="0" w:footer="0" w:header="0"/>
        </w:sectPr>
      </w:pPr>
    </w:p>
    <w:bookmarkStart w:id="484" w:name="page485"/>
    <w:bookmarkEnd w:id="484"/>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VESTED ONLY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EQUITY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STOCK OPTION GRANT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114300</wp:posOffset>
            </wp:positionV>
            <wp:extent cx="118681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2">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3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You have been granted an option to purchase Common Stock of GoodRx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follows:</w:t>
      </w:r>
    </w:p>
    <w:p>
      <w:pPr>
        <w:sectPr>
          <w:pgSz w:w="11900" w:h="16838" w:orient="portrait"/>
          <w:cols w:equalWidth="0" w:num="1">
            <w:col w:w="10900"/>
          </w:cols>
          <w:pgMar w:left="500" w:top="268" w:right="499" w:bottom="1440" w:gutter="0" w:footer="0" w:header="0"/>
        </w:sectPr>
      </w:pP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eshares</w:t>
      </w:r>
    </w:p>
    <w:p>
      <w:pPr>
        <w:spacing w:after="0" w:line="125" w:lineRule="exact"/>
        <w:rPr>
          <w:sz w:val="20"/>
          <w:szCs w:val="20"/>
          <w:color w:val="auto"/>
        </w:rPr>
      </w:pPr>
    </w:p>
    <w:p>
      <w:pPr>
        <w:sectPr>
          <w:pgSz w:w="11900" w:h="16838" w:orient="portrait"/>
          <w:cols w:equalWidth="0" w:num="2">
            <w:col w:w="2960" w:space="720"/>
            <w:col w:w="7220"/>
          </w:cols>
          <w:pgMar w:left="500" w:top="268" w:right="4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See eshares</w:t>
      </w:r>
    </w:p>
    <w:p>
      <w:pPr>
        <w:spacing w:after="0" w:line="125" w:lineRule="exact"/>
        <w:rPr>
          <w:sz w:val="20"/>
          <w:szCs w:val="20"/>
          <w:color w:val="auto"/>
        </w:rPr>
      </w:pPr>
    </w:p>
    <w:p>
      <w:pPr>
        <w:sectPr>
          <w:pgSz w:w="11900" w:h="16838" w:orient="portrait"/>
          <w:cols w:equalWidth="0" w:num="2">
            <w:col w:w="2960" w:space="720"/>
            <w:col w:w="7220"/>
          </w:cols>
          <w:pgMar w:left="500" w:top="268" w:right="499" w:bottom="1440" w:gutter="0" w:footer="0" w:header="0"/>
          <w:type w:val="continuous"/>
        </w:sectPr>
      </w:pPr>
    </w:p>
    <w:p>
      <w:pPr>
        <w:ind w:left="440"/>
        <w:spacing w:after="0" w:line="277" w:lineRule="auto"/>
        <w:rPr>
          <w:sz w:val="20"/>
          <w:szCs w:val="20"/>
          <w:color w:val="auto"/>
        </w:rPr>
      </w:pPr>
      <w:r>
        <w:rPr>
          <w:rFonts w:ascii="Times New Roman" w:cs="Times New Roman" w:eastAsia="Times New Roman" w:hAnsi="Times New Roman"/>
          <w:sz w:val="18"/>
          <w:szCs w:val="18"/>
          <w:color w:val="auto"/>
        </w:rPr>
        <w:t>Total Number of Shares of Common Stock (the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See eshares</w:t>
      </w:r>
    </w:p>
    <w:p>
      <w:pPr>
        <w:spacing w:after="0" w:line="339" w:lineRule="exact"/>
        <w:rPr>
          <w:sz w:val="20"/>
          <w:szCs w:val="20"/>
          <w:color w:val="auto"/>
        </w:rPr>
      </w:pPr>
    </w:p>
    <w:p>
      <w:pPr>
        <w:sectPr>
          <w:pgSz w:w="11900" w:h="16838" w:orient="portrait"/>
          <w:cols w:equalWidth="0" w:num="2">
            <w:col w:w="3480" w:space="200"/>
            <w:col w:w="7220"/>
          </w:cols>
          <w:pgMar w:left="500" w:top="268" w:right="4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Nonstatutory Stock Option</w:t>
      </w:r>
    </w:p>
    <w:p>
      <w:pPr>
        <w:spacing w:after="0" w:line="125" w:lineRule="exact"/>
        <w:rPr>
          <w:sz w:val="20"/>
          <w:szCs w:val="20"/>
          <w:color w:val="auto"/>
        </w:rPr>
      </w:pPr>
    </w:p>
    <w:p>
      <w:pPr>
        <w:sectPr>
          <w:pgSz w:w="11900" w:h="16838" w:orient="portrait"/>
          <w:cols w:equalWidth="0" w:num="2">
            <w:col w:w="2960" w:space="720"/>
            <w:col w:w="7220"/>
          </w:cols>
          <w:pgMar w:left="500" w:top="268" w:right="4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Expiration Date:</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Times New Roman" w:cs="Times New Roman" w:eastAsia="Times New Roman" w:hAnsi="Times New Roman"/>
          <w:sz w:val="18"/>
          <w:szCs w:val="18"/>
          <w:color w:val="auto"/>
        </w:rPr>
        <w:t>See eshares. This Option expires earlier if Optionee’s service terminates earlier, as provided in the Option Agreement.</w:t>
      </w:r>
    </w:p>
    <w:p>
      <w:pPr>
        <w:spacing w:after="0" w:line="57" w:lineRule="exact"/>
        <w:rPr>
          <w:sz w:val="20"/>
          <w:szCs w:val="20"/>
          <w:color w:val="auto"/>
        </w:rPr>
      </w:pPr>
    </w:p>
    <w:p>
      <w:pPr>
        <w:sectPr>
          <w:pgSz w:w="11900" w:h="16838" w:orient="portrait"/>
          <w:cols w:equalWidth="0" w:num="2">
            <w:col w:w="2960" w:space="720"/>
            <w:col w:w="7220"/>
          </w:cols>
          <w:pgMar w:left="500" w:top="268" w:right="4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See eshares</w:t>
      </w:r>
    </w:p>
    <w:p>
      <w:pPr>
        <w:spacing w:after="0" w:line="125" w:lineRule="exact"/>
        <w:rPr>
          <w:sz w:val="20"/>
          <w:szCs w:val="20"/>
          <w:color w:val="auto"/>
        </w:rPr>
      </w:pPr>
    </w:p>
    <w:p>
      <w:pPr>
        <w:sectPr>
          <w:pgSz w:w="11900" w:h="16838" w:orient="portrait"/>
          <w:cols w:equalWidth="0" w:num="2">
            <w:col w:w="2960" w:space="720"/>
            <w:col w:w="7220"/>
          </w:cols>
          <w:pgMar w:left="500" w:top="268" w:right="4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Exercisability: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Only vested Shares may be exercised.</w:t>
      </w:r>
    </w:p>
    <w:p>
      <w:pPr>
        <w:spacing w:after="0" w:line="125" w:lineRule="exact"/>
        <w:rPr>
          <w:sz w:val="20"/>
          <w:szCs w:val="20"/>
          <w:color w:val="auto"/>
        </w:rPr>
      </w:pPr>
    </w:p>
    <w:p>
      <w:pPr>
        <w:sectPr>
          <w:pgSz w:w="11900" w:h="16838" w:orient="portrait"/>
          <w:cols w:equalWidth="0" w:num="2">
            <w:col w:w="2960" w:space="720"/>
            <w:col w:w="7220"/>
          </w:cols>
          <w:pgMar w:left="500" w:top="268" w:right="4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Vesting/Exercise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See eshares</w:t>
      </w:r>
    </w:p>
    <w:p>
      <w:pPr>
        <w:spacing w:after="0" w:line="125" w:lineRule="exact"/>
        <w:rPr>
          <w:sz w:val="20"/>
          <w:szCs w:val="20"/>
          <w:color w:val="auto"/>
        </w:rPr>
      </w:pPr>
    </w:p>
    <w:p>
      <w:pPr>
        <w:sectPr>
          <w:pgSz w:w="11900" w:h="16838" w:orient="portrait"/>
          <w:cols w:equalWidth="0" w:num="2">
            <w:col w:w="2960" w:space="720"/>
            <w:col w:w="7220"/>
          </w:cols>
          <w:pgMar w:left="500" w:top="268" w:right="4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Termination Period:</w:t>
      </w:r>
    </w:p>
    <w:p>
      <w:pPr>
        <w:spacing w:after="0" w:line="20" w:lineRule="exact"/>
        <w:rPr>
          <w:sz w:val="20"/>
          <w:szCs w:val="20"/>
          <w:color w:val="auto"/>
        </w:rPr>
      </w:pPr>
      <w:r>
        <w:rPr>
          <w:sz w:val="20"/>
          <w:szCs w:val="20"/>
          <w:color w:val="auto"/>
        </w:rPr>
        <w:br w:type="column"/>
      </w:r>
    </w:p>
    <w:p>
      <w:pPr>
        <w:ind w:right="40"/>
        <w:spacing w:after="0" w:line="255" w:lineRule="auto"/>
        <w:rPr>
          <w:sz w:val="20"/>
          <w:szCs w:val="20"/>
          <w:color w:val="auto"/>
        </w:rPr>
      </w:pPr>
      <w:r>
        <w:rPr>
          <w:rFonts w:ascii="Times New Roman" w:cs="Times New Roman" w:eastAsia="Times New Roman" w:hAnsi="Times New Roman"/>
          <w:sz w:val="18"/>
          <w:szCs w:val="18"/>
          <w:color w:val="auto"/>
        </w:rPr>
        <w:t>The Option may be exercised for one (1) month after termination of employment or consulting relationship except as set out in Section 3 of the Option Agreement (but in no event after the Expiration Date). Optionee is solely responsible for keeping track of these exercise periods following termination for any reason of his or her relationship with the Company. The Company will not provide further notice of such periods.</w:t>
      </w:r>
    </w:p>
    <w:p>
      <w:pPr>
        <w:sectPr>
          <w:pgSz w:w="11900" w:h="16838" w:orient="portrait"/>
          <w:cols w:equalWidth="0" w:num="2">
            <w:col w:w="2960" w:space="720"/>
            <w:col w:w="7220"/>
          </w:cols>
          <w:pgMar w:left="500" w:top="268" w:right="499" w:bottom="1440" w:gutter="0" w:footer="0" w:header="0"/>
          <w:type w:val="continuous"/>
        </w:sectPr>
      </w:pPr>
    </w:p>
    <w:bookmarkStart w:id="485" w:name="page486"/>
    <w:bookmarkEnd w:id="485"/>
    <w:p>
      <w:pPr>
        <w:jc w:val="both"/>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By your signature and the signature of the Company’s representative below, you and the Company agree that this Option is granted under and governed by the terms and conditions of the GoodRx Holdings, Inc. 2015 Equity Incentive Plan and Option Agreement, both of which are attached to and made a part of this document.</w:t>
      </w:r>
    </w:p>
    <w:p>
      <w:pPr>
        <w:spacing w:after="0" w:line="177"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In addition, you agree and acknowledge that your rights to any Shares underlying this Option will be earned only as you provide services to the Company over time, that the grant of this Option is not as consideration for services you rendered to the Company prior to your date of hire,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w:t>
      </w:r>
    </w:p>
    <w:p>
      <w:pPr>
        <w:spacing w:after="0" w:line="183"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Also, to the extent applicable, the Exercise Price Per Share has been set in good faith compliance with the applicable guidance issued by the IRS under Section 409A of the Code. However, there is no guarantee that the IRS will agree with the valuation, and by signing below, you agree and acknowledge that the Company, its Board, officers, employees and agents shall not be held liable for any applicable costs, taxes, or penalties associated with this Option if, in fact, the IRS or any other person (including, without limitation, a successor corporation or an acquirer in a Sale of the Company) were to determine that this Option constitutes deferred compensation under Section 409A of the Code. You should consult with your own tax advisor concerning the tax consequences of such a determination by the IRS.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OPTIONEE: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00"/>
          </w:cols>
          <w:pgMar w:left="500" w:top="268" w:right="599" w:bottom="1440" w:gutter="0" w:footer="0" w:header="0"/>
        </w:sectPr>
      </w:pPr>
    </w:p>
    <w:bookmarkStart w:id="486" w:name="page487"/>
    <w:bookmarkEnd w:id="486"/>
    <w:p>
      <w:pPr>
        <w:jc w:val="center"/>
        <w:ind w:right="-45"/>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OPTION AGREEMENT</w:t>
      </w:r>
    </w:p>
    <w:p>
      <w:pPr>
        <w:spacing w:after="0" w:line="220"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OOD</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X</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b w:val="1"/>
          <w:bCs w:val="1"/>
          <w:color w:val="auto"/>
        </w:rPr>
        <w:t>2015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0"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7"/>
          <w:szCs w:val="17"/>
          <w:color w:val="auto"/>
        </w:rPr>
        <w:t>This Option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made and entered into as of the date of grant (the “</w:t>
      </w:r>
      <w:r>
        <w:rPr>
          <w:rFonts w:ascii="Times New Roman" w:cs="Times New Roman" w:eastAsia="Times New Roman" w:hAnsi="Times New Roman"/>
          <w:sz w:val="17"/>
          <w:szCs w:val="17"/>
          <w:b w:val="1"/>
          <w:bCs w:val="1"/>
          <w:i w:val="1"/>
          <w:iCs w:val="1"/>
          <w:color w:val="auto"/>
        </w:rPr>
        <w:t>Date of Grant</w:t>
      </w:r>
      <w:r>
        <w:rPr>
          <w:rFonts w:ascii="Times New Roman" w:cs="Times New Roman" w:eastAsia="Times New Roman" w:hAnsi="Times New Roman"/>
          <w:sz w:val="17"/>
          <w:szCs w:val="17"/>
          <w:color w:val="auto"/>
        </w:rPr>
        <w:t>”) set forth on the Notice of Stock</w:t>
      </w:r>
    </w:p>
    <w:p>
      <w:pPr>
        <w:spacing w:after="0" w:line="4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Option Grant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by and between GoodRx Holdings, Inc., a Delaware corporation (together with any successor thereto, the</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optionee named on the Grant Notice (the “</w:t>
      </w:r>
      <w:r>
        <w:rPr>
          <w:rFonts w:ascii="Times New Roman" w:cs="Times New Roman" w:eastAsia="Times New Roman" w:hAnsi="Times New Roman"/>
          <w:sz w:val="18"/>
          <w:szCs w:val="18"/>
          <w:b w:val="1"/>
          <w:bCs w:val="1"/>
          <w:i w:val="1"/>
          <w:iCs w:val="1"/>
          <w:color w:val="auto"/>
        </w:rPr>
        <w:t>Optionee</w:t>
      </w:r>
      <w:r>
        <w:rPr>
          <w:rFonts w:ascii="Times New Roman" w:cs="Times New Roman" w:eastAsia="Times New Roman" w:hAnsi="Times New Roman"/>
          <w:sz w:val="18"/>
          <w:szCs w:val="18"/>
          <w:color w:val="auto"/>
        </w:rPr>
        <w:t>”). Capitalized terms not defined in this Agreement shall have the meaning</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ascribed to them in the GoodRx Holdings, Inc. 2015 Equity Incentive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or in the Grant Notice, as</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applicable.</w:t>
      </w:r>
    </w:p>
    <w:p>
      <w:pPr>
        <w:spacing w:after="0" w:line="198" w:lineRule="exact"/>
        <w:rPr>
          <w:sz w:val="20"/>
          <w:szCs w:val="20"/>
          <w:color w:val="auto"/>
        </w:rPr>
      </w:pPr>
    </w:p>
    <w:p>
      <w:pPr>
        <w:ind w:left="6" w:right="260" w:firstLine="430"/>
        <w:spacing w:after="0" w:line="287" w:lineRule="auto"/>
        <w:tabs>
          <w:tab w:leader="none" w:pos="620" w:val="left"/>
        </w:tabs>
        <w:numPr>
          <w:ilvl w:val="0"/>
          <w:numId w:val="3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GRANT OF OPTION</w:t>
      </w:r>
      <w:r>
        <w:rPr>
          <w:rFonts w:ascii="Times New Roman" w:cs="Times New Roman" w:eastAsia="Times New Roman" w:hAnsi="Times New Roman"/>
          <w:sz w:val="17"/>
          <w:szCs w:val="17"/>
          <w:color w:val="auto"/>
        </w:rPr>
        <w:t>. The Company hereby grants to Optionee an option (this “</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to purchase up to the total number of shares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 Stock of the Company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set forth in the Grant Notice as the Shares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at the Exercise Price Per Share set forth in the Grant Notice (the “</w:t>
      </w:r>
      <w:r>
        <w:rPr>
          <w:rFonts w:ascii="Times New Roman" w:cs="Times New Roman" w:eastAsia="Times New Roman" w:hAnsi="Times New Roman"/>
          <w:sz w:val="17"/>
          <w:szCs w:val="17"/>
          <w:b w:val="1"/>
          <w:bCs w:val="1"/>
          <w:i w:val="1"/>
          <w:iCs w:val="1"/>
          <w:color w:val="auto"/>
        </w:rPr>
        <w:t>Exercise Price</w:t>
      </w:r>
      <w:r>
        <w:rPr>
          <w:rFonts w:ascii="Times New Roman" w:cs="Times New Roman" w:eastAsia="Times New Roman" w:hAnsi="Times New Roman"/>
          <w:sz w:val="17"/>
          <w:szCs w:val="17"/>
          <w:color w:val="auto"/>
        </w:rPr>
        <w:t>”), subject to all of the terms and conditions of the Grant Notice, this Agreement and the Plan.</w:t>
      </w:r>
    </w:p>
    <w:p>
      <w:pPr>
        <w:spacing w:after="0" w:line="153" w:lineRule="exact"/>
        <w:rPr>
          <w:rFonts w:ascii="Times New Roman" w:cs="Times New Roman" w:eastAsia="Times New Roman" w:hAnsi="Times New Roman"/>
          <w:sz w:val="17"/>
          <w:szCs w:val="17"/>
          <w:b w:val="1"/>
          <w:bCs w:val="1"/>
          <w:color w:val="auto"/>
        </w:rPr>
      </w:pPr>
    </w:p>
    <w:p>
      <w:pPr>
        <w:ind w:left="606" w:hanging="170"/>
        <w:spacing w:after="0"/>
        <w:tabs>
          <w:tab w:leader="none" w:pos="606" w:val="left"/>
        </w:tabs>
        <w:numPr>
          <w:ilvl w:val="0"/>
          <w:numId w:val="3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right="120" w:firstLine="98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Exercise Period of Option</w:t>
      </w:r>
      <w:r>
        <w:rPr>
          <w:rFonts w:ascii="Times New Roman" w:cs="Times New Roman" w:eastAsia="Times New Roman" w:hAnsi="Times New Roman"/>
          <w:sz w:val="18"/>
          <w:szCs w:val="18"/>
          <w:color w:val="auto"/>
        </w:rPr>
        <w:t>. Subject to the conditions set forth in this Agreement, this Option shall be exercisable during its term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Vesting/Exercise Schedule set forth in the Grant Notice. Notwithstanding any provision in the Plan or this Agreement to the contrary, on or after Optionee’s Termination Date, this Option may not be exercised with respect to any Shares that are Unvested Shares on Optionee’s Termination Date.</w:t>
      </w:r>
    </w:p>
    <w:p>
      <w:pPr>
        <w:spacing w:after="0" w:line="175" w:lineRule="exact"/>
        <w:rPr>
          <w:sz w:val="20"/>
          <w:szCs w:val="20"/>
          <w:color w:val="auto"/>
        </w:rPr>
      </w:pPr>
    </w:p>
    <w:p>
      <w:pPr>
        <w:jc w:val="both"/>
        <w:ind w:left="6" w:right="60" w:firstLine="981"/>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Vesting of Option Shares</w:t>
      </w:r>
      <w:r>
        <w:rPr>
          <w:rFonts w:ascii="Times New Roman" w:cs="Times New Roman" w:eastAsia="Times New Roman" w:hAnsi="Times New Roman"/>
          <w:sz w:val="18"/>
          <w:szCs w:val="18"/>
          <w:color w:val="auto"/>
        </w:rPr>
        <w:t>. Shares with respect to which this Option is vested and exercisable at a given time pursuant to the 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set forth in the Grant Notice are referred to herein as “</w:t>
      </w:r>
      <w:r>
        <w:rPr>
          <w:rFonts w:ascii="Times New Roman" w:cs="Times New Roman" w:eastAsia="Times New Roman" w:hAnsi="Times New Roman"/>
          <w:sz w:val="18"/>
          <w:szCs w:val="18"/>
          <w:b w:val="1"/>
          <w:bCs w:val="1"/>
          <w:i w:val="1"/>
          <w:iCs w:val="1"/>
          <w:color w:val="auto"/>
        </w:rPr>
        <w:t>Vested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Shares with respect to which this Option is not vested or exercisable at a given time pursuant to the Vesting Schedule set forth in the Grant Notice are referred to herein as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Unvested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69"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u w:val="single" w:color="auto"/>
          <w:color w:val="auto"/>
        </w:rPr>
        <w:t>Expiration</w:t>
      </w:r>
      <w:r>
        <w:rPr>
          <w:rFonts w:ascii="Times New Roman" w:cs="Times New Roman" w:eastAsia="Times New Roman" w:hAnsi="Times New Roman"/>
          <w:sz w:val="18"/>
          <w:szCs w:val="18"/>
          <w:color w:val="auto"/>
        </w:rPr>
        <w:t>. The Option shall expire on the Expiration Date set forth in the Grant Notice or earlier as provided in Section 3 below.</w:t>
      </w:r>
    </w:p>
    <w:p>
      <w:pPr>
        <w:spacing w:after="0" w:line="220"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b w:val="1"/>
          <w:bCs w:val="1"/>
          <w:color w:val="auto"/>
        </w:rPr>
        <w:t>3. TERMINATION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firstLine="981"/>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3.1. </w:t>
      </w:r>
      <w:r>
        <w:rPr>
          <w:rFonts w:ascii="Times New Roman" w:cs="Times New Roman" w:eastAsia="Times New Roman" w:hAnsi="Times New Roman"/>
          <w:sz w:val="17"/>
          <w:szCs w:val="17"/>
          <w:b w:val="1"/>
          <w:bCs w:val="1"/>
          <w:u w:val="single" w:color="auto"/>
          <w:color w:val="auto"/>
        </w:rPr>
        <w:t>Termination for Any Reason Except Death, Disability or Cause</w:t>
      </w:r>
      <w:r>
        <w:rPr>
          <w:rFonts w:ascii="Times New Roman" w:cs="Times New Roman" w:eastAsia="Times New Roman" w:hAnsi="Times New Roman"/>
          <w:sz w:val="17"/>
          <w:szCs w:val="17"/>
          <w:color w:val="auto"/>
        </w:rPr>
        <w:t>. Except as provided in subsection 3.2 in a case in which Optionee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dies within three (3) months after Optionee’s service as an executive, director, consultant, other service provider or key employee of the Company (“</w:t>
      </w:r>
      <w:r>
        <w:rPr>
          <w:rFonts w:ascii="Times New Roman" w:cs="Times New Roman" w:eastAsia="Times New Roman" w:hAnsi="Times New Roman"/>
          <w:sz w:val="17"/>
          <w:szCs w:val="17"/>
          <w:b w:val="1"/>
          <w:bCs w:val="1"/>
          <w:i w:val="1"/>
          <w:iCs w:val="1"/>
          <w:color w:val="auto"/>
        </w:rPr>
        <w:t>Service</w:t>
      </w:r>
      <w:r>
        <w:rPr>
          <w:rFonts w:ascii="Times New Roman" w:cs="Times New Roman" w:eastAsia="Times New Roman" w:hAnsi="Times New Roman"/>
          <w:sz w:val="17"/>
          <w:szCs w:val="17"/>
          <w:color w:val="auto"/>
        </w:rPr>
        <w:t>”) is terminated other than for Cause, if Optionee’s Service is terminated for any reason (other than Optionee’s death or Disability or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no later than one</w:t>
      </w:r>
    </w:p>
    <w:p>
      <w:pPr>
        <w:ind w:left="5406" w:right="2460" w:hanging="5406"/>
        <w:spacing w:after="0" w:line="426" w:lineRule="auto"/>
        <w:tabs>
          <w:tab w:leader="none" w:pos="253"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after Optionee’s Termination Date (but in no event may this Option be exercised after the Expiration Date). 3</w:t>
      </w:r>
    </w:p>
    <w:p>
      <w:pPr>
        <w:sectPr>
          <w:pgSz w:w="11900" w:h="16838" w:orient="portrait"/>
          <w:cols w:equalWidth="0" w:num="1">
            <w:col w:w="10846"/>
          </w:cols>
          <w:pgMar w:left="494" w:top="264" w:right="559" w:bottom="1440" w:gutter="0" w:footer="0" w:header="0"/>
        </w:sectPr>
      </w:pPr>
    </w:p>
    <w:bookmarkStart w:id="487" w:name="page488"/>
    <w:bookmarkEnd w:id="487"/>
    <w:p>
      <w:pPr>
        <w:ind w:right="20" w:firstLine="98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5">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3.2. </w:t>
      </w:r>
      <w:r>
        <w:rPr>
          <w:rFonts w:ascii="Times New Roman" w:cs="Times New Roman" w:eastAsia="Times New Roman" w:hAnsi="Times New Roman"/>
          <w:sz w:val="18"/>
          <w:szCs w:val="18"/>
          <w:b w:val="1"/>
          <w:bCs w:val="1"/>
          <w:u w:val="single" w:color="auto"/>
          <w:color w:val="auto"/>
        </w:rPr>
        <w:t>Termination Because of Death or Disability</w:t>
      </w:r>
      <w:r>
        <w:rPr>
          <w:rFonts w:ascii="Times New Roman" w:cs="Times New Roman" w:eastAsia="Times New Roman" w:hAnsi="Times New Roman"/>
          <w:sz w:val="18"/>
          <w:szCs w:val="18"/>
          <w:color w:val="auto"/>
        </w:rPr>
        <w:t>. If Optionee’s Service is terminated because of Optionee’s death or Disability (or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dies within three (3) months of the date Optionee’s Service terminates for any reason other than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(or Optionee’s legal representative) no later than six (6) months after Optionee’s Termination Date, but in no event later than the Expiration Date.</w:t>
      </w:r>
    </w:p>
    <w:p>
      <w:pPr>
        <w:spacing w:after="0" w:line="182" w:lineRule="exact"/>
        <w:rPr>
          <w:sz w:val="20"/>
          <w:szCs w:val="20"/>
          <w:color w:val="auto"/>
        </w:rPr>
      </w:pPr>
    </w:p>
    <w:p>
      <w:pPr>
        <w:ind w:right="60" w:firstLine="98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Termination for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Optionee’s Service terminates for Cause, then Optionee may exercise this Option, but only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Shares that are Vested Shares on Optionee’s Termination Date, and this Option shall expire on Optionee’s Termination Date, or at such later time and on such conditions as may be affirmatively determined by the Board. On and after Optionee’s Termination Date, this Option shall expire immediately with respect to any Shares that are Unvested Shares and may not be exercised with respect to any Shares that are Unvested Shares on Optionee’s Termination Date.</w:t>
      </w:r>
    </w:p>
    <w:p>
      <w:pPr>
        <w:spacing w:after="0" w:line="178" w:lineRule="exact"/>
        <w:rPr>
          <w:sz w:val="20"/>
          <w:szCs w:val="20"/>
          <w:color w:val="auto"/>
        </w:rPr>
      </w:pPr>
    </w:p>
    <w:p>
      <w:pPr>
        <w:ind w:right="100" w:firstLine="981"/>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No Obligation to Employ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the Plan or this Agreement shall confer on Optionee any right to continue in the employ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relationship with, the Company, or limit in any way the right of the Company to terminate Optionee’s employment or other relationship at any time, with or without Cause.</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4. MANNER OF EXERCISE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81"/>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Stock Option Exercise Notice and Agreement</w:t>
      </w:r>
      <w:r>
        <w:rPr>
          <w:rFonts w:ascii="Times New Roman" w:cs="Times New Roman" w:eastAsia="Times New Roman" w:hAnsi="Times New Roman"/>
          <w:sz w:val="18"/>
          <w:szCs w:val="18"/>
          <w:color w:val="auto"/>
        </w:rPr>
        <w:t>. To exercise this Option, Optionee (or in the case of exercise after Optionee’s death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incapacity, Optionee’s executor, administrator, heir or legatee, as the case may be) must deliver to the Company an executed Stock Option Exercise Notice and Agreement in the form attached hereto as Annex A, or in such other form as may be approved by the Board from time to time (the “</w:t>
      </w:r>
      <w:r>
        <w:rPr>
          <w:rFonts w:ascii="Times New Roman" w:cs="Times New Roman" w:eastAsia="Times New Roman" w:hAnsi="Times New Roman"/>
          <w:sz w:val="18"/>
          <w:szCs w:val="18"/>
          <w:b w:val="1"/>
          <w:bCs w:val="1"/>
          <w:i w:val="1"/>
          <w:i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payment for the shares being purchased in accordance with this Agreement. The Exercise Agreement shall set forth, among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things, (i) Optionee’s election to exercise this Option, (ii) the number of Vested Shares being purchased, (iii) any representations, warranties and agreements regarding Optionee’s investment intent and access to information as may be required by the Company to comply with applicable securities laws in connection with any exercise of this Option, (iv) any other agreements required by the Company, and (v) Optionee’s obligation to execute and deliver certain Stock Powers and Assignments Separate from Stock Certificate to the Company. If someone other than Optionee exercises this Option, then such person must submit documentation reasonably acceptable to the Company verifying that such person has the legal right to exercise this Option and such person shall be subject to all of the restrictions contained herein as if such person were Optionee.</w:t>
      </w:r>
    </w:p>
    <w:p>
      <w:pPr>
        <w:spacing w:after="0" w:line="186" w:lineRule="exact"/>
        <w:rPr>
          <w:sz w:val="20"/>
          <w:szCs w:val="20"/>
          <w:color w:val="auto"/>
        </w:rPr>
      </w:pPr>
    </w:p>
    <w:p>
      <w:pPr>
        <w:ind w:right="40" w:firstLine="981"/>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Limitations on Exercise</w:t>
      </w:r>
      <w:r>
        <w:rPr>
          <w:rFonts w:ascii="Times New Roman" w:cs="Times New Roman" w:eastAsia="Times New Roman" w:hAnsi="Times New Roman"/>
          <w:sz w:val="18"/>
          <w:szCs w:val="18"/>
          <w:color w:val="auto"/>
        </w:rPr>
        <w:t>. This Option may not be exercised unless such exercise is in compliance with all applicable federal and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laws, as they are in effect on the date of exercise.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63" w:right="519" w:bottom="1440" w:gutter="0" w:footer="0" w:header="0"/>
        </w:sectPr>
      </w:pPr>
    </w:p>
    <w:bookmarkStart w:id="488" w:name="page489"/>
    <w:bookmarkEnd w:id="488"/>
    <w:p>
      <w:pPr>
        <w:ind w:right="40" w:firstLine="981"/>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4.3. </w:t>
      </w: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color w:val="auto"/>
        </w:rPr>
        <w:t>. The Exercise Agreement shall be accompanied by full payment of the Exercise Price for the shares being purchased in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check or wire transfer), or where permitted by law:</w:t>
      </w:r>
    </w:p>
    <w:p>
      <w:pPr>
        <w:spacing w:after="0" w:line="52" w:lineRule="exact"/>
        <w:rPr>
          <w:sz w:val="20"/>
          <w:szCs w:val="20"/>
          <w:color w:val="auto"/>
        </w:rPr>
      </w:pPr>
    </w:p>
    <w:p>
      <w:pPr>
        <w:ind w:right="20" w:firstLine="1411"/>
        <w:spacing w:after="0" w:line="257" w:lineRule="auto"/>
        <w:tabs>
          <w:tab w:leader="none" w:pos="165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surrender of shares of the Company held for at least six months by the Optionee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 (ii) that were obtained by Optionee in the public market;</w:t>
      </w:r>
    </w:p>
    <w:p>
      <w:pPr>
        <w:spacing w:after="0" w:line="75" w:lineRule="exact"/>
        <w:rPr>
          <w:rFonts w:ascii="Times New Roman" w:cs="Times New Roman" w:eastAsia="Times New Roman" w:hAnsi="Times New Roman"/>
          <w:sz w:val="18"/>
          <w:szCs w:val="18"/>
          <w:color w:val="auto"/>
        </w:rPr>
      </w:pPr>
    </w:p>
    <w:p>
      <w:pPr>
        <w:ind w:right="60" w:firstLine="1411"/>
        <w:spacing w:after="0" w:line="257" w:lineRule="auto"/>
        <w:tabs>
          <w:tab w:leader="none" w:pos="166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a public market for the Common Stock exists, subject to compliance with applicable law,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 or</w:t>
      </w:r>
    </w:p>
    <w:p>
      <w:pPr>
        <w:spacing w:after="0" w:line="75" w:lineRule="exact"/>
        <w:rPr>
          <w:rFonts w:ascii="Times New Roman" w:cs="Times New Roman" w:eastAsia="Times New Roman" w:hAnsi="Times New Roman"/>
          <w:sz w:val="18"/>
          <w:szCs w:val="18"/>
          <w:color w:val="auto"/>
        </w:rPr>
      </w:pPr>
    </w:p>
    <w:p>
      <w:pPr>
        <w:ind w:right="100" w:firstLine="1411"/>
        <w:spacing w:after="0" w:line="277" w:lineRule="auto"/>
        <w:tabs>
          <w:tab w:leader="none" w:pos="165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foregoing or any other method of payment approved by the Board that constitutes legal consideration for the issuance of Shares.</w:t>
      </w:r>
    </w:p>
    <w:p>
      <w:pPr>
        <w:spacing w:after="0" w:line="159" w:lineRule="exact"/>
        <w:rPr>
          <w:sz w:val="20"/>
          <w:szCs w:val="20"/>
          <w:color w:val="auto"/>
        </w:rPr>
      </w:pPr>
    </w:p>
    <w:p>
      <w:pPr>
        <w:ind w:right="40" w:firstLine="98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Prior to the issuance of the Shares upon exercise of the Option, Optionee must pay or provide for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state and local withholding obligations of the Company. If the Board permits, Optionee may provide for payment of withholding taxes upon exercise of the Option by requesting that the Company retain the minimum number of Shares with a Fair Market Value equal to the minimum amount of taxes required to be withheld; or to arrange a mandatory “sell to cover” on Participant’s behalf (without further authorization); but in no event will the Company withhold Shares or “sell to cover” if such withholding would result in adverse accounting consequences to the Company. In case of stock withholding or a sell to cover, the Company shall issue the net number of Shares to the Optionee by deducting the Shares retained from the Shares issuable upon exercise.</w:t>
      </w:r>
    </w:p>
    <w:p>
      <w:pPr>
        <w:spacing w:after="0" w:line="182" w:lineRule="exact"/>
        <w:rPr>
          <w:sz w:val="20"/>
          <w:szCs w:val="20"/>
          <w:color w:val="auto"/>
        </w:rPr>
      </w:pPr>
    </w:p>
    <w:p>
      <w:pPr>
        <w:ind w:right="220" w:firstLine="981"/>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4.5. </w:t>
      </w:r>
      <w:r>
        <w:rPr>
          <w:rFonts w:ascii="Times New Roman" w:cs="Times New Roman" w:eastAsia="Times New Roman" w:hAnsi="Times New Roman"/>
          <w:sz w:val="17"/>
          <w:szCs w:val="17"/>
          <w:b w:val="1"/>
          <w:bCs w:val="1"/>
          <w:u w:val="single" w:color="auto"/>
          <w:color w:val="auto"/>
        </w:rPr>
        <w:t>Issuance of Shares</w:t>
      </w:r>
      <w:r>
        <w:rPr>
          <w:rFonts w:ascii="Times New Roman" w:cs="Times New Roman" w:eastAsia="Times New Roman" w:hAnsi="Times New Roman"/>
          <w:sz w:val="17"/>
          <w:szCs w:val="17"/>
          <w:color w:val="auto"/>
        </w:rPr>
        <w:t>. Provided that the Exercise Agreement and payment are in form and substance satisfactory to counsel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the Company shall issue the Shares issuable upon a valid exercise of this Option registered in the name of Optionee, Optionee’s authorized assignee, or Optionee’s legal representative, and shall deliver certificates representing the Shares with the appropriate legends affixed thereto.</w:t>
      </w:r>
    </w:p>
    <w:p>
      <w:pPr>
        <w:spacing w:after="0" w:line="154" w:lineRule="exact"/>
        <w:rPr>
          <w:sz w:val="20"/>
          <w:szCs w:val="20"/>
          <w:color w:val="auto"/>
        </w:rPr>
      </w:pPr>
    </w:p>
    <w:p>
      <w:pPr>
        <w:ind w:firstLine="430"/>
        <w:spacing w:after="0" w:line="252" w:lineRule="auto"/>
        <w:tabs>
          <w:tab w:leader="none" w:pos="614" w:val="left"/>
        </w:tabs>
        <w:numPr>
          <w:ilvl w:val="0"/>
          <w:numId w:val="3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LAWS AND REGULATIONS. </w:t>
      </w:r>
      <w:r>
        <w:rPr>
          <w:rFonts w:ascii="Times New Roman" w:cs="Times New Roman" w:eastAsia="Times New Roman" w:hAnsi="Times New Roman"/>
          <w:sz w:val="18"/>
          <w:szCs w:val="18"/>
          <w:color w:val="auto"/>
        </w:rPr>
        <w:t>The Plan and this Agreement are intended to comply with Section 25102(o)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California Corporations Code (“</w:t>
      </w:r>
      <w:r>
        <w:rPr>
          <w:rFonts w:ascii="Times New Roman" w:cs="Times New Roman" w:eastAsia="Times New Roman" w:hAnsi="Times New Roman"/>
          <w:sz w:val="18"/>
          <w:szCs w:val="18"/>
          <w:b w:val="1"/>
          <w:bCs w:val="1"/>
          <w:i w:val="1"/>
          <w:iCs w:val="1"/>
          <w:color w:val="auto"/>
        </w:rPr>
        <w:t>Section 25102(o)</w:t>
      </w:r>
      <w:r>
        <w:rPr>
          <w:rFonts w:ascii="Times New Roman" w:cs="Times New Roman" w:eastAsia="Times New Roman" w:hAnsi="Times New Roman"/>
          <w:sz w:val="18"/>
          <w:szCs w:val="18"/>
          <w:color w:val="auto"/>
        </w:rPr>
        <w:t xml:space="preserve">”) and Rule 701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promulgated by the Securities and Exchange Commission under the Securities Act of 1933, as amended (“</w:t>
      </w:r>
      <w:r>
        <w:rPr>
          <w:rFonts w:ascii="Times New Roman" w:cs="Times New Roman" w:eastAsia="Times New Roman" w:hAnsi="Times New Roman"/>
          <w:sz w:val="18"/>
          <w:szCs w:val="18"/>
          <w:b w:val="1"/>
          <w:bCs w:val="1"/>
          <w:i w:val="1"/>
          <w:iCs w:val="1"/>
          <w:color w:val="auto"/>
        </w:rPr>
        <w:t>Rule 701</w:t>
      </w:r>
      <w:r>
        <w:rPr>
          <w:rFonts w:ascii="Times New Roman" w:cs="Times New Roman" w:eastAsia="Times New Roman" w:hAnsi="Times New Roman"/>
          <w:sz w:val="18"/>
          <w:szCs w:val="18"/>
          <w:color w:val="auto"/>
        </w:rPr>
        <w:t>”). Any provision of this Agreement that is inconsistent with Section 25102(o) or Rule 701 shall, without further act or amendment by the Company or the Board, be reformed to comply with the requirements of Section 25102(o) and/or Rule 701. The exercise of this Option and the issuance and transfer of Shares shall be subject to compliance by the Company and Optionee with all applicable requirements of federal and state securities laws and with all applicable requirements of any stock exchange on which the Common Stock may be listed at the time of such issuance or transfer. Optionee understands that the Company is under no obligation to register or qualify the Shares with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any state securities commission or any stock exchange to effect such compliance.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500" w:top="264" w:right="519" w:bottom="1440" w:gutter="0" w:footer="0" w:header="0"/>
        </w:sectPr>
      </w:pPr>
    </w:p>
    <w:bookmarkStart w:id="489" w:name="page490"/>
    <w:bookmarkEnd w:id="489"/>
    <w:p>
      <w:pPr>
        <w:ind w:right="60" w:firstLine="430"/>
        <w:spacing w:after="0" w:line="265" w:lineRule="auto"/>
        <w:tabs>
          <w:tab w:leader="none" w:pos="614" w:val="left"/>
        </w:tabs>
        <w:numPr>
          <w:ilvl w:val="0"/>
          <w:numId w:val="3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NONTRANSFERABILITY OF OPTION. </w:t>
      </w:r>
      <w:r>
        <w:rPr>
          <w:rFonts w:ascii="Times New Roman" w:cs="Times New Roman" w:eastAsia="Times New Roman" w:hAnsi="Times New Roman"/>
          <w:sz w:val="18"/>
          <w:szCs w:val="18"/>
          <w:color w:val="auto"/>
        </w:rPr>
        <w:t>This Option may not be transferred in any manner other than by will or by the laws of descent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169" w:lineRule="exact"/>
        <w:rPr>
          <w:rFonts w:ascii="Times New Roman" w:cs="Times New Roman" w:eastAsia="Times New Roman" w:hAnsi="Times New Roman"/>
          <w:sz w:val="18"/>
          <w:szCs w:val="18"/>
          <w:b w:val="1"/>
          <w:bCs w:val="1"/>
          <w:color w:val="auto"/>
        </w:rPr>
      </w:pPr>
    </w:p>
    <w:p>
      <w:pPr>
        <w:ind w:left="600" w:hanging="170"/>
        <w:spacing w:after="0"/>
        <w:tabs>
          <w:tab w:leader="none" w:pos="600" w:val="left"/>
        </w:tabs>
        <w:numPr>
          <w:ilvl w:val="0"/>
          <w:numId w:val="3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TRANSFER OF SHARES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981"/>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color w:val="auto"/>
        </w:rPr>
        <w:t>. Optionee agrees that Optionee shall not transfer, assign, grant a lien or security interest in, pledge, hypothecate, encumber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dispose of (including, without limitation, a transfer by gift or operation of law)(collectively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any of the Shares (or any interest therein) unless and until:</w:t>
      </w:r>
    </w:p>
    <w:p>
      <w:pPr>
        <w:spacing w:after="0" w:line="66" w:lineRule="exact"/>
        <w:rPr>
          <w:sz w:val="20"/>
          <w:szCs w:val="20"/>
          <w:color w:val="auto"/>
        </w:rPr>
      </w:pPr>
    </w:p>
    <w:p>
      <w:pPr>
        <w:ind w:right="100" w:firstLine="1411"/>
        <w:spacing w:after="0" w:line="277" w:lineRule="auto"/>
        <w:tabs>
          <w:tab w:leader="none" w:pos="1659"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notified the Company of the proposed Transfer and provided a written summary of the terms and conditions of the proposed disposition;</w:t>
      </w:r>
    </w:p>
    <w:p>
      <w:pPr>
        <w:spacing w:after="0" w:line="56" w:lineRule="exact"/>
        <w:rPr>
          <w:rFonts w:ascii="Times New Roman" w:cs="Times New Roman" w:eastAsia="Times New Roman" w:hAnsi="Times New Roman"/>
          <w:sz w:val="18"/>
          <w:szCs w:val="18"/>
          <w:color w:val="auto"/>
        </w:rPr>
      </w:pPr>
    </w:p>
    <w:p>
      <w:pPr>
        <w:ind w:right="140" w:firstLine="1411"/>
        <w:spacing w:after="0" w:line="277" w:lineRule="auto"/>
        <w:tabs>
          <w:tab w:leader="none" w:pos="1669"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complied with all requirements of this Agreement, the Company’s Bylaws and Certificate of Incorporation, the Stockholders Agreement and other agreements applicable to the Transfer of the Shares;</w:t>
      </w:r>
    </w:p>
    <w:p>
      <w:pPr>
        <w:spacing w:after="0" w:line="56" w:lineRule="exact"/>
        <w:rPr>
          <w:rFonts w:ascii="Times New Roman" w:cs="Times New Roman" w:eastAsia="Times New Roman" w:hAnsi="Times New Roman"/>
          <w:sz w:val="18"/>
          <w:szCs w:val="18"/>
          <w:color w:val="auto"/>
        </w:rPr>
      </w:pPr>
    </w:p>
    <w:p>
      <w:pPr>
        <w:ind w:right="40" w:firstLine="1411"/>
        <w:spacing w:after="0" w:line="255" w:lineRule="auto"/>
        <w:tabs>
          <w:tab w:leader="none" w:pos="1659"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provided the Company with written assurances, in form and substance satisfactory to counsel for the Company, which may include without limitation an opinion of counsel, that (i) the proposed disposition does not require registration of the Shares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or under any applicable state securities laws and (ii) all appropriate actions necessary for compliance with the registration requirements of the Securities Act or of any exemption from registration available under the Securities Act (including Rule 144) or applicable state securities laws have been taken; and</w:t>
      </w:r>
    </w:p>
    <w:p>
      <w:pPr>
        <w:spacing w:after="0" w:line="75" w:lineRule="exact"/>
        <w:rPr>
          <w:rFonts w:ascii="Times New Roman" w:cs="Times New Roman" w:eastAsia="Times New Roman" w:hAnsi="Times New Roman"/>
          <w:sz w:val="18"/>
          <w:szCs w:val="18"/>
          <w:color w:val="auto"/>
        </w:rPr>
      </w:pPr>
    </w:p>
    <w:p>
      <w:pPr>
        <w:ind w:right="220" w:firstLine="1411"/>
        <w:spacing w:after="0" w:line="255" w:lineRule="auto"/>
        <w:tabs>
          <w:tab w:leader="none" w:pos="1669"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provided the Company with written assurances, in form and substance satisfactory to the Company, which may include without limitation an opinion of counsel, that the proposed disposition will not result in the contravention of any transfer restrictions applicable to the Shares pursuant to the provisions of the regulations promulgated under Section 25102(o), Rule 701 or under any other applicable securities laws or adversely affect the Company’s ability to rely on the exemption(s) from registration under the Securities Act or under any other applicable securities laws for the grant of the Option, the issuance of Shares thereunder or any other issuance of securities under the Plan.</w:t>
      </w:r>
    </w:p>
    <w:p>
      <w:pPr>
        <w:spacing w:after="0" w:line="179" w:lineRule="exact"/>
        <w:rPr>
          <w:sz w:val="20"/>
          <w:szCs w:val="20"/>
          <w:color w:val="auto"/>
        </w:rPr>
      </w:pPr>
    </w:p>
    <w:p>
      <w:pPr>
        <w:ind w:right="220" w:firstLine="981"/>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Restriction on Transfer</w:t>
      </w:r>
      <w:r>
        <w:rPr>
          <w:rFonts w:ascii="Times New Roman" w:cs="Times New Roman" w:eastAsia="Times New Roman" w:hAnsi="Times New Roman"/>
          <w:sz w:val="18"/>
          <w:szCs w:val="18"/>
          <w:color w:val="auto"/>
        </w:rPr>
        <w:t>. Optionee shall not Transfer any of the Shares (or any interest therein) which are subject 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Option or the Stockholders Agreement, except as permitted by this Agreement and the Stockholders Agreement.</w:t>
      </w:r>
    </w:p>
    <w:p>
      <w:pPr>
        <w:spacing w:after="0" w:line="155" w:lineRule="exact"/>
        <w:rPr>
          <w:sz w:val="20"/>
          <w:szCs w:val="20"/>
          <w:color w:val="auto"/>
        </w:rPr>
      </w:pPr>
    </w:p>
    <w:p>
      <w:pPr>
        <w:ind w:firstLine="98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u w:val="single" w:color="auto"/>
          <w:color w:val="auto"/>
        </w:rPr>
        <w:t>Transferee Obligations</w:t>
      </w:r>
      <w:r>
        <w:rPr>
          <w:rFonts w:ascii="Times New Roman" w:cs="Times New Roman" w:eastAsia="Times New Roman" w:hAnsi="Times New Roman"/>
          <w:sz w:val="18"/>
          <w:szCs w:val="18"/>
          <w:color w:val="auto"/>
        </w:rPr>
        <w:t>. Each person (other than the Company) to whom the Shares (or any interest therein) are Transferred by means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one of the permitted transfers specified in this Agreement or the Stockholders Agreement must, as a condition precedent to the validity of such transfer, acknowledge in writing satisfactory to the Company that such person is bound by the provisions of this Agreement and that the transferred Shares are subject to (i) each the Company’s Repurchase Option and the Stockholders Agreement and (ii) the market stand-off provisions of Section 8 below, to the same extent such Shares would be so subject if retained by Optionee.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500" w:top="264" w:right="499" w:bottom="1440" w:gutter="0" w:footer="0" w:header="0"/>
        </w:sectPr>
      </w:pPr>
    </w:p>
    <w:bookmarkStart w:id="490" w:name="page491"/>
    <w:bookmarkEnd w:id="490"/>
    <w:p>
      <w:pPr>
        <w:ind w:firstLine="430"/>
        <w:spacing w:after="0" w:line="249" w:lineRule="auto"/>
        <w:tabs>
          <w:tab w:leader="none" w:pos="614"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MARKET STANDOFF AGREEMENT. </w:t>
      </w:r>
      <w:r>
        <w:rPr>
          <w:rFonts w:ascii="Times New Roman" w:cs="Times New Roman" w:eastAsia="Times New Roman" w:hAnsi="Times New Roman"/>
          <w:sz w:val="18"/>
          <w:szCs w:val="18"/>
          <w:color w:val="auto"/>
        </w:rPr>
        <w:t>In connection with the initial public offering of the Company’s securities and upon request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the underwriters managing such offering of the Company’s securities, Optionee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securities of the Company however or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In addition, upon request of the Company or the underwriters managing a public offering of the Company’s securities (other than the initial public offering), Optionee hereby agrees to be bound by similar restrictions, and to sign a similar agreement as may be requested by the underwriters, in connection with no more than one additional registration statement filed within 12 months after the closing date of the initial public offering, provided that the duration of the lock-up period with respect to such additional registration shall not exceed 90 days from the effective date of such additional registration statement.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 In order to enforce the foregoing covenants, the Company shall have the right to place restrictive legends on the certificates representing the Shares subject to this Section and to impose stop transfer instructions with respect to the Shares until the end of such period.</w:t>
      </w:r>
    </w:p>
    <w:p>
      <w:pPr>
        <w:spacing w:after="0" w:line="194" w:lineRule="exact"/>
        <w:rPr>
          <w:rFonts w:ascii="Times New Roman" w:cs="Times New Roman" w:eastAsia="Times New Roman" w:hAnsi="Times New Roman"/>
          <w:sz w:val="18"/>
          <w:szCs w:val="18"/>
          <w:b w:val="1"/>
          <w:bCs w:val="1"/>
          <w:color w:val="auto"/>
        </w:rPr>
      </w:pPr>
    </w:p>
    <w:p>
      <w:pPr>
        <w:ind w:left="600" w:hanging="170"/>
        <w:spacing w:after="0"/>
        <w:tabs>
          <w:tab w:leader="none" w:pos="600"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AGREEMENT</w:t>
      </w:r>
    </w:p>
    <w:p>
      <w:pPr>
        <w:spacing w:after="0" w:line="118" w:lineRule="exact"/>
        <w:rPr>
          <w:sz w:val="20"/>
          <w:szCs w:val="20"/>
          <w:color w:val="auto"/>
        </w:rPr>
      </w:pPr>
    </w:p>
    <w:p>
      <w:pPr>
        <w:ind w:right="40" w:firstLine="981"/>
        <w:spacing w:after="0" w:line="253" w:lineRule="auto"/>
        <w:rPr>
          <w:sz w:val="20"/>
          <w:szCs w:val="20"/>
          <w:color w:val="auto"/>
        </w:rPr>
      </w:pPr>
      <w:r>
        <w:rPr>
          <w:rFonts w:ascii="Times New Roman" w:cs="Times New Roman" w:eastAsia="Times New Roman" w:hAnsi="Times New Roman"/>
          <w:sz w:val="18"/>
          <w:szCs w:val="18"/>
          <w:color w:val="auto"/>
        </w:rPr>
        <w:t>Concurrent with Optionee’s exercise of all or any portion of the Option, Optionee and, if married, his or her spouse, shall execute and deliver to the Company a counterpart to the Stockholders Agreement, as amended, binding the Optionee and his or her spouse to the terms contained therein. If Optionee becomes legally married (whether in the first instance or to a different spouse) subsequent to the exercise of all or any portion of the Option, but prior to the Termination Date, Optionee shall cause Optionee’s spouse to execute and deliver to the Company a counterpart to the Stockholders Agreement, as amended. In the event of a conflict between such Stockholders Agreement, the Plan and this Agreement, the Stockholders Agreement shall prevail.</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10. REPURCHASE OPTION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00" w:firstLine="981"/>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b w:val="1"/>
          <w:bCs w:val="1"/>
          <w:u w:val="single" w:color="auto"/>
          <w:color w:val="auto"/>
        </w:rPr>
        <w:t>Repurchase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Optionee is no longer employed (or in the case of an Optionee who was not an employee, the date on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Optionee is no longer acting as a director or officer of, or consultant or advisor to, the Company or any of its subsidiaries) by the Company or its subsidiaries for any reason, the Shares (whether held by such Optionee or one or more transferees of such</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500" w:top="264" w:right="519" w:bottom="1440" w:gutter="0" w:footer="0" w:header="0"/>
        </w:sectPr>
      </w:pPr>
    </w:p>
    <w:bookmarkStart w:id="491" w:name="page492"/>
    <w:bookmarkEnd w:id="491"/>
    <w:p>
      <w:pPr>
        <w:ind w:right="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Optionee, other than the Company or any Investor (as defined in the Stockholders Agreement)) will be subject to repurchase by the Company and the Investors (each of the aforementioned solely at their option and the latter on a pro rata basis in accordance with their respective percentage of ownership of the Company’s Common Stock on a fully diluted and as-converted basis) pursuant to the terms and conditions set forth in this Section 10 (the “</w:t>
      </w:r>
      <w:r>
        <w:rPr>
          <w:rFonts w:ascii="Times New Roman" w:cs="Times New Roman" w:eastAsia="Times New Roman" w:hAnsi="Times New Roman"/>
          <w:sz w:val="18"/>
          <w:szCs w:val="18"/>
          <w:b w:val="1"/>
          <w:bCs w:val="1"/>
          <w:i w:val="1"/>
          <w:iCs w:val="1"/>
          <w:color w:val="auto"/>
        </w:rPr>
        <w:t>Repurchase Option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140" w:firstLine="98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10.2. </w:t>
      </w:r>
      <w:r>
        <w:rPr>
          <w:rFonts w:ascii="Times New Roman" w:cs="Times New Roman" w:eastAsia="Times New Roman" w:hAnsi="Times New Roman"/>
          <w:sz w:val="18"/>
          <w:szCs w:val="18"/>
          <w:b w:val="1"/>
          <w:bCs w:val="1"/>
          <w:u w:val="single" w:color="auto"/>
          <w:color w:val="auto"/>
        </w:rPr>
        <w:t>Repurchase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Termination Date of any Optionee, the Company and the Investors may elect to repurchase all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portion of the Shares held by such Optionee at a price per share equal to (i) in the event of such Optionee’s termination for Cause, at the lower of Original Cost or Fair Market Value (as of the Termination Date) and (ii) otherwise (including, but not limited to, a resignation other than for Good Reason and termination without Cause), at Fair Market Value (as of the Termination Date).</w:t>
      </w:r>
    </w:p>
    <w:p>
      <w:pPr>
        <w:spacing w:after="0" w:line="175" w:lineRule="exact"/>
        <w:rPr>
          <w:sz w:val="20"/>
          <w:szCs w:val="20"/>
          <w:color w:val="auto"/>
        </w:rPr>
      </w:pPr>
    </w:p>
    <w:p>
      <w:pPr>
        <w:ind w:firstLine="981"/>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10.3. </w:t>
      </w:r>
      <w:r>
        <w:rPr>
          <w:rFonts w:ascii="Times New Roman" w:cs="Times New Roman" w:eastAsia="Times New Roman" w:hAnsi="Times New Roman"/>
          <w:sz w:val="18"/>
          <w:szCs w:val="18"/>
          <w:b w:val="1"/>
          <w:bCs w:val="1"/>
          <w:u w:val="single" w:color="auto"/>
          <w:color w:val="auto"/>
        </w:rPr>
        <w:t>Repurchase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elect to exercise the Repurchase Option to purchase any amount of the Shares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Repurchase Option by delivering written notice (the “</w:t>
      </w:r>
      <w:r>
        <w:rPr>
          <w:rFonts w:ascii="Times New Roman" w:cs="Times New Roman" w:eastAsia="Times New Roman" w:hAnsi="Times New Roman"/>
          <w:sz w:val="18"/>
          <w:szCs w:val="18"/>
          <w:b w:val="1"/>
          <w:bCs w:val="1"/>
          <w:i w:val="1"/>
          <w:iCs w:val="1"/>
          <w:color w:val="auto"/>
        </w:rPr>
        <w:t>Company Repurchase Notice</w:t>
      </w:r>
      <w:r>
        <w:rPr>
          <w:rFonts w:ascii="Times New Roman" w:cs="Times New Roman" w:eastAsia="Times New Roman" w:hAnsi="Times New Roman"/>
          <w:sz w:val="18"/>
          <w:szCs w:val="18"/>
          <w:color w:val="auto"/>
        </w:rPr>
        <w:t>”) to the holder or holders of the Shares and the Investors no later than the later of (A) 90 days after the Termination Date and (B) 90 days after the acquisition of the Shares subject to repurchase. To the extent that any portion of the Shares are not being repurchased by the Company, the Investors may elect to exercise the Repurchase Option to purchase up to their respective pro rata share of the remaining Shares by delivering written notice (an “</w:t>
      </w:r>
      <w:r>
        <w:rPr>
          <w:rFonts w:ascii="Times New Roman" w:cs="Times New Roman" w:eastAsia="Times New Roman" w:hAnsi="Times New Roman"/>
          <w:sz w:val="18"/>
          <w:szCs w:val="18"/>
          <w:b w:val="1"/>
          <w:bCs w:val="1"/>
          <w:i w:val="1"/>
          <w:iCs w:val="1"/>
          <w:color w:val="auto"/>
        </w:rPr>
        <w:t>Investor Repurchase Notice</w:t>
      </w:r>
      <w:r>
        <w:rPr>
          <w:rFonts w:ascii="Times New Roman" w:cs="Times New Roman" w:eastAsia="Times New Roman" w:hAnsi="Times New Roman"/>
          <w:sz w:val="18"/>
          <w:szCs w:val="18"/>
          <w:color w:val="auto"/>
        </w:rPr>
        <w:t>” and together with the Company Repurchase Notice, a “</w:t>
      </w:r>
      <w:r>
        <w:rPr>
          <w:rFonts w:ascii="Times New Roman" w:cs="Times New Roman" w:eastAsia="Times New Roman" w:hAnsi="Times New Roman"/>
          <w:sz w:val="18"/>
          <w:szCs w:val="18"/>
          <w:b w:val="1"/>
          <w:bCs w:val="1"/>
          <w:i w:val="1"/>
          <w:iCs w:val="1"/>
          <w:color w:val="auto"/>
        </w:rPr>
        <w:t>Repurchase Notice</w:t>
      </w:r>
      <w:r>
        <w:rPr>
          <w:rFonts w:ascii="Times New Roman" w:cs="Times New Roman" w:eastAsia="Times New Roman" w:hAnsi="Times New Roman"/>
          <w:sz w:val="18"/>
          <w:szCs w:val="18"/>
          <w:color w:val="auto"/>
        </w:rPr>
        <w:t>”) to the holder or holders of the applicable Shares within 10 business days of the expiration of the latest period during which the Company was entitled to deliver the Company Repurchase Notice. Each Repurchase Notice will set forth the number of Shares to be acquired from such holder(s), the aggregate consideration to be paid for such Shares and the time and place for the closing of the transaction. If any Shares are held by any transferees of Optionee, the Investors and the Company, as the case may be, will purchase the Shares elected to be purchased from such holder(s) of Shares, pro rata according to the number of Shares held by such holder(s) at the time of delivery of such Repurchase Notice (determined as nearly as practicable to the nearest share). If Shares of different classes are to be purchased pursuant to the Repurchase Option and Shares are held by any transferees of Optionee, the number of Shares of each class of Shares to be purchased will be allocated among such holders, pro rata according to the total number of Shares to be purchased from such Persons.</w:t>
      </w:r>
    </w:p>
    <w:p>
      <w:pPr>
        <w:spacing w:after="0" w:line="189" w:lineRule="exact"/>
        <w:rPr>
          <w:sz w:val="20"/>
          <w:szCs w:val="20"/>
          <w:color w:val="auto"/>
        </w:rPr>
      </w:pPr>
    </w:p>
    <w:p>
      <w:pPr>
        <w:ind w:firstLine="981"/>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10.4.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closing of the transactions contemplated by this Section 10 will take place on the date designated in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Notice, which date will not be more than 90 days after the delivery of such notice. Each Investor will pay for the Shares to be purchased by it by delivery of a check payable to the holder of such Shares. The Company will pay for the Shares to be purchased by it by first offsetting amounts outstanding under any bona fide debts owing by such Optionee to the Company or any of its subsidiaries, now existing or hereinafter arising (irrespective as to whether such amounts are owing by the holder of such Shares), and will pay the remainder of the purchase price by, at its option, delivery of (A) a check payable to the holder of such Shares, (B) if payment in accordance with clause (A) would result in a breach or default under the Company’s debt financing agreements, if any, a subordinated promissory note with a maturity date that does not exceed three years from the closing of the transactions contemplated by this Section 10, payable in equal monthly installments of principal and interest during the term of the note and bearing interest at a rate per annum equal to the greater of five percent (5%) and the then applicable short term federal rate, or (C) a combination of both (A) and (B), in the aggregate amount of the purchase price for such Shares. Any notes issued by the Company pursuant to this Section 10 shall be subject to any restrictive covenants 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500" w:top="267" w:right="539" w:bottom="1440" w:gutter="0" w:footer="0" w:header="0"/>
        </w:sectPr>
      </w:pPr>
    </w:p>
    <w:bookmarkStart w:id="492" w:name="page493"/>
    <w:bookmarkEnd w:id="492"/>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which the Company or its subsidiaries are subject at the time of such purchase. Notwithstanding anything to the contrary contained herein, all repurchases of Shares by the Company will be subject to applicable restrictions contained in the corporation law of the Company’s jurisdiction of incorporation and in the Company’s and its subsidiaries’ debt and equity financing agreements. If any such restrictions prohibit the repurchase of Shares hereunder which the Company is otherwise entitled to make, the Company may make such repurchases as soon as it is permitted to do so under such restrictions. The Investors and/or the Company, as the case may be, will receive customary representations and warranties from each seller regarding the sale of the Shares, including, but not limited to, representations that such seller has good and marketable title to the Shares to be transferred free and clear of all liens, claims and other encumbrances.</w:t>
      </w:r>
    </w:p>
    <w:p>
      <w:pPr>
        <w:spacing w:after="0" w:line="185" w:lineRule="exact"/>
        <w:rPr>
          <w:sz w:val="20"/>
          <w:szCs w:val="20"/>
          <w:color w:val="auto"/>
        </w:rPr>
      </w:pPr>
    </w:p>
    <w:p>
      <w:pPr>
        <w:ind w:right="80" w:firstLine="981"/>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10.5. </w:t>
      </w:r>
      <w:r>
        <w:rPr>
          <w:rFonts w:ascii="Times New Roman" w:cs="Times New Roman" w:eastAsia="Times New Roman" w:hAnsi="Times New Roman"/>
          <w:sz w:val="18"/>
          <w:szCs w:val="18"/>
          <w:color w:val="auto"/>
        </w:rPr>
        <w:t>This Section 10 shall terminate automatically and shall be of no further force and effect upon the earlier to occur of a consummation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Public Offering or a Sale of the Company.</w:t>
      </w:r>
    </w:p>
    <w:p>
      <w:pPr>
        <w:spacing w:after="0" w:line="155" w:lineRule="exact"/>
        <w:rPr>
          <w:sz w:val="20"/>
          <w:szCs w:val="20"/>
          <w:color w:val="auto"/>
        </w:rPr>
      </w:pPr>
    </w:p>
    <w:p>
      <w:pPr>
        <w:ind w:firstLine="430"/>
        <w:spacing w:after="0" w:line="252" w:lineRule="auto"/>
        <w:tabs>
          <w:tab w:leader="none" w:pos="693"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AS A STOCKHOLDER. </w:t>
      </w:r>
      <w:r>
        <w:rPr>
          <w:rFonts w:ascii="Times New Roman" w:cs="Times New Roman" w:eastAsia="Times New Roman" w:hAnsi="Times New Roman"/>
          <w:sz w:val="18"/>
          <w:szCs w:val="18"/>
          <w:color w:val="auto"/>
        </w:rPr>
        <w:t>Optionee shall not have any of the rights of a stockholder with respect to any Shares unless and until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Repurchase Option or rights under the Stockholders Agreement. Upon an exercise of the rights under the Stockholders Agreement or Repurchase Option, Optionee will have no further rights as a holder of the Shares so purchased upon such exercise, other than the right to receive payment for the Shares so purchased in accordance with the provisions of this Agreement and the Stockholders Agreement, and Optionee will promptly surrender the stock certificate(s) evidencing the Shares so purchased to the Company for transfer or cancellation.</w:t>
      </w:r>
    </w:p>
    <w:p>
      <w:pPr>
        <w:spacing w:after="0" w:line="184" w:lineRule="exact"/>
        <w:rPr>
          <w:rFonts w:ascii="Times New Roman" w:cs="Times New Roman" w:eastAsia="Times New Roman" w:hAnsi="Times New Roman"/>
          <w:sz w:val="18"/>
          <w:szCs w:val="18"/>
          <w:b w:val="1"/>
          <w:bCs w:val="1"/>
          <w:color w:val="auto"/>
        </w:rPr>
      </w:pPr>
    </w:p>
    <w:p>
      <w:pPr>
        <w:ind w:firstLine="430"/>
        <w:spacing w:after="0" w:line="250" w:lineRule="auto"/>
        <w:tabs>
          <w:tab w:leader="none" w:pos="703"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ESCROW. </w:t>
      </w:r>
      <w:r>
        <w:rPr>
          <w:rFonts w:ascii="Times New Roman" w:cs="Times New Roman" w:eastAsia="Times New Roman" w:hAnsi="Times New Roman"/>
          <w:sz w:val="18"/>
          <w:szCs w:val="18"/>
          <w:color w:val="auto"/>
        </w:rPr>
        <w:t>As security for Optionee’s faithful performance of this Agreement, Optionee agrees, immediately upon receipt of the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evidencing the Shares, to deliver such certificate(s), together with two (2) copies of a blank Stock Power and Assignment Separate from Stock Certificate in the form attached to the Exercise Agreement (the “</w:t>
      </w:r>
      <w:r>
        <w:rPr>
          <w:rFonts w:ascii="Times New Roman" w:cs="Times New Roman" w:eastAsia="Times New Roman" w:hAnsi="Times New Roman"/>
          <w:sz w:val="18"/>
          <w:szCs w:val="18"/>
          <w:b w:val="1"/>
          <w:bCs w:val="1"/>
          <w:i w:val="1"/>
          <w:iCs w:val="1"/>
          <w:color w:val="auto"/>
        </w:rPr>
        <w:t>Stock Powers</w:t>
      </w:r>
      <w:r>
        <w:rPr>
          <w:rFonts w:ascii="Times New Roman" w:cs="Times New Roman" w:eastAsia="Times New Roman" w:hAnsi="Times New Roman"/>
          <w:sz w:val="18"/>
          <w:szCs w:val="18"/>
          <w:color w:val="auto"/>
        </w:rPr>
        <w:t>”), both executed by Optionee (and Optionee’s spouse, if any) (with the transferee, certificate number, date and number of Shares left blank), to the Secretary of the Company or other designee of the Company (the “</w:t>
      </w:r>
      <w:r>
        <w:rPr>
          <w:rFonts w:ascii="Times New Roman" w:cs="Times New Roman" w:eastAsia="Times New Roman" w:hAnsi="Times New Roman"/>
          <w:sz w:val="18"/>
          <w:szCs w:val="18"/>
          <w:b w:val="1"/>
          <w:bCs w:val="1"/>
          <w:i w:val="1"/>
          <w:iCs w:val="1"/>
          <w:color w:val="auto"/>
        </w:rPr>
        <w:t>Escrow Holder</w:t>
      </w:r>
      <w:r>
        <w:rPr>
          <w:rFonts w:ascii="Times New Roman" w:cs="Times New Roman" w:eastAsia="Times New Roman" w:hAnsi="Times New Roman"/>
          <w:sz w:val="18"/>
          <w:szCs w:val="18"/>
          <w:color w:val="auto"/>
        </w:rPr>
        <w:t>”), who is hereby appointed to hold such certificate(s) and Stock Powers in escrow and to take all such actions and to effectuate all such transfers and/or releases of such 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both of the Stockholders Agreement and Repurchase Option.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500" w:top="268" w:right="519" w:bottom="1440" w:gutter="0" w:footer="0" w:header="0"/>
        </w:sectPr>
      </w:pPr>
    </w:p>
    <w:bookmarkStart w:id="493" w:name="page494"/>
    <w:bookmarkEnd w:id="493"/>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13. RESTRICTIVE LEGENDS AND STOP-TRANSFER ORDERS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60" w:firstLine="98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13.1. </w:t>
      </w:r>
      <w:r>
        <w:rPr>
          <w:rFonts w:ascii="Times New Roman" w:cs="Times New Roman" w:eastAsia="Times New Roman" w:hAnsi="Times New Roman"/>
          <w:sz w:val="18"/>
          <w:szCs w:val="18"/>
          <w:b w:val="1"/>
          <w:bCs w:val="1"/>
          <w:u w:val="single" w:color="auto"/>
          <w:color w:val="auto"/>
        </w:rPr>
        <w:t>Legends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understands and agrees that the Company will place the legends set forth below or similar legends on 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evidencing the Shares, together with any other legends that may be required by state or U.S. Federal securities laws, the Company’s Certificate of Incorporation or Bylaws, the Stockholders Agreement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76" w:lineRule="exact"/>
        <w:rPr>
          <w:sz w:val="20"/>
          <w:szCs w:val="20"/>
          <w:color w:val="auto"/>
        </w:rPr>
      </w:pPr>
    </w:p>
    <w:p>
      <w:pPr>
        <w:ind w:firstLine="1411"/>
        <w:spacing w:after="0" w:line="252" w:lineRule="auto"/>
        <w:tabs>
          <w:tab w:leader="none" w:pos="1659"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78" w:lineRule="exact"/>
        <w:rPr>
          <w:rFonts w:ascii="Times New Roman" w:cs="Times New Roman" w:eastAsia="Times New Roman" w:hAnsi="Times New Roman"/>
          <w:sz w:val="18"/>
          <w:szCs w:val="18"/>
          <w:color w:val="auto"/>
        </w:rPr>
      </w:pPr>
    </w:p>
    <w:p>
      <w:pPr>
        <w:ind w:right="40" w:firstLine="1411"/>
        <w:spacing w:after="0" w:line="255" w:lineRule="auto"/>
        <w:tabs>
          <w:tab w:leader="none" w:pos="1669"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SECURITIES REPRESENTED BY THIS CERTIFICATE IS SUBJECT TO A STOCKHOLDERS AGREEMENT DATED AS OF OCTOBER 7, 2015, AMONG THE ISSUER OF SUCH SECURITIES (THE “COMPANY”) AND CERTAIN OF THE COMPANY’S STOCKHOLDERS, AS THE SAME MAY BE AMENDED OR MODIFIED FROM TIME TO TIME. A COPY OF SUCH STOCKHOLDERS AGREEMENT SHALL BE FURNISHED WITHOUT CHARGE BY THE COMPANY TO THE HOLDER HEREOF UPON WRITTEN REQUEST.</w:t>
      </w:r>
    </w:p>
    <w:p>
      <w:pPr>
        <w:spacing w:after="0" w:line="75" w:lineRule="exact"/>
        <w:rPr>
          <w:rFonts w:ascii="Times New Roman" w:cs="Times New Roman" w:eastAsia="Times New Roman" w:hAnsi="Times New Roman"/>
          <w:sz w:val="18"/>
          <w:szCs w:val="18"/>
          <w:color w:val="auto"/>
        </w:rPr>
      </w:pPr>
    </w:p>
    <w:p>
      <w:pPr>
        <w:ind w:firstLine="1411"/>
        <w:spacing w:after="0" w:line="255" w:lineRule="auto"/>
        <w:tabs>
          <w:tab w:leader="none" w:pos="1659"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REPRESENTED BY THIS CERTIFICATE ARE SUBJECT TO CERTAIN RESTRICTIONS ON RESALE AND TRANSFER, INCLUDING THE REPURCHASE OPTION HELD BY THE ISSUER AND/OR ITS ASSIGNEE(S) AS SET FORTH IN A STOCK AGREEMENT BETWEEN THE ISSUER AND THE ORIGINAL HOLDER OF THESE SHARES, A COPY OF WHICH MAY BE OBTAINED AT THE PRINCIPAL OFFICE OF THE ISSUER. SUCH SALE AND TRANSFER RESTRICTIONS, INCLUDING THE REPURCHASE OPTION, ARE BINDING ON TRANSFEREES OF THESE SHARES.</w:t>
      </w:r>
    </w:p>
    <w:p>
      <w:pPr>
        <w:spacing w:after="0" w:line="75" w:lineRule="exact"/>
        <w:rPr>
          <w:rFonts w:ascii="Times New Roman" w:cs="Times New Roman" w:eastAsia="Times New Roman" w:hAnsi="Times New Roman"/>
          <w:sz w:val="18"/>
          <w:szCs w:val="18"/>
          <w:color w:val="auto"/>
        </w:rPr>
      </w:pPr>
    </w:p>
    <w:p>
      <w:pPr>
        <w:ind w:right="40" w:firstLine="1411"/>
        <w:spacing w:after="0" w:line="253" w:lineRule="auto"/>
        <w:tabs>
          <w:tab w:leader="none" w:pos="1669"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 AS A RESULT OF SUCH AGREEMENT, THESE SHARES MAY NOT BE TRADED PRIOR TO 180 DAYS (AND POSSIBLY LONGER) AFTER THE EFFECTIVE DATE OF CERTAIN PUBLIC OFFERINGS OF THE COMMON STOCK OF THE ISSUER HEREOF. SUCH RESTRICTION IS BINDING ON TRANSFEREES OF THESE SHARES.</w:t>
      </w:r>
    </w:p>
    <w:p>
      <w:pPr>
        <w:spacing w:after="0" w:line="183" w:lineRule="exact"/>
        <w:rPr>
          <w:sz w:val="20"/>
          <w:szCs w:val="20"/>
          <w:color w:val="auto"/>
        </w:rPr>
      </w:pPr>
    </w:p>
    <w:p>
      <w:pPr>
        <w:ind w:right="300" w:firstLine="981"/>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13.2. </w:t>
      </w:r>
      <w:r>
        <w:rPr>
          <w:rFonts w:ascii="Times New Roman" w:cs="Times New Roman" w:eastAsia="Times New Roman" w:hAnsi="Times New Roman"/>
          <w:sz w:val="18"/>
          <w:szCs w:val="18"/>
          <w:b w:val="1"/>
          <w:bCs w:val="1"/>
          <w:u w:val="single" w:color="auto"/>
          <w:color w:val="auto"/>
        </w:rPr>
        <w:t>Stop-Transfer Instructions</w:t>
      </w:r>
      <w:r>
        <w:rPr>
          <w:rFonts w:ascii="Times New Roman" w:cs="Times New Roman" w:eastAsia="Times New Roman" w:hAnsi="Times New Roman"/>
          <w:sz w:val="18"/>
          <w:szCs w:val="18"/>
          <w:color w:val="auto"/>
        </w:rPr>
        <w:t>. Optionee agrees that, to ensure compliance with the restrictions imposed by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issue appropriate “stop-transfer” instructions to its transfer agent, if any, and if the Company transfers its own securities, it may make appropriate notations to the same effect in its own records.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500" w:top="264" w:right="519" w:bottom="1440" w:gutter="0" w:footer="0" w:header="0"/>
        </w:sectPr>
      </w:pPr>
    </w:p>
    <w:bookmarkStart w:id="494" w:name="page495"/>
    <w:bookmarkEnd w:id="494"/>
    <w:p>
      <w:pPr>
        <w:ind w:right="100" w:firstLine="981"/>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13.3. </w:t>
      </w:r>
      <w:r>
        <w:rPr>
          <w:rFonts w:ascii="Times New Roman" w:cs="Times New Roman" w:eastAsia="Times New Roman" w:hAnsi="Times New Roman"/>
          <w:sz w:val="18"/>
          <w:szCs w:val="18"/>
          <w:b w:val="1"/>
          <w:bCs w:val="1"/>
          <w:u w:val="single" w:color="auto"/>
          <w:color w:val="auto"/>
        </w:rPr>
        <w:t>Refusal to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not be required (i) to transfer on its books any Shares that have been sold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in violation of any of the provisions of this Agreement or (ii) to treat as owner of such Shares, or to accord the right to vote or pay dividends to any purchaser or other transferee to whom such Shares have been so transferred.</w:t>
      </w:r>
    </w:p>
    <w:p>
      <w:pPr>
        <w:spacing w:after="0" w:line="169" w:lineRule="exact"/>
        <w:rPr>
          <w:sz w:val="20"/>
          <w:szCs w:val="20"/>
          <w:color w:val="auto"/>
        </w:rPr>
      </w:pPr>
    </w:p>
    <w:p>
      <w:pPr>
        <w:ind w:firstLine="430"/>
        <w:spacing w:after="0" w:line="250" w:lineRule="auto"/>
        <w:tabs>
          <w:tab w:leader="none" w:pos="703"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OF STATUTORY INFORMATION RIGHTS. </w:t>
      </w:r>
      <w:r>
        <w:rPr>
          <w:rFonts w:ascii="Times New Roman" w:cs="Times New Roman" w:eastAsia="Times New Roman" w:hAnsi="Times New Roman"/>
          <w:sz w:val="18"/>
          <w:szCs w:val="18"/>
          <w:color w:val="auto"/>
        </w:rPr>
        <w:t>Optionee acknowledges and understands that, but for the waiver made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Optionee as may be provided for in Section 220, the “</w:t>
      </w:r>
      <w:r>
        <w:rPr>
          <w:rFonts w:ascii="Times New Roman" w:cs="Times New Roman" w:eastAsia="Times New Roman" w:hAnsi="Times New Roman"/>
          <w:sz w:val="18"/>
          <w:szCs w:val="18"/>
          <w:u w:val="single" w:color="auto"/>
          <w:color w:val="auto"/>
        </w:rPr>
        <w:t>Inspection Rights</w:t>
      </w:r>
      <w:r>
        <w:rPr>
          <w:rFonts w:ascii="Times New Roman" w:cs="Times New Roman" w:eastAsia="Times New Roman" w:hAnsi="Times New Roman"/>
          <w:sz w:val="18"/>
          <w:szCs w:val="18"/>
          <w:color w:val="auto"/>
        </w:rPr>
        <w:t>”). In light of the foregoing, until the first sale of Common Stock of the Company to the general public pursuant to a registration statement filed with and declared effective by the SEC under the Securities Act,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the Inspection Rights of Optionee in Optionee’s capacity as a stockholder and shall not affect any rights of a director, in his or her capacity as such, under Section 220. The foregoing waiver shall not apply to any contractual inspection rights of Optionee under any written agreement with the Company.</w:t>
      </w:r>
    </w:p>
    <w:p>
      <w:pPr>
        <w:spacing w:after="0" w:line="191" w:lineRule="exact"/>
        <w:rPr>
          <w:rFonts w:ascii="Times New Roman" w:cs="Times New Roman" w:eastAsia="Times New Roman" w:hAnsi="Times New Roman"/>
          <w:sz w:val="18"/>
          <w:szCs w:val="18"/>
          <w:b w:val="1"/>
          <w:bCs w:val="1"/>
          <w:color w:val="auto"/>
        </w:rPr>
      </w:pPr>
    </w:p>
    <w:p>
      <w:pPr>
        <w:ind w:left="700" w:hanging="270"/>
        <w:spacing w:after="0"/>
        <w:tabs>
          <w:tab w:leader="none" w:pos="700"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114" w:lineRule="exact"/>
        <w:rPr>
          <w:sz w:val="20"/>
          <w:szCs w:val="20"/>
          <w:color w:val="auto"/>
        </w:rPr>
      </w:pPr>
    </w:p>
    <w:p>
      <w:pPr>
        <w:ind w:right="260" w:firstLine="981"/>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15.1.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dispute regarding the interpretation of this Agreement shall be submitted by Optionee or the Company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for review. The resolution of such a dispute by the Committee shall be final and binding on the Company and Optionee.</w:t>
      </w:r>
    </w:p>
    <w:p>
      <w:pPr>
        <w:spacing w:after="0" w:line="155" w:lineRule="exact"/>
        <w:rPr>
          <w:sz w:val="20"/>
          <w:szCs w:val="20"/>
          <w:color w:val="auto"/>
        </w:rPr>
      </w:pPr>
    </w:p>
    <w:p>
      <w:pPr>
        <w:ind w:firstLine="98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15.2.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the Grant Notice and the Exercise Agreement are each incorporated herein by reference.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Grant Notice, the Plan and the Exercise Agreement constitute the entire agreement of the parties with respect to the subject matter hereof and supersede all prior undertakings and agreements with respect to such subject matter. This Agreement may only be modified or amended in writing signed by the Company and Optionee.</w:t>
      </w:r>
    </w:p>
    <w:p>
      <w:pPr>
        <w:spacing w:after="0" w:line="175" w:lineRule="exact"/>
        <w:rPr>
          <w:sz w:val="20"/>
          <w:szCs w:val="20"/>
          <w:color w:val="auto"/>
        </w:rPr>
      </w:pPr>
    </w:p>
    <w:p>
      <w:pPr>
        <w:ind w:left="700" w:hanging="270"/>
        <w:spacing w:after="0"/>
        <w:tabs>
          <w:tab w:leader="none" w:pos="700"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17" w:lineRule="exact"/>
        <w:rPr>
          <w:rFonts w:ascii="Times New Roman" w:cs="Times New Roman" w:eastAsia="Times New Roman" w:hAnsi="Times New Roman"/>
          <w:sz w:val="18"/>
          <w:szCs w:val="18"/>
          <w:b w:val="1"/>
          <w:bCs w:val="1"/>
          <w:color w:val="auto"/>
        </w:rPr>
      </w:pPr>
    </w:p>
    <w:p>
      <w:pPr>
        <w:ind w:right="60" w:firstLine="975"/>
        <w:spacing w:after="0" w:line="262" w:lineRule="auto"/>
        <w:tabs>
          <w:tab w:leader="none" w:pos="1248" w:val="left"/>
        </w:tabs>
        <w:numPr>
          <w:ilvl w:val="1"/>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notice required or permitted under this Agreement or any agreement executed and delivered in connection with this Agreement shall be in writing and shall be either personally delivered, or mailed by first class mail, return receipt requested, to Purchaser at the address indicated in the Company’s records for such Person, and to the Company at the address below indicated: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Notices to the Company:</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GoodRx Holdings, Inc.</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Francisco Partners</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Letterman Drive</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Building C, Suite 410</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500" w:top="264" w:right="499" w:bottom="1440" w:gutter="0" w:footer="0" w:header="0"/>
        </w:sectPr>
      </w:pPr>
    </w:p>
    <w:bookmarkStart w:id="495" w:name="page496"/>
    <w:bookmarkEnd w:id="49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San Francisco, CA 94129</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Chris Adams and Adam Solomon</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(415) 418-2999</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GoodRx Holdings, Inc.</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Spectrum Equity</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140 New Montgomery, 20th Fl.</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Stephen LeSieur</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(415) 464-4600</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M&amp;H, LLP</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525 Middlefield Road, Suite 250</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Menlo Park, California 94025</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Kerry Smith</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(650) 3317001</w:t>
      </w:r>
    </w:p>
    <w:p>
      <w:pPr>
        <w:spacing w:after="0" w:line="95" w:lineRule="exact"/>
        <w:rPr>
          <w:sz w:val="20"/>
          <w:szCs w:val="20"/>
          <w:color w:val="auto"/>
        </w:rPr>
      </w:pPr>
    </w:p>
    <w:p>
      <w:pPr>
        <w:ind w:right="220" w:firstLine="430"/>
        <w:spacing w:after="0" w:line="277" w:lineRule="auto"/>
        <w:tabs>
          <w:tab w:leader="none" w:pos="703"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 such other address or to the attention of such other person as the recipient party shall have specified by prior written notice to the sending party. Any notice under this Agreement shall be deemed to have been given when so delivered or mailed.</w:t>
      </w:r>
    </w:p>
    <w:p>
      <w:pPr>
        <w:spacing w:after="0" w:line="52" w:lineRule="exact"/>
        <w:rPr>
          <w:rFonts w:ascii="Times New Roman" w:cs="Times New Roman" w:eastAsia="Times New Roman" w:hAnsi="Times New Roman"/>
          <w:sz w:val="18"/>
          <w:szCs w:val="18"/>
          <w:b w:val="1"/>
          <w:bCs w:val="1"/>
          <w:color w:val="auto"/>
        </w:rPr>
      </w:pPr>
    </w:p>
    <w:p>
      <w:pPr>
        <w:ind w:firstLine="430"/>
        <w:spacing w:after="0" w:line="279" w:lineRule="auto"/>
        <w:tabs>
          <w:tab w:leader="none" w:pos="703" w:val="left"/>
        </w:tabs>
        <w:numPr>
          <w:ilvl w:val="0"/>
          <w:numId w:val="3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SUCCESSORS AND ASSIGNS</w:t>
      </w:r>
      <w:r>
        <w:rPr>
          <w:rFonts w:ascii="Times New Roman" w:cs="Times New Roman" w:eastAsia="Times New Roman" w:hAnsi="Times New Roman"/>
          <w:sz w:val="17"/>
          <w:szCs w:val="17"/>
          <w:color w:val="auto"/>
        </w:rPr>
        <w:t>. The Company may, in its sole discretion, assign any of its rights under this Agreement and the Stockholders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including its rights to purchase Shares under both the Right of Repurchase and Repurchase Option. This Agreement shall be binding upon and inure to the benefit of the successors and assigns of the Company. Subject to the restrictions set forth herein and in the Stockholders Agreement, this Agreement shall be binding upon Optionee and Optionee’s heirs, executors, administrators, legal representatives, successors and assigns.</w:t>
      </w:r>
    </w:p>
    <w:p>
      <w:pPr>
        <w:spacing w:after="0" w:line="52" w:lineRule="exact"/>
        <w:rPr>
          <w:rFonts w:ascii="Times New Roman" w:cs="Times New Roman" w:eastAsia="Times New Roman" w:hAnsi="Times New Roman"/>
          <w:sz w:val="17"/>
          <w:szCs w:val="17"/>
          <w:b w:val="1"/>
          <w:bCs w:val="1"/>
          <w:color w:val="auto"/>
        </w:rPr>
      </w:pPr>
    </w:p>
    <w:p>
      <w:pPr>
        <w:ind w:right="140" w:firstLine="430"/>
        <w:spacing w:after="0" w:line="259" w:lineRule="auto"/>
        <w:tabs>
          <w:tab w:leader="none" w:pos="703"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the internal laws of the State of Delaware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laws are applied to agreements between Delaware residents entered into and to be performed entirely within Delaware. If any provision of this Agreement is determined by a court of law to be illegal or unenforceable, then such provision will be enforced to the maximum extent possible and the other provisions will remain fully effective and enforceable.</w:t>
      </w:r>
    </w:p>
    <w:p>
      <w:pPr>
        <w:spacing w:after="0" w:line="68" w:lineRule="exact"/>
        <w:rPr>
          <w:rFonts w:ascii="Times New Roman" w:cs="Times New Roman" w:eastAsia="Times New Roman" w:hAnsi="Times New Roman"/>
          <w:sz w:val="18"/>
          <w:szCs w:val="18"/>
          <w:b w:val="1"/>
          <w:bCs w:val="1"/>
          <w:color w:val="auto"/>
        </w:rPr>
      </w:pPr>
    </w:p>
    <w:p>
      <w:pPr>
        <w:ind w:right="80" w:firstLine="430"/>
        <w:spacing w:after="0" w:line="282" w:lineRule="auto"/>
        <w:tabs>
          <w:tab w:leader="none" w:pos="703"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FURTHER ASSURANCES. </w:t>
      </w:r>
      <w:r>
        <w:rPr>
          <w:rFonts w:ascii="Times New Roman" w:cs="Times New Roman" w:eastAsia="Times New Roman" w:hAnsi="Times New Roman"/>
          <w:sz w:val="18"/>
          <w:szCs w:val="18"/>
          <w:color w:val="auto"/>
        </w:rPr>
        <w:t>The parties agree to execute such further documents and instruments and to take such further actions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necessary to carry out the purposes and intent of this Agreement.</w:t>
      </w:r>
    </w:p>
    <w:p>
      <w:pPr>
        <w:spacing w:after="0" w:line="47" w:lineRule="exact"/>
        <w:rPr>
          <w:rFonts w:ascii="Times New Roman" w:cs="Times New Roman" w:eastAsia="Times New Roman" w:hAnsi="Times New Roman"/>
          <w:sz w:val="18"/>
          <w:szCs w:val="18"/>
          <w:b w:val="1"/>
          <w:bCs w:val="1"/>
          <w:color w:val="auto"/>
        </w:rPr>
      </w:pPr>
    </w:p>
    <w:p>
      <w:pPr>
        <w:ind w:right="360" w:firstLine="430"/>
        <w:spacing w:after="0" w:line="265" w:lineRule="auto"/>
        <w:tabs>
          <w:tab w:leader="none" w:pos="703"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TITLES AND HEADINGS. </w:t>
      </w:r>
      <w:r>
        <w:rPr>
          <w:rFonts w:ascii="Times New Roman" w:cs="Times New Roman" w:eastAsia="Times New Roman" w:hAnsi="Times New Roman"/>
          <w:sz w:val="18"/>
          <w:szCs w:val="18"/>
          <w:color w:val="auto"/>
        </w:rPr>
        <w:t>The titles, captions and headings of this Agreement are included for ease of reference only and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disregarded in interpreting or construing this Agreement. Unless otherwise specifically stated, all references herein to “sections” and “exhibits” will mean “sections” and “exhibits” to this Agreement.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500" w:top="268" w:right="519" w:bottom="1440" w:gutter="0" w:footer="0" w:header="0"/>
        </w:sectPr>
      </w:pPr>
    </w:p>
    <w:bookmarkStart w:id="496" w:name="page497"/>
    <w:bookmarkEnd w:id="496"/>
    <w:p>
      <w:pPr>
        <w:ind w:right="20" w:firstLine="430"/>
        <w:spacing w:after="0" w:line="282" w:lineRule="auto"/>
        <w:tabs>
          <w:tab w:leader="none" w:pos="703"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COUNTERPARTS. </w:t>
      </w:r>
      <w:r>
        <w:rPr>
          <w:rFonts w:ascii="Times New Roman" w:cs="Times New Roman" w:eastAsia="Times New Roman" w:hAnsi="Times New Roman"/>
          <w:sz w:val="18"/>
          <w:szCs w:val="18"/>
          <w:color w:val="auto"/>
        </w:rPr>
        <w:t>This Agreement may be executed in any number of counterparts, each of which when so executed and delivered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and all of which together shall constitute one and the same agreement.</w:t>
      </w:r>
    </w:p>
    <w:p>
      <w:pPr>
        <w:spacing w:after="0" w:line="47" w:lineRule="exact"/>
        <w:rPr>
          <w:rFonts w:ascii="Times New Roman" w:cs="Times New Roman" w:eastAsia="Times New Roman" w:hAnsi="Times New Roman"/>
          <w:sz w:val="18"/>
          <w:szCs w:val="18"/>
          <w:b w:val="1"/>
          <w:bCs w:val="1"/>
          <w:color w:val="auto"/>
        </w:rPr>
      </w:pPr>
    </w:p>
    <w:p>
      <w:pPr>
        <w:ind w:firstLine="430"/>
        <w:spacing w:after="0" w:line="253" w:lineRule="auto"/>
        <w:tabs>
          <w:tab w:leader="none" w:pos="703"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provision of this Agreement is determined by any court or arbitrator of competent jurisdiction to be invalid, illegal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86" w:lineRule="exact"/>
        <w:rPr>
          <w:rFonts w:ascii="Times New Roman" w:cs="Times New Roman" w:eastAsia="Times New Roman" w:hAnsi="Times New Roman"/>
          <w:sz w:val="18"/>
          <w:szCs w:val="18"/>
          <w:b w:val="1"/>
          <w:bCs w:val="1"/>
          <w:color w:val="auto"/>
        </w:rPr>
      </w:pPr>
    </w:p>
    <w:p>
      <w:pPr>
        <w:ind w:left="4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Form of Stock Option Exercise Notice and Agreement</w:t>
      </w:r>
    </w:p>
    <w:p>
      <w:pPr>
        <w:spacing w:after="0" w:line="1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80"/>
          </w:cols>
          <w:pgMar w:left="500" w:top="264" w:right="619" w:bottom="1440" w:gutter="0" w:footer="0" w:header="0"/>
        </w:sectPr>
      </w:pPr>
    </w:p>
    <w:bookmarkStart w:id="497" w:name="page498"/>
    <w:bookmarkEnd w:id="49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5">
                      <a:extLst>
                        <a:ext uri="{28A0092B-C50C-407E-A947-70E740481C1C}"/>
                      </a:extLst>
                    </a:blip>
                    <a:srcRect/>
                    <a:stretch>
                      <a:fillRect/>
                    </a:stretch>
                  </pic:blipFill>
                  <pic:spPr bwMode="auto">
                    <a:xfrm>
                      <a:off x="0" y="0"/>
                      <a:ext cx="7150735" cy="24765"/>
                    </a:xfrm>
                    <a:prstGeom prst="rect">
                      <a:avLst/>
                    </a:prstGeom>
                    <a:noFill/>
                  </pic:spPr>
                </pic:pic>
              </a:graphicData>
            </a:graphic>
          </wp:anchor>
        </w:drawing>
        <w:t>ANNEX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STOCK OPTION EXERCISE NOTICE AND AGREEMENT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019"/>
          </w:cols>
          <w:pgMar w:left="1440" w:top="263" w:right="1440" w:bottom="1440" w:gutter="0" w:footer="0" w:header="0"/>
        </w:sectPr>
      </w:pPr>
    </w:p>
    <w:bookmarkStart w:id="498" w:name="page499"/>
    <w:bookmarkEnd w:id="49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930390" cy="44958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6">
                      <a:extLst>
                        <a:ext uri="{28A0092B-C50C-407E-A947-70E740481C1C}"/>
                      </a:extLst>
                    </a:blip>
                    <a:srcRect/>
                    <a:stretch>
                      <a:fillRect/>
                    </a:stretch>
                  </pic:blipFill>
                  <pic:spPr bwMode="auto">
                    <a:xfrm>
                      <a:off x="0" y="0"/>
                      <a:ext cx="6930390" cy="449580"/>
                    </a:xfrm>
                    <a:prstGeom prst="rect">
                      <a:avLst/>
                    </a:prstGeom>
                    <a:noFill/>
                  </pic:spPr>
                </pic:pic>
              </a:graphicData>
            </a:graphic>
          </wp:anchor>
        </w:drawing>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2020 INCENTIVE AWARD PLAN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2" w:lineRule="exact"/>
        <w:rPr>
          <w:sz w:val="20"/>
          <w:szCs w:val="20"/>
          <w:color w:val="auto"/>
        </w:rPr>
      </w:pPr>
    </w:p>
    <w:p>
      <w:pPr>
        <w:jc w:val="both"/>
        <w:ind w:right="400" w:firstLine="436"/>
        <w:spacing w:after="0" w:line="262" w:lineRule="auto"/>
        <w:rPr>
          <w:sz w:val="20"/>
          <w:szCs w:val="20"/>
          <w:color w:val="auto"/>
        </w:rPr>
      </w:pPr>
      <w:r>
        <w:rPr>
          <w:rFonts w:ascii="Times New Roman" w:cs="Times New Roman" w:eastAsia="Times New Roman" w:hAnsi="Times New Roman"/>
          <w:sz w:val="18"/>
          <w:szCs w:val="18"/>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w:t>
      </w:r>
    </w:p>
    <w:p>
      <w:pPr>
        <w:spacing w:after="0" w:line="3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Service Providers are eligible to be granted Awards under the Plan, subject to the limitations described herein.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 AND DELEGATION</w:t>
      </w:r>
    </w:p>
    <w:p>
      <w:pPr>
        <w:spacing w:after="0" w:line="202" w:lineRule="exact"/>
        <w:rPr>
          <w:sz w:val="20"/>
          <w:szCs w:val="20"/>
          <w:color w:val="auto"/>
        </w:rPr>
      </w:pPr>
    </w:p>
    <w:p>
      <w:pPr>
        <w:ind w:right="40" w:firstLine="436"/>
        <w:spacing w:after="0" w:line="25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82" w:lineRule="exact"/>
        <w:rPr>
          <w:sz w:val="20"/>
          <w:szCs w:val="20"/>
          <w:color w:val="auto"/>
        </w:rPr>
      </w:pPr>
    </w:p>
    <w:p>
      <w:pPr>
        <w:ind w:right="60" w:firstLine="436"/>
        <w:spacing w:after="0" w:line="25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Appointment of Committees</w:t>
      </w:r>
      <w:r>
        <w:rPr>
          <w:rFonts w:ascii="Times New Roman" w:cs="Times New Roman" w:eastAsia="Times New Roman" w:hAnsi="Times New Roman"/>
          <w:sz w:val="18"/>
          <w:szCs w:val="18"/>
          <w:color w:val="auto"/>
        </w:rPr>
        <w:t>. To the extent Applicable Laws permit, the Board or the Administrator may delegate any or all of its powers under the Plan to one or more Committees or committees of officers of the Company or any of its Subsidiaries. The Board or the Administrator, as applicable, may rescind any such delegation, abolish any such committee or Committee and/or re-vest in itself any previously delegated authority at any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AVAILABLE FOR AWARDS</w:t>
      </w:r>
    </w:p>
    <w:p>
      <w:pPr>
        <w:spacing w:after="0" w:line="202" w:lineRule="exact"/>
        <w:rPr>
          <w:sz w:val="20"/>
          <w:szCs w:val="20"/>
          <w:color w:val="auto"/>
        </w:rPr>
      </w:pPr>
    </w:p>
    <w:p>
      <w:pPr>
        <w:ind w:right="120" w:firstLine="436"/>
        <w:spacing w:after="0" w:line="257"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Article VIII and the terms of this Article IV, Awards may be made under the Plan covering up to the Overall Share Limit. As of the Effective Date, the Company will cease granting awards under the Prior Plan; however, Prior Plan Awards will remain subject to the terms of the applicable Prior Plan. Shares issued under the Plan may consist of authorized but unissued Shares, Shares purchased on the open market or treasury Shares.</w:t>
      </w:r>
    </w:p>
    <w:p>
      <w:pPr>
        <w:spacing w:after="0" w:line="75" w:lineRule="exact"/>
        <w:rPr>
          <w:sz w:val="20"/>
          <w:szCs w:val="20"/>
          <w:color w:val="auto"/>
        </w:rPr>
      </w:pPr>
    </w:p>
    <w:p>
      <w:pPr>
        <w:ind w:right="440" w:firstLine="436"/>
        <w:spacing w:after="0" w:line="26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Share Recycling</w:t>
      </w:r>
      <w:r>
        <w:rPr>
          <w:rFonts w:ascii="Times New Roman" w:cs="Times New Roman" w:eastAsia="Times New Roman" w:hAnsi="Times New Roman"/>
          <w:sz w:val="18"/>
          <w:szCs w:val="18"/>
          <w:color w:val="auto"/>
        </w:rPr>
        <w:t>. If all or any part of an Award or a Prior Plan Award expires, lapses or is terminated, exchanged for or settled in cash, surrendered, repurchased, canceled without having been fully exercised or forfeited, in any case, in a manner that results in the Company acquiring Shares covered by the Award or Prior Plan Award at a price not greater than the price (as adjusted to reflect any Equity</w:t>
      </w:r>
    </w:p>
    <w:p>
      <w:pPr>
        <w:sectPr>
          <w:pgSz w:w="11900" w:h="16838" w:orient="portrait"/>
          <w:cols w:equalWidth="0" w:num="1">
            <w:col w:w="10900"/>
          </w:cols>
          <w:pgMar w:left="500" w:top="117" w:right="499" w:bottom="1440" w:gutter="0" w:footer="0" w:header="0"/>
        </w:sectPr>
      </w:pPr>
    </w:p>
    <w:bookmarkStart w:id="499" w:name="page500"/>
    <w:bookmarkEnd w:id="49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Restructuring) paid by the Participant for such Shares or not issuing any Shares covered by the Award or Prior Plan Award, the unused Shares covered by the Award will, as applicable, become or again be available for Award grants under the Plan. Further, Shares delivered (either by actual delivery or attestation) to the Company by a Participant to satisfy the applicable exercise or purchase price of an Award or Prior Plan Award and/or to satisfy any applicable tax withholding obligation with respect to an Award or Prior Plan Award (including Shares retained by the Company from the Award or Prior Plan Award being exercised or purchased and/or creating the tax obligation) will, as applicable, become or again be available for Award grants under the Plan. The payment of Dividend Equivalents in cash in conjunction with any outstanding Awards shall not count against the Overall Share Limit. Notwithstanding anything to the contrary contained herein, the following Shares shall not be added to the Shares authorized for grant under Section 4.1 and shall not be available for future grants of Awards: (a) Shares subject to a Stock Appreciation Right that are not issued in connection with the stock settlement of the Stock Appreciation Right on exercise thereof; and Shares purchased on the open market with the cash proceeds from the exercise of Options.</w:t>
      </w:r>
    </w:p>
    <w:p>
      <w:pPr>
        <w:spacing w:after="0" w:line="79" w:lineRule="exact"/>
        <w:rPr>
          <w:sz w:val="20"/>
          <w:szCs w:val="20"/>
          <w:color w:val="auto"/>
        </w:rPr>
      </w:pPr>
    </w:p>
    <w:p>
      <w:pPr>
        <w:ind w:right="60" w:firstLine="436"/>
        <w:spacing w:after="0" w:line="26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Incentive Stock Option Limitations</w:t>
      </w:r>
      <w:r>
        <w:rPr>
          <w:rFonts w:ascii="Times New Roman" w:cs="Times New Roman" w:eastAsia="Times New Roman" w:hAnsi="Times New Roman"/>
          <w:sz w:val="18"/>
          <w:szCs w:val="18"/>
          <w:color w:val="auto"/>
        </w:rPr>
        <w:t>. Notwithstanding anything to the contrary herein, no more than 300,000,000 Shares may be issued pursuant to the exercise of Incentive Stock Options (any or all of which may be granted with respect to Shares of Class A Common Stock and/or Shares of Class B Common Stock).</w:t>
      </w:r>
    </w:p>
    <w:p>
      <w:pPr>
        <w:spacing w:after="0" w:line="70" w:lineRule="exact"/>
        <w:rPr>
          <w:sz w:val="20"/>
          <w:szCs w:val="20"/>
          <w:color w:val="auto"/>
        </w:rPr>
      </w:pPr>
    </w:p>
    <w:p>
      <w:pPr>
        <w:ind w:firstLine="436"/>
        <w:spacing w:after="0" w:line="249"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Consultants or Directors prior to such acquisition or combination.</w:t>
      </w:r>
    </w:p>
    <w:p>
      <w:pPr>
        <w:spacing w:after="0" w:line="92"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Non-Employee Director Compensation</w:t>
      </w:r>
      <w:r>
        <w:rPr>
          <w:rFonts w:ascii="Times New Roman" w:cs="Times New Roman" w:eastAsia="Times New Roman" w:hAnsi="Times New Roman"/>
          <w:sz w:val="18"/>
          <w:szCs w:val="18"/>
          <w:color w:val="auto"/>
        </w:rPr>
        <w:t>.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commencing with the calendar year following the calendar year in which the Effective Date occurs,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$750,000 (which limits shall not apply to the compensation for any non-employee Director of the Company who serves in any capacity in addition to that of a non-employee Director for which he or she receives additional compensation).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500" w:top="268" w:right="539" w:bottom="1440" w:gutter="0" w:footer="0" w:header="0"/>
        </w:sectPr>
      </w:pPr>
    </w:p>
    <w:bookmarkStart w:id="500" w:name="page501"/>
    <w:bookmarkEnd w:id="50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OPTIONS AND STOCK APPRECIATION RIGHTS</w:t>
      </w:r>
    </w:p>
    <w:p>
      <w:pPr>
        <w:spacing w:after="0" w:line="202"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Options or Stock Appreciation Rights to Service Providers subject to the limitations in the Plan, including any limitations in the Plan that apply to Incentive Stock Options.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82" w:lineRule="exact"/>
        <w:rPr>
          <w:sz w:val="20"/>
          <w:szCs w:val="20"/>
          <w:color w:val="auto"/>
        </w:rPr>
      </w:pPr>
    </w:p>
    <w:p>
      <w:pPr>
        <w:ind w:right="100" w:firstLine="436"/>
        <w:spacing w:after="0" w:line="26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Administrator will establish each Option’s and Stock Appreciation Right’s exercise price and specify the exercise price in the Award Agreement. The exercise price will not be less than 100% of the Fair Market Value on the grant date of the Option or Stock Appreciation Right.</w:t>
      </w:r>
    </w:p>
    <w:p>
      <w:pPr>
        <w:spacing w:after="0" w:line="70"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Duration</w:t>
      </w:r>
      <w:r>
        <w:rPr>
          <w:rFonts w:ascii="Times New Roman" w:cs="Times New Roman" w:eastAsia="Times New Roman" w:hAnsi="Times New Roman"/>
          <w:sz w:val="18"/>
          <w:szCs w:val="18"/>
          <w:color w:val="auto"/>
        </w:rPr>
        <w:t>. Each Option or Stock Appreciation Right will be exercisable at such times and as specified in the Award Agreement, provided that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(i) the exercise of the Option or Stock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30 days after the end of the legal prohibition, black-out period or lock-up agreement, as determined by the Company; provided, however, in no event shall the extension last beyond the ten year term of the applicable Option or Stock Appreciation Right. Notwithstanding the foregoing, to the extent permitted under Applicable Laws,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w:t>
      </w:r>
    </w:p>
    <w:p>
      <w:pPr>
        <w:spacing w:after="0" w:line="82"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500" w:top="264" w:right="519" w:bottom="1440" w:gutter="0" w:footer="0" w:header="0"/>
        </w:sectPr>
      </w:pPr>
    </w:p>
    <w:bookmarkStart w:id="501" w:name="page502"/>
    <w:bookmarkEnd w:id="501"/>
    <w:p>
      <w:pPr>
        <w:ind w:right="40" w:firstLine="436"/>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5.5 </w:t>
      </w: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Subject to Section 10.8, any Company insider trading policy (including blackout periods) and Applicable Laws, the exercise price of an Option must be paid by:</w:t>
      </w:r>
    </w:p>
    <w:p>
      <w:pPr>
        <w:spacing w:after="0" w:line="57" w:lineRule="exact"/>
        <w:rPr>
          <w:sz w:val="20"/>
          <w:szCs w:val="20"/>
          <w:color w:val="auto"/>
        </w:rPr>
      </w:pPr>
    </w:p>
    <w:p>
      <w:pPr>
        <w:ind w:right="100" w:firstLine="975"/>
        <w:spacing w:after="0" w:line="277" w:lineRule="auto"/>
        <w:tabs>
          <w:tab w:leader="none" w:pos="1223"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56" w:lineRule="exact"/>
        <w:rPr>
          <w:rFonts w:ascii="Times New Roman" w:cs="Times New Roman" w:eastAsia="Times New Roman" w:hAnsi="Times New Roman"/>
          <w:sz w:val="18"/>
          <w:szCs w:val="18"/>
          <w:color w:val="auto"/>
        </w:rPr>
      </w:pPr>
    </w:p>
    <w:p>
      <w:pPr>
        <w:ind w:right="60" w:firstLine="975"/>
        <w:spacing w:after="0" w:line="255" w:lineRule="auto"/>
        <w:tabs>
          <w:tab w:leader="none" w:pos="1233"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public market for Shares at the time of exercise, unless the Company otherwise determines, (A) delivery (including electronically or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75" w:lineRule="exact"/>
        <w:rPr>
          <w:rFonts w:ascii="Times New Roman" w:cs="Times New Roman" w:eastAsia="Times New Roman" w:hAnsi="Times New Roman"/>
          <w:sz w:val="18"/>
          <w:szCs w:val="18"/>
          <w:color w:val="auto"/>
        </w:rPr>
      </w:pPr>
    </w:p>
    <w:p>
      <w:pPr>
        <w:ind w:right="380" w:firstLine="975"/>
        <w:spacing w:after="0" w:line="277" w:lineRule="auto"/>
        <w:tabs>
          <w:tab w:leader="none" w:pos="1223"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delivery (either by actual delivery or attestation) of Shares owned by the Participant valued at their Fair Market Value;</w:t>
      </w:r>
    </w:p>
    <w:p>
      <w:pPr>
        <w:spacing w:after="0" w:line="56" w:lineRule="exact"/>
        <w:rPr>
          <w:rFonts w:ascii="Times New Roman" w:cs="Times New Roman" w:eastAsia="Times New Roman" w:hAnsi="Times New Roman"/>
          <w:sz w:val="18"/>
          <w:szCs w:val="18"/>
          <w:color w:val="auto"/>
        </w:rPr>
      </w:pPr>
    </w:p>
    <w:p>
      <w:pPr>
        <w:ind w:right="40" w:firstLine="975"/>
        <w:spacing w:after="0" w:line="277" w:lineRule="auto"/>
        <w:tabs>
          <w:tab w:leader="none" w:pos="1233"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surrendering Shares then issuable upon the Option’s exercise valued at their Fair Market Value on the exercise date;</w:t>
      </w:r>
    </w:p>
    <w:p>
      <w:pPr>
        <w:spacing w:after="0" w:line="56" w:lineRule="exact"/>
        <w:rPr>
          <w:rFonts w:ascii="Times New Roman" w:cs="Times New Roman" w:eastAsia="Times New Roman" w:hAnsi="Times New Roman"/>
          <w:sz w:val="18"/>
          <w:szCs w:val="18"/>
          <w:color w:val="auto"/>
        </w:rPr>
      </w:pPr>
    </w:p>
    <w:p>
      <w:pPr>
        <w:ind w:right="100" w:firstLine="975"/>
        <w:spacing w:after="0" w:line="277" w:lineRule="auto"/>
        <w:tabs>
          <w:tab w:leader="none" w:pos="1223"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delivery of a promissory note or any other property that the Administrator determines is good and valuable consideration; or</w:t>
      </w:r>
    </w:p>
    <w:p>
      <w:pPr>
        <w:spacing w:after="0" w:line="56" w:lineRule="exact"/>
        <w:rPr>
          <w:rFonts w:ascii="Times New Roman" w:cs="Times New Roman" w:eastAsia="Times New Roman" w:hAnsi="Times New Roman"/>
          <w:sz w:val="18"/>
          <w:szCs w:val="18"/>
          <w:color w:val="auto"/>
        </w:rPr>
      </w:pPr>
    </w:p>
    <w:p>
      <w:pPr>
        <w:ind w:left="1200" w:hanging="225"/>
        <w:spacing w:after="0"/>
        <w:tabs>
          <w:tab w:leader="none" w:pos="120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Company, any combination of the above payment forms approved by the Administrator.</w:t>
      </w:r>
    </w:p>
    <w:p>
      <w:pPr>
        <w:spacing w:after="0" w:line="114"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Additional Terms of Incentive Stock Options</w:t>
      </w:r>
      <w:r>
        <w:rPr>
          <w:rFonts w:ascii="Times New Roman" w:cs="Times New Roman" w:eastAsia="Times New Roman" w:hAnsi="Times New Roman"/>
          <w:sz w:val="18"/>
          <w:szCs w:val="18"/>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80"/>
          </w:cols>
          <w:pgMar w:left="500" w:top="267" w:right="619" w:bottom="1440" w:gutter="0" w:footer="0" w:header="0"/>
        </w:sectPr>
      </w:pPr>
    </w:p>
    <w:bookmarkStart w:id="502" w:name="page503"/>
    <w:bookmarkEnd w:id="5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w:t>
      </w:r>
    </w:p>
    <w:p>
      <w:pPr>
        <w:spacing w:after="0" w:line="202"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975"/>
        <w:spacing w:after="0" w:line="255" w:lineRule="auto"/>
        <w:tabs>
          <w:tab w:leader="none" w:pos="1223"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75" w:lineRule="exact"/>
        <w:rPr>
          <w:rFonts w:ascii="Times New Roman" w:cs="Times New Roman" w:eastAsia="Times New Roman" w:hAnsi="Times New Roman"/>
          <w:sz w:val="18"/>
          <w:szCs w:val="18"/>
          <w:color w:val="auto"/>
        </w:rPr>
      </w:pPr>
    </w:p>
    <w:p>
      <w:pPr>
        <w:ind w:right="400" w:firstLine="975"/>
        <w:spacing w:after="0" w:line="277" w:lineRule="auto"/>
        <w:tabs>
          <w:tab w:leader="none" w:pos="1233"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The Company may require that the Participant deposit in escrow with the Company (or its designee) any stock certificates issued in respect of shares of Restricted Stock, together with a stock power endorsed in blank.</w:t>
      </w:r>
    </w:p>
    <w:p>
      <w:pPr>
        <w:spacing w:after="0" w:line="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Restricted Stock Units.</w:t>
      </w:r>
    </w:p>
    <w:p>
      <w:pPr>
        <w:spacing w:after="0" w:line="114" w:lineRule="exact"/>
        <w:rPr>
          <w:sz w:val="20"/>
          <w:szCs w:val="20"/>
          <w:color w:val="auto"/>
        </w:rPr>
      </w:pPr>
    </w:p>
    <w:p>
      <w:pPr>
        <w:ind w:right="20" w:firstLine="975"/>
        <w:spacing w:after="0" w:line="262" w:lineRule="auto"/>
        <w:tabs>
          <w:tab w:leader="none" w:pos="1223"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70" w:lineRule="exact"/>
        <w:rPr>
          <w:rFonts w:ascii="Times New Roman" w:cs="Times New Roman" w:eastAsia="Times New Roman" w:hAnsi="Times New Roman"/>
          <w:sz w:val="18"/>
          <w:szCs w:val="18"/>
          <w:color w:val="auto"/>
        </w:rPr>
      </w:pPr>
    </w:p>
    <w:p>
      <w:pPr>
        <w:ind w:right="440" w:firstLine="975"/>
        <w:spacing w:after="0" w:line="277" w:lineRule="auto"/>
        <w:tabs>
          <w:tab w:leader="none" w:pos="1233"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A Participant will have no rights of a stockholder with respect to Shares subject to any Restricted Stock Unit unless and until the Shares are delivered in settlement of the Restricted Stock Unit.</w:t>
      </w:r>
    </w:p>
    <w:p>
      <w:pPr>
        <w:spacing w:after="0" w:line="56" w:lineRule="exact"/>
        <w:rPr>
          <w:rFonts w:ascii="Times New Roman" w:cs="Times New Roman" w:eastAsia="Times New Roman" w:hAnsi="Times New Roman"/>
          <w:sz w:val="18"/>
          <w:szCs w:val="18"/>
          <w:color w:val="auto"/>
        </w:rPr>
      </w:pPr>
    </w:p>
    <w:p>
      <w:pPr>
        <w:ind w:right="220" w:firstLine="975"/>
        <w:spacing w:after="0" w:line="255" w:lineRule="auto"/>
        <w:tabs>
          <w:tab w:leader="none" w:pos="1223"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If the Administrator provides, a grant of Restricted Stock Units or Other Stock or Cash Based Award may provide a Participant with the right to receive Dividend Equivalents, and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STOCK OR CASH BASED AWARDS</w:t>
      </w:r>
    </w:p>
    <w:p>
      <w:pPr>
        <w:spacing w:after="0" w:line="202"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500" w:top="264" w:right="539" w:bottom="1440" w:gutter="0" w:footer="0" w:header="0"/>
        </w:sectPr>
      </w:pPr>
    </w:p>
    <w:bookmarkStart w:id="503" w:name="page504"/>
    <w:bookmarkEnd w:id="503"/>
    <w:p>
      <w:pPr>
        <w:ind w:right="3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1">
                      <a:extLst>
                        <a:ext uri="{28A0092B-C50C-407E-A947-70E740481C1C}"/>
                      </a:extLst>
                    </a:blip>
                    <a:srcRect/>
                    <a:stretch>
                      <a:fillRect/>
                    </a:stretch>
                  </pic:blipFill>
                  <pic:spPr bwMode="auto">
                    <a:xfrm>
                      <a:off x="0" y="0"/>
                      <a:ext cx="7150735" cy="24765"/>
                    </a:xfrm>
                    <a:prstGeom prst="rect">
                      <a:avLst/>
                    </a:prstGeom>
                    <a:noFill/>
                  </pic:spPr>
                </pic:pic>
              </a:graphicData>
            </a:graphic>
          </wp:anchor>
        </w:drawing>
        <w:t>be paid in Shares, cash or other property, as the Administrator determines. Subject to the provisions of the Plan, the Administrator will determine the terms and conditions of each Other Stock or Cash Based Award, including any purchase price, performance goal(s) (which may be based on the Performance Criteria), transfer restrictions, and vesting conditions, which will be set forth in the applicable Award Agreement.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 FOR CHANGES IN COMMON STOCK</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CERTAIN OTHER EVENTS</w:t>
      </w:r>
    </w:p>
    <w:p>
      <w:pPr>
        <w:spacing w:after="0" w:line="202"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Equity Restructuring(a)</w:t>
      </w:r>
      <w:r>
        <w:rPr>
          <w:rFonts w:ascii="Times New Roman" w:cs="Times New Roman" w:eastAsia="Times New Roman" w:hAnsi="Times New Roman"/>
          <w:sz w:val="18"/>
          <w:szCs w:val="18"/>
          <w:color w:val="auto"/>
        </w:rPr>
        <w:t xml:space="preserve"> .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76"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84" w:lineRule="exact"/>
        <w:rPr>
          <w:sz w:val="20"/>
          <w:szCs w:val="20"/>
          <w:color w:val="auto"/>
        </w:rPr>
      </w:pPr>
    </w:p>
    <w:p>
      <w:pPr>
        <w:ind w:right="80" w:firstLine="975"/>
        <w:spacing w:after="0" w:line="252" w:lineRule="auto"/>
        <w:tabs>
          <w:tab w:leader="none" w:pos="1223"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ind w:right="340" w:firstLine="975"/>
        <w:spacing w:after="0" w:line="255" w:lineRule="auto"/>
        <w:tabs>
          <w:tab w:leader="none" w:pos="1233"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75" w:lineRule="exact"/>
        <w:rPr>
          <w:rFonts w:ascii="Times New Roman" w:cs="Times New Roman" w:eastAsia="Times New Roman" w:hAnsi="Times New Roman"/>
          <w:sz w:val="18"/>
          <w:szCs w:val="18"/>
          <w:color w:val="auto"/>
        </w:rPr>
      </w:pPr>
    </w:p>
    <w:p>
      <w:pPr>
        <w:ind w:right="160" w:firstLine="975"/>
        <w:spacing w:after="0" w:line="262" w:lineRule="auto"/>
        <w:tabs>
          <w:tab w:leader="none" w:pos="122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500" w:top="267" w:right="499" w:bottom="1440" w:gutter="0" w:footer="0" w:header="0"/>
        </w:sectPr>
      </w:pPr>
    </w:p>
    <w:bookmarkStart w:id="504" w:name="page505"/>
    <w:bookmarkEnd w:id="504"/>
    <w:p>
      <w:pPr>
        <w:ind w:right="100" w:firstLine="975"/>
        <w:spacing w:after="0" w:line="257" w:lineRule="auto"/>
        <w:tabs>
          <w:tab w:leader="none" w:pos="1233"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make adjustments in the number and type of shares of Common Stock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grant or exercise price or applicable performance goals), and the criteria included in, outstanding Awards;</w:t>
      </w:r>
    </w:p>
    <w:p>
      <w:pPr>
        <w:spacing w:after="0" w:line="75"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such Award with other rights or property selected by the Administrator; and/or</w:t>
      </w:r>
    </w:p>
    <w:p>
      <w:pPr>
        <w:spacing w:after="0" w:line="113" w:lineRule="exact"/>
        <w:rPr>
          <w:rFonts w:ascii="Times New Roman" w:cs="Times New Roman" w:eastAsia="Times New Roman" w:hAnsi="Times New Roman"/>
          <w:sz w:val="18"/>
          <w:szCs w:val="18"/>
          <w:color w:val="auto"/>
        </w:rPr>
      </w:pPr>
    </w:p>
    <w:p>
      <w:pPr>
        <w:ind w:left="1200" w:hanging="225"/>
        <w:spacing w:after="0"/>
        <w:tabs>
          <w:tab w:leader="none" w:pos="120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Award will terminate and cannot vest, be exercised or become payable after the applicable event.</w:t>
      </w:r>
    </w:p>
    <w:p>
      <w:pPr>
        <w:spacing w:after="0" w:line="114"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Effect of Non-Assumption in a Change in Control</w:t>
      </w:r>
      <w:r>
        <w:rPr>
          <w:rFonts w:ascii="Times New Roman" w:cs="Times New Roman" w:eastAsia="Times New Roman" w:hAnsi="Times New Roman"/>
          <w:sz w:val="18"/>
          <w:szCs w:val="18"/>
          <w:color w:val="auto"/>
        </w:rPr>
        <w:t>. Notwithstanding the provisions of Section 8.2, if a Change in Control occurs and a Participant’s Awards are not continued, converted, assumed, or replaced with a substantially similar award by (a) the Company, or (b) a successor entity or its parent or subsidiary (an “</w:t>
      </w:r>
      <w:r>
        <w:rPr>
          <w:rFonts w:ascii="Times New Roman" w:cs="Times New Roman" w:eastAsia="Times New Roman" w:hAnsi="Times New Roman"/>
          <w:sz w:val="18"/>
          <w:szCs w:val="18"/>
          <w:b w:val="1"/>
          <w:bCs w:val="1"/>
          <w:i w:val="1"/>
          <w:iCs w:val="1"/>
          <w:color w:val="auto"/>
        </w:rPr>
        <w:t>Assumption</w:t>
      </w:r>
      <w:r>
        <w:rPr>
          <w:rFonts w:ascii="Times New Roman" w:cs="Times New Roman" w:eastAsia="Times New Roman" w:hAnsi="Times New Roman"/>
          <w:sz w:val="18"/>
          <w:szCs w:val="18"/>
          <w:color w:val="auto"/>
        </w:rPr>
        <w:t>”), and provided that the Participant has not had a Termination of Service, then, immediately prior to the Change in Control, such Awards shall become fully vested, exercisable and/or payable, as applicable, and all forfeiture, repurchase and other restrictions on such Awards shall lapse, in which case, such Awards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(ii) determined by reference to the number of shares subject to such Awards and net of any applicable exercise price; provided that to the extent that any Awards constitute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provided, further, that if the amount to which a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81" w:lineRule="exact"/>
        <w:rPr>
          <w:sz w:val="20"/>
          <w:szCs w:val="20"/>
          <w:color w:val="auto"/>
        </w:rPr>
      </w:pPr>
    </w:p>
    <w:p>
      <w:pPr>
        <w:ind w:right="160" w:firstLine="436"/>
        <w:spacing w:after="0" w:line="277"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Administrative Stand Still</w:t>
      </w:r>
      <w:r>
        <w:rPr>
          <w:rFonts w:ascii="Times New Roman" w:cs="Times New Roman" w:eastAsia="Times New Roman" w:hAnsi="Times New Roman"/>
          <w:sz w:val="17"/>
          <w:szCs w:val="17"/>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60 days before or after such transaction.</w:t>
      </w:r>
    </w:p>
    <w:p>
      <w:pPr>
        <w:spacing w:after="0" w:line="59"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0"/>
          </w:cols>
          <w:pgMar w:left="500" w:top="268" w:right="539" w:bottom="1440" w:gutter="0" w:footer="0" w:header="0"/>
        </w:sectPr>
      </w:pPr>
    </w:p>
    <w:bookmarkStart w:id="505" w:name="page506"/>
    <w:bookmarkEnd w:id="50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3">
                      <a:extLst>
                        <a:ext uri="{28A0092B-C50C-407E-A947-70E740481C1C}"/>
                      </a:extLst>
                    </a:blip>
                    <a:srcRect/>
                    <a:stretch>
                      <a:fillRect/>
                    </a:stretch>
                  </pic:blipFill>
                  <pic:spPr bwMode="auto">
                    <a:xfrm>
                      <a:off x="0" y="0"/>
                      <a:ext cx="7150735" cy="24765"/>
                    </a:xfrm>
                    <a:prstGeom prst="rect">
                      <a:avLst/>
                    </a:prstGeom>
                    <a:noFill/>
                  </pic:spPr>
                </pic:pic>
              </a:graphicData>
            </a:graphic>
          </wp:anchor>
        </w:drawing>
        <w:t>ARTICLE IX.</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 APPLICABLE TO AWARDS</w:t>
      </w:r>
    </w:p>
    <w:p>
      <w:pPr>
        <w:spacing w:after="0" w:line="202" w:lineRule="exact"/>
        <w:rPr>
          <w:sz w:val="20"/>
          <w:szCs w:val="20"/>
          <w:color w:val="auto"/>
        </w:rPr>
      </w:pPr>
    </w:p>
    <w:p>
      <w:pPr>
        <w:ind w:right="80" w:firstLine="436"/>
        <w:spacing w:after="0" w:line="253"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References to a Participant, to the extent relevant in the context, will include references to a Participant’s authorized transferee that the Administrator specifically approves.</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u w:val="single" w:color="auto"/>
          <w:color w:val="auto"/>
        </w:rPr>
        <w:t>Documentation</w:t>
      </w:r>
      <w:r>
        <w:rPr>
          <w:rFonts w:ascii="Times New Roman" w:cs="Times New Roman" w:eastAsia="Times New Roman" w:hAnsi="Times New Roman"/>
          <w:sz w:val="17"/>
          <w:szCs w:val="17"/>
          <w:color w:val="auto"/>
        </w:rPr>
        <w:t>. Each Award will be evidenced in an Award Agreement, which may be written or electronic, as the Administrator determines.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Award may contain terms and conditions in addition to those set forth in the Plan.</w:t>
      </w:r>
    </w:p>
    <w:p>
      <w:pPr>
        <w:spacing w:after="0" w:line="95" w:lineRule="exact"/>
        <w:rPr>
          <w:sz w:val="20"/>
          <w:szCs w:val="20"/>
          <w:color w:val="auto"/>
        </w:rPr>
      </w:pPr>
    </w:p>
    <w:p>
      <w:pPr>
        <w:ind w:right="120" w:firstLine="436"/>
        <w:spacing w:after="0" w:line="308"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Discretion</w:t>
      </w:r>
      <w:r>
        <w:rPr>
          <w:rFonts w:ascii="Times New Roman" w:cs="Times New Roman" w:eastAsia="Times New Roman" w:hAnsi="Times New Roman"/>
          <w:sz w:val="17"/>
          <w:szCs w:val="17"/>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33" w:lineRule="exact"/>
        <w:rPr>
          <w:sz w:val="20"/>
          <w:szCs w:val="20"/>
          <w:color w:val="auto"/>
        </w:rPr>
      </w:pPr>
    </w:p>
    <w:p>
      <w:pPr>
        <w:jc w:val="both"/>
        <w:ind w:right="40" w:firstLine="436"/>
        <w:spacing w:after="0" w:line="26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70" w:lineRule="exact"/>
        <w:rPr>
          <w:sz w:val="20"/>
          <w:szCs w:val="20"/>
          <w:color w:val="auto"/>
        </w:rPr>
      </w:pPr>
    </w:p>
    <w:p>
      <w:pPr>
        <w:ind w:firstLine="436"/>
        <w:spacing w:after="0" w:line="265" w:lineRule="auto"/>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Each Participant must pay the Company, or make provision satisfactory to the Administrator for payment of, any taxes required by Applicable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(ii) below with respect to Awards held by individuals subject to Section 16 of the Exchange Act, a contrary determination by the Administrator), all tax withholding obligations will be calculated based on the minimum applicable statutory withholding rates.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delivered by attestation and Shares retained from the Award creating the tax obligation, valued at their Fair Market Value on the date of delivery, (iii) if there is a public market for Shares at the time the tax obligations are satisfied, unless the Company otherwise determines,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500" w:top="263" w:right="519" w:bottom="1440" w:gutter="0" w:footer="0" w:header="0"/>
        </w:sectPr>
      </w:pPr>
    </w:p>
    <w:bookmarkStart w:id="506" w:name="page507"/>
    <w:bookmarkEnd w:id="506"/>
    <w:p>
      <w:pPr>
        <w:ind w:left="6" w:right="100"/>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4">
                      <a:extLst>
                        <a:ext uri="{28A0092B-C50C-407E-A947-70E740481C1C}"/>
                      </a:extLst>
                    </a:blip>
                    <a:srcRect/>
                    <a:stretch>
                      <a:fillRect/>
                    </a:stretch>
                  </pic:blipFill>
                  <pic:spPr bwMode="auto">
                    <a:xfrm>
                      <a:off x="0" y="0"/>
                      <a:ext cx="7150735" cy="24765"/>
                    </a:xfrm>
                    <a:prstGeom prst="rect">
                      <a:avLst/>
                    </a:prstGeom>
                    <a:noFill/>
                  </pic:spPr>
                </pic:pic>
              </a:graphicData>
            </a:graphic>
          </wp:anchor>
        </w:drawing>
        <w:t>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Notwithstanding any other provision of the Plan, the number of Shares which may be so delivered or retained pursuant to clause (ii)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If any tax withholding obligation will be satisfied under clause</w:t>
      </w:r>
    </w:p>
    <w:p>
      <w:pPr>
        <w:spacing w:after="0" w:line="4" w:lineRule="exact"/>
        <w:rPr>
          <w:sz w:val="20"/>
          <w:szCs w:val="20"/>
          <w:color w:val="auto"/>
        </w:rPr>
      </w:pPr>
    </w:p>
    <w:p>
      <w:pPr>
        <w:ind w:left="6" w:right="160" w:hanging="6"/>
        <w:spacing w:after="0" w:line="249" w:lineRule="auto"/>
        <w:tabs>
          <w:tab w:leader="none" w:pos="268"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83" w:lineRule="exact"/>
        <w:rPr>
          <w:sz w:val="20"/>
          <w:szCs w:val="20"/>
          <w:color w:val="auto"/>
        </w:rPr>
      </w:pPr>
    </w:p>
    <w:p>
      <w:pPr>
        <w:ind w:left="6" w:right="20" w:firstLine="436"/>
        <w:spacing w:after="0" w:line="25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Amendment of Award; Repricing</w:t>
      </w:r>
      <w:r>
        <w:rPr>
          <w:rFonts w:ascii="Times New Roman" w:cs="Times New Roman" w:eastAsia="Times New Roman" w:hAnsi="Times New Roman"/>
          <w:sz w:val="18"/>
          <w:szCs w:val="18"/>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78" w:lineRule="exact"/>
        <w:rPr>
          <w:sz w:val="20"/>
          <w:szCs w:val="20"/>
          <w:color w:val="auto"/>
        </w:rPr>
      </w:pPr>
    </w:p>
    <w:p>
      <w:pPr>
        <w:ind w:left="6" w:right="100" w:firstLine="436"/>
        <w:spacing w:after="0" w:line="270" w:lineRule="auto"/>
        <w:rPr>
          <w:sz w:val="20"/>
          <w:szCs w:val="20"/>
          <w:color w:val="auto"/>
        </w:rPr>
      </w:pPr>
      <w:r>
        <w:rPr>
          <w:rFonts w:ascii="Times New Roman" w:cs="Times New Roman" w:eastAsia="Times New Roman" w:hAnsi="Times New Roman"/>
          <w:sz w:val="17"/>
          <w:szCs w:val="17"/>
          <w:color w:val="auto"/>
        </w:rPr>
        <w:t xml:space="preserve">9.7 </w:t>
      </w:r>
      <w:r>
        <w:rPr>
          <w:rFonts w:ascii="Times New Roman" w:cs="Times New Roman" w:eastAsia="Times New Roman" w:hAnsi="Times New Roman"/>
          <w:sz w:val="17"/>
          <w:szCs w:val="17"/>
          <w:u w:val="single" w:color="auto"/>
          <w:color w:val="auto"/>
        </w:rPr>
        <w:t>Conditions on Delivery of Stock</w:t>
      </w:r>
      <w:r>
        <w:rPr>
          <w:rFonts w:ascii="Times New Roman" w:cs="Times New Roman" w:eastAsia="Times New Roman" w:hAnsi="Times New Roman"/>
          <w:sz w:val="17"/>
          <w:szCs w:val="17"/>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70" w:lineRule="exact"/>
        <w:rPr>
          <w:sz w:val="20"/>
          <w:szCs w:val="20"/>
          <w:color w:val="auto"/>
        </w:rPr>
      </w:pPr>
    </w:p>
    <w:p>
      <w:pPr>
        <w:ind w:left="6" w:right="180" w:firstLine="436"/>
        <w:spacing w:after="0" w:line="277"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57" w:lineRule="exact"/>
        <w:rPr>
          <w:sz w:val="20"/>
          <w:szCs w:val="20"/>
          <w:color w:val="auto"/>
        </w:rPr>
      </w:pPr>
    </w:p>
    <w:p>
      <w:pPr>
        <w:ind w:left="6" w:firstLine="436"/>
        <w:spacing w:after="0" w:line="277"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Cash Settlement</w:t>
      </w:r>
      <w:r>
        <w:rPr>
          <w:rFonts w:ascii="Times New Roman" w:cs="Times New Roman" w:eastAsia="Times New Roman" w:hAnsi="Times New Roman"/>
          <w:sz w:val="18"/>
          <w:szCs w:val="18"/>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97"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66"/>
          </w:cols>
          <w:pgMar w:left="494" w:top="267" w:right="539" w:bottom="1440" w:gutter="0" w:footer="0" w:header="0"/>
        </w:sectPr>
      </w:pPr>
    </w:p>
    <w:bookmarkStart w:id="507" w:name="page508"/>
    <w:bookmarkEnd w:id="50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X.</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2" w:lineRule="exact"/>
        <w:rPr>
          <w:sz w:val="20"/>
          <w:szCs w:val="20"/>
          <w:color w:val="auto"/>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75" w:lineRule="exact"/>
        <w:rPr>
          <w:sz w:val="20"/>
          <w:szCs w:val="20"/>
          <w:color w:val="auto"/>
        </w:rPr>
      </w:pPr>
    </w:p>
    <w:p>
      <w:pPr>
        <w:ind w:right="180" w:firstLine="436"/>
        <w:spacing w:after="0" w:line="253"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 Rights as Stockholder; Certificates</w:t>
      </w:r>
      <w:r>
        <w:rPr>
          <w:rFonts w:ascii="Times New Roman" w:cs="Times New Roman" w:eastAsia="Times New Roman" w:hAnsi="Times New Roman"/>
          <w:sz w:val="18"/>
          <w:szCs w:val="18"/>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80"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Unless earlier terminated by the Board, the Plan will become effective on the day prior to the Public Trading Date and will remain in effect until the tenth anniversary of earlier of (i) the date the Board adopted the Plan or (ii) the date the Company’s stockholders approved the Plan, but Awards previously granted may extend beyond that date in accordance with the Plan. Notwithstanding anything to the contrary in the Plan, an Incentive Stock Option may not be granted under the Plan after 10 years from the earlier of (i) the date the Board adopted the Plan or (ii) the date the Company’s stockholders approved the Plan. If the Plan is not approved by the Company’s stockholders, the Plan will not become effective and no Awards will be granted under the Plan and the Prior Plan will continue in full force and effect in accordance with its terms.</w:t>
      </w:r>
    </w:p>
    <w:p>
      <w:pPr>
        <w:spacing w:after="0" w:line="80" w:lineRule="exact"/>
        <w:rPr>
          <w:sz w:val="20"/>
          <w:szCs w:val="20"/>
          <w:color w:val="auto"/>
        </w:rPr>
      </w:pPr>
    </w:p>
    <w:p>
      <w:pPr>
        <w:ind w:right="60" w:firstLine="436"/>
        <w:spacing w:after="0" w:line="273" w:lineRule="auto"/>
        <w:rPr>
          <w:sz w:val="20"/>
          <w:szCs w:val="20"/>
          <w:color w:val="auto"/>
        </w:rPr>
      </w:pPr>
      <w:r>
        <w:rPr>
          <w:rFonts w:ascii="Times New Roman" w:cs="Times New Roman" w:eastAsia="Times New Roman" w:hAnsi="Times New Roman"/>
          <w:sz w:val="17"/>
          <w:szCs w:val="17"/>
          <w:color w:val="auto"/>
        </w:rPr>
        <w:t xml:space="preserve">10.4 </w:t>
      </w:r>
      <w:r>
        <w:rPr>
          <w:rFonts w:ascii="Times New Roman" w:cs="Times New Roman" w:eastAsia="Times New Roman" w:hAnsi="Times New Roman"/>
          <w:sz w:val="17"/>
          <w:szCs w:val="17"/>
          <w:u w:val="single" w:color="auto"/>
          <w:color w:val="auto"/>
        </w:rPr>
        <w:t>Amendment of Plan</w:t>
      </w:r>
      <w:r>
        <w:rPr>
          <w:rFonts w:ascii="Times New Roman" w:cs="Times New Roman" w:eastAsia="Times New Roman" w:hAnsi="Times New Roman"/>
          <w:sz w:val="17"/>
          <w:szCs w:val="17"/>
          <w:color w:val="auto"/>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71" w:lineRule="exact"/>
        <w:rPr>
          <w:sz w:val="20"/>
          <w:szCs w:val="20"/>
          <w:color w:val="auto"/>
        </w:rPr>
      </w:pPr>
    </w:p>
    <w:p>
      <w:pPr>
        <w:ind w:right="80" w:firstLine="436"/>
        <w:spacing w:after="0" w:line="262"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Provisions for Foreign Participants</w:t>
      </w:r>
      <w:r>
        <w:rPr>
          <w:rFonts w:ascii="Times New Roman" w:cs="Times New Roman" w:eastAsia="Times New Roman" w:hAnsi="Times New Roman"/>
          <w:sz w:val="18"/>
          <w:szCs w:val="18"/>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80" w:firstLine="975"/>
        <w:spacing w:after="0" w:line="251" w:lineRule="auto"/>
        <w:tabs>
          <w:tab w:leader="none" w:pos="1223"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500" w:top="264" w:right="519" w:bottom="1440" w:gutter="0" w:footer="0" w:header="0"/>
        </w:sectPr>
      </w:pPr>
    </w:p>
    <w:bookmarkStart w:id="508" w:name="page509"/>
    <w:bookmarkEnd w:id="508"/>
    <w:p>
      <w:pPr>
        <w:ind w:right="100" w:firstLine="975"/>
        <w:spacing w:after="0" w:line="273" w:lineRule="auto"/>
        <w:tabs>
          <w:tab w:leader="none" w:pos="1233" w:val="left"/>
        </w:tabs>
        <w:numPr>
          <w:ilvl w:val="0"/>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Separation from Service</w:t>
      </w:r>
      <w:r>
        <w:rPr>
          <w:rFonts w:ascii="Times New Roman" w:cs="Times New Roman" w:eastAsia="Times New Roman" w:hAnsi="Times New Roman"/>
          <w:sz w:val="17"/>
          <w:szCs w:val="17"/>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63" w:lineRule="exact"/>
        <w:rPr>
          <w:rFonts w:ascii="Times New Roman" w:cs="Times New Roman" w:eastAsia="Times New Roman" w:hAnsi="Times New Roman"/>
          <w:sz w:val="17"/>
          <w:szCs w:val="17"/>
          <w:color w:val="auto"/>
        </w:rPr>
      </w:pPr>
    </w:p>
    <w:p>
      <w:pPr>
        <w:ind w:firstLine="975"/>
        <w:spacing w:after="0" w:line="270" w:lineRule="auto"/>
        <w:tabs>
          <w:tab w:leader="none" w:pos="1223" w:val="left"/>
        </w:tabs>
        <w:numPr>
          <w:ilvl w:val="0"/>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 to Specified Employees</w:t>
      </w:r>
      <w:r>
        <w:rPr>
          <w:rFonts w:ascii="Times New Roman" w:cs="Times New Roman" w:eastAsia="Times New Roman" w:hAnsi="Times New Roman"/>
          <w:sz w:val="17"/>
          <w:szCs w:val="17"/>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64"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85" w:lineRule="exact"/>
        <w:rPr>
          <w:sz w:val="20"/>
          <w:szCs w:val="20"/>
          <w:color w:val="auto"/>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75" w:lineRule="exact"/>
        <w:rPr>
          <w:sz w:val="20"/>
          <w:szCs w:val="20"/>
          <w:color w:val="auto"/>
        </w:rPr>
      </w:pPr>
    </w:p>
    <w:p>
      <w:pPr>
        <w:ind w:righ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60"/>
          </w:cols>
          <w:pgMar w:left="500" w:top="268" w:right="539" w:bottom="1440" w:gutter="0" w:footer="0" w:header="0"/>
        </w:sectPr>
      </w:pPr>
    </w:p>
    <w:bookmarkStart w:id="509" w:name="page510"/>
    <w:bookmarkEnd w:id="509"/>
    <w:p>
      <w:pPr>
        <w:ind w:right="4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10.9. For more information on the consequences of refusing or withdrawing consent, Participants may contact their local human resources representative.</w:t>
      </w:r>
    </w:p>
    <w:p>
      <w:pPr>
        <w:spacing w:after="0" w:line="82" w:lineRule="exact"/>
        <w:rPr>
          <w:sz w:val="20"/>
          <w:szCs w:val="20"/>
          <w:color w:val="auto"/>
        </w:rPr>
      </w:pPr>
    </w:p>
    <w:p>
      <w:pPr>
        <w:jc w:val="both"/>
        <w:ind w:right="180" w:firstLine="436"/>
        <w:spacing w:after="0" w:line="262"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70"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 In addition, the Awards granted and Shares issuable and issued pursuant to this Plan are subject to Section V.A.7 of the Charter regarding the conversion of shares of Class B Common Stock to Class A Common Stock.</w:t>
      </w:r>
    </w:p>
    <w:p>
      <w:pPr>
        <w:spacing w:after="0" w:line="76" w:lineRule="exact"/>
        <w:rPr>
          <w:sz w:val="20"/>
          <w:szCs w:val="20"/>
          <w:color w:val="auto"/>
        </w:rPr>
      </w:pPr>
    </w:p>
    <w:p>
      <w:pPr>
        <w:ind w:right="620" w:firstLine="436"/>
        <w:spacing w:after="0" w:line="277"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57" w:lineRule="exact"/>
        <w:rPr>
          <w:sz w:val="20"/>
          <w:szCs w:val="20"/>
          <w:color w:val="auto"/>
        </w:rPr>
      </w:pPr>
    </w:p>
    <w:p>
      <w:pPr>
        <w:ind w:right="80" w:firstLine="436"/>
        <w:spacing w:after="0" w:line="255"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All Awards (including, without limitation, any proceeds, gains or other economic benefit actually or constructively received by Participant upon any receipt or exercise of any Award or upon the receipt or resale of any shares of Common Stock underlying the Award) shall be subject to the provisions of any claw-back policy implemented by the Company, including, without limitation, any claw-back policy adopted to comply with Applicable Laws (including the Dodd-Frank Wall Street Reform and Consumer Protection Act and any rules or regulations promulgated thereunder), as and to the extent set forth in such claw-back policy or the Award Agreement.</w:t>
      </w:r>
    </w:p>
    <w:p>
      <w:pPr>
        <w:spacing w:after="0" w:line="76" w:lineRule="exact"/>
        <w:rPr>
          <w:sz w:val="20"/>
          <w:szCs w:val="20"/>
          <w:color w:val="auto"/>
        </w:rPr>
      </w:pPr>
    </w:p>
    <w:p>
      <w:pPr>
        <w:jc w:val="both"/>
        <w:ind w:firstLine="436"/>
        <w:spacing w:after="0" w:line="277"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in the Plan are for convenience of reference only and, if any conflict, the Plan’s text, rather than such titles or headings, will control.</w:t>
      </w:r>
    </w:p>
    <w:p>
      <w:pPr>
        <w:spacing w:after="0" w:line="57"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500" w:top="268" w:right="519" w:bottom="1440" w:gutter="0" w:footer="0" w:header="0"/>
        </w:sectPr>
      </w:pPr>
    </w:p>
    <w:bookmarkStart w:id="510" w:name="page511"/>
    <w:bookmarkEnd w:id="510"/>
    <w:p>
      <w:pPr>
        <w:ind w:right="340" w:firstLine="43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8">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10.16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70" w:lineRule="exact"/>
        <w:rPr>
          <w:sz w:val="20"/>
          <w:szCs w:val="20"/>
          <w:color w:val="auto"/>
        </w:rPr>
      </w:pPr>
    </w:p>
    <w:p>
      <w:pPr>
        <w:ind w:right="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Broker-Assisted Sales</w:t>
      </w:r>
      <w:r>
        <w:rPr>
          <w:rFonts w:ascii="Times New Roman" w:cs="Times New Roman" w:eastAsia="Times New Roman" w:hAnsi="Times New Roman"/>
          <w:sz w:val="18"/>
          <w:szCs w:val="18"/>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39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used in the Plan, the following words and phrases will have the following meanings:</w:t>
      </w:r>
    </w:p>
    <w:p>
      <w:pPr>
        <w:spacing w:after="0" w:line="110" w:lineRule="exact"/>
        <w:rPr>
          <w:sz w:val="20"/>
          <w:szCs w:val="20"/>
          <w:color w:val="auto"/>
        </w:rPr>
      </w:pPr>
    </w:p>
    <w:p>
      <w:pPr>
        <w:ind w:right="220" w:firstLine="436"/>
        <w:spacing w:after="0" w:line="282"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or a Committee to the extent that the Board’s powers or authority under the Plan have been delegated to such Committee.</w:t>
      </w:r>
    </w:p>
    <w:p>
      <w:pPr>
        <w:spacing w:after="0" w:line="48" w:lineRule="exact"/>
        <w:rPr>
          <w:sz w:val="20"/>
          <w:szCs w:val="20"/>
          <w:color w:val="auto"/>
        </w:rPr>
      </w:pPr>
    </w:p>
    <w:p>
      <w:pPr>
        <w:jc w:val="both"/>
        <w:ind w:right="20" w:firstLine="436"/>
        <w:spacing w:after="0" w:line="265"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62" w:lineRule="exact"/>
        <w:rPr>
          <w:sz w:val="20"/>
          <w:szCs w:val="20"/>
          <w:color w:val="auto"/>
        </w:rPr>
      </w:pPr>
    </w:p>
    <w:p>
      <w:pPr>
        <w:ind w:firstLine="436"/>
        <w:spacing w:after="0" w:line="282"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or Other Stock or Cash Based Awards.</w:t>
      </w:r>
    </w:p>
    <w:p>
      <w:pPr>
        <w:spacing w:after="0" w:line="48" w:lineRule="exact"/>
        <w:rPr>
          <w:sz w:val="20"/>
          <w:szCs w:val="20"/>
          <w:color w:val="auto"/>
        </w:rPr>
      </w:pPr>
    </w:p>
    <w:p>
      <w:pPr>
        <w:ind w:right="180" w:firstLine="436"/>
        <w:spacing w:after="0" w:line="282"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evidencing an Award, which may be electronic, that contains such terms and conditions as the Administrator determines, consistent with and subject to the terms and conditions of the Plan.</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and includes each of the following:</w:t>
      </w:r>
    </w:p>
    <w:p>
      <w:pPr>
        <w:spacing w:after="0" w:line="118" w:lineRule="exact"/>
        <w:rPr>
          <w:sz w:val="20"/>
          <w:szCs w:val="20"/>
          <w:color w:val="auto"/>
        </w:rPr>
      </w:pPr>
    </w:p>
    <w:p>
      <w:pPr>
        <w:ind w:right="160" w:firstLine="975"/>
        <w:spacing w:after="0" w:line="255" w:lineRule="auto"/>
        <w:tabs>
          <w:tab w:leader="none" w:pos="1223"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any Permitted Holder, an employee benefit plan maintained by the Company or any of its Subsidiaries or a “person” that, prior 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60"/>
          </w:cols>
          <w:pgMar w:left="500" w:top="267" w:right="539" w:bottom="1440" w:gutter="0" w:footer="0" w:header="0"/>
        </w:sectPr>
      </w:pPr>
    </w:p>
    <w:bookmarkStart w:id="511" w:name="page512"/>
    <w:bookmarkEnd w:id="511"/>
    <w:p>
      <w:pPr>
        <w:ind w:right="2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70" w:lineRule="exact"/>
        <w:rPr>
          <w:sz w:val="20"/>
          <w:szCs w:val="20"/>
          <w:color w:val="auto"/>
        </w:rPr>
      </w:pPr>
    </w:p>
    <w:p>
      <w:pPr>
        <w:ind w:firstLine="975"/>
        <w:spacing w:after="0" w:line="273" w:lineRule="auto"/>
        <w:tabs>
          <w:tab w:leader="none" w:pos="1233" w:val="left"/>
        </w:tabs>
        <w:numPr>
          <w:ilvl w:val="0"/>
          <w:numId w:val="3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(a “</w:t>
      </w:r>
      <w:r>
        <w:rPr>
          <w:rFonts w:ascii="Times New Roman" w:cs="Times New Roman" w:eastAsia="Times New Roman" w:hAnsi="Times New Roman"/>
          <w:sz w:val="17"/>
          <w:szCs w:val="17"/>
          <w:b w:val="1"/>
          <w:bCs w:val="1"/>
          <w:i w:val="1"/>
          <w:iCs w:val="1"/>
          <w:color w:val="auto"/>
        </w:rPr>
        <w:t>Non-Transactional Change in Control</w:t>
      </w:r>
      <w:r>
        <w:rPr>
          <w:rFonts w:ascii="Times New Roman" w:cs="Times New Roman" w:eastAsia="Times New Roman" w:hAnsi="Times New Roman"/>
          <w:sz w:val="17"/>
          <w:szCs w:val="17"/>
          <w:color w:val="auto"/>
        </w:rPr>
        <w:t>”); or</w:t>
      </w:r>
    </w:p>
    <w:p>
      <w:pPr>
        <w:spacing w:after="0" w:line="63" w:lineRule="exact"/>
        <w:rPr>
          <w:rFonts w:ascii="Times New Roman" w:cs="Times New Roman" w:eastAsia="Times New Roman" w:hAnsi="Times New Roman"/>
          <w:sz w:val="17"/>
          <w:szCs w:val="17"/>
          <w:color w:val="auto"/>
        </w:rPr>
      </w:pPr>
    </w:p>
    <w:p>
      <w:pPr>
        <w:ind w:right="20" w:firstLine="975"/>
        <w:spacing w:after="0" w:line="257" w:lineRule="auto"/>
        <w:tabs>
          <w:tab w:leader="none" w:pos="1223"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75" w:lineRule="exact"/>
        <w:rPr>
          <w:rFonts w:ascii="Times New Roman" w:cs="Times New Roman" w:eastAsia="Times New Roman" w:hAnsi="Times New Roman"/>
          <w:sz w:val="18"/>
          <w:szCs w:val="18"/>
          <w:color w:val="auto"/>
        </w:rPr>
      </w:pPr>
    </w:p>
    <w:p>
      <w:pPr>
        <w:ind w:right="80" w:firstLine="1411"/>
        <w:spacing w:after="0" w:line="255" w:lineRule="auto"/>
        <w:tabs>
          <w:tab w:leader="none" w:pos="1630"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directly or indirectly, at least a majority of the combined voting power of the Successor Entity’s outstanding voting securities immediately after the transaction, and</w:t>
      </w:r>
    </w:p>
    <w:p>
      <w:pPr>
        <w:spacing w:after="0" w:line="75" w:lineRule="exact"/>
        <w:rPr>
          <w:rFonts w:ascii="Times New Roman" w:cs="Times New Roman" w:eastAsia="Times New Roman" w:hAnsi="Times New Roman"/>
          <w:sz w:val="18"/>
          <w:szCs w:val="18"/>
          <w:color w:val="auto"/>
        </w:rPr>
      </w:pPr>
    </w:p>
    <w:p>
      <w:pPr>
        <w:ind w:right="140" w:firstLine="1411"/>
        <w:spacing w:after="0" w:line="257" w:lineRule="auto"/>
        <w:tabs>
          <w:tab w:leader="none" w:pos="1679"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82" w:lineRule="exact"/>
        <w:rPr>
          <w:sz w:val="20"/>
          <w:szCs w:val="20"/>
          <w:color w:val="auto"/>
        </w:rPr>
      </w:pPr>
    </w:p>
    <w:p>
      <w:pPr>
        <w:ind w:right="460" w:firstLine="436"/>
        <w:spacing w:after="0" w:line="255"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3" w:lineRule="exact"/>
        <w:rPr>
          <w:sz w:val="20"/>
          <w:szCs w:val="20"/>
          <w:color w:val="auto"/>
        </w:rPr>
      </w:pPr>
    </w:p>
    <w:p>
      <w:pPr>
        <w:ind w:right="140" w:firstLine="436"/>
        <w:spacing w:after="0" w:line="257" w:lineRule="auto"/>
        <w:rPr>
          <w:sz w:val="20"/>
          <w:szCs w:val="20"/>
          <w:color w:val="auto"/>
        </w:rPr>
      </w:pPr>
      <w:r>
        <w:rPr>
          <w:rFonts w:ascii="Times New Roman" w:cs="Times New Roman" w:eastAsia="Times New Roman" w:hAnsi="Times New Roman"/>
          <w:sz w:val="18"/>
          <w:szCs w:val="18"/>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means the Company’s amended and restated certificate of incorporation, as it may be amended from time to time.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80"/>
          </w:cols>
          <w:pgMar w:left="500" w:top="268" w:right="519" w:bottom="1440" w:gutter="0" w:footer="0" w:header="0"/>
        </w:sectPr>
      </w:pPr>
    </w:p>
    <w:bookmarkStart w:id="512" w:name="page513"/>
    <w:bookmarkEnd w:id="512"/>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11.8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means the Class A common stock of the Company, par value of $0.0001 per share.</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means the Class B common stock of the Company, par value of $0.0001 per share.</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11.10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the date on which the Company’s initial public offering closes.</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11.11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the regulations issued thereunder.</w:t>
      </w:r>
    </w:p>
    <w:p>
      <w:pPr>
        <w:spacing w:after="0" w:line="114" w:lineRule="exact"/>
        <w:rPr>
          <w:sz w:val="20"/>
          <w:szCs w:val="20"/>
          <w:color w:val="auto"/>
        </w:rPr>
      </w:pPr>
    </w:p>
    <w:p>
      <w:pPr>
        <w:ind w:right="200" w:firstLine="436"/>
        <w:spacing w:after="0" w:line="256" w:lineRule="auto"/>
        <w:rPr>
          <w:sz w:val="20"/>
          <w:szCs w:val="20"/>
          <w:color w:val="auto"/>
        </w:rPr>
      </w:pPr>
      <w:r>
        <w:rPr>
          <w:rFonts w:ascii="Times New Roman" w:cs="Times New Roman" w:eastAsia="Times New Roman" w:hAnsi="Times New Roman"/>
          <w:sz w:val="18"/>
          <w:szCs w:val="18"/>
          <w:color w:val="auto"/>
        </w:rPr>
        <w:t>11.12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11.13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either the Class A Common Stock or Class B Common Stock of the Company.</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11.14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GoodRx Holdings, Inc., a Delaware corporation, or any successor.</w:t>
      </w:r>
    </w:p>
    <w:p>
      <w:pPr>
        <w:spacing w:after="0" w:line="114" w:lineRule="exact"/>
        <w:rPr>
          <w:sz w:val="20"/>
          <w:szCs w:val="20"/>
          <w:color w:val="auto"/>
        </w:rPr>
      </w:pPr>
    </w:p>
    <w:p>
      <w:pPr>
        <w:ind w:right="20" w:firstLine="436"/>
        <w:spacing w:after="0" w:line="287" w:lineRule="auto"/>
        <w:rPr>
          <w:sz w:val="20"/>
          <w:szCs w:val="20"/>
          <w:color w:val="auto"/>
        </w:rPr>
      </w:pPr>
      <w:r>
        <w:rPr>
          <w:rFonts w:ascii="Times New Roman" w:cs="Times New Roman" w:eastAsia="Times New Roman" w:hAnsi="Times New Roman"/>
          <w:sz w:val="17"/>
          <w:szCs w:val="17"/>
          <w:color w:val="auto"/>
        </w:rPr>
        <w:t>11.15 “</w:t>
      </w:r>
      <w:r>
        <w:rPr>
          <w:rFonts w:ascii="Times New Roman" w:cs="Times New Roman" w:eastAsia="Times New Roman" w:hAnsi="Times New Roman"/>
          <w:sz w:val="17"/>
          <w:szCs w:val="17"/>
          <w:b w:val="1"/>
          <w:bCs w:val="1"/>
          <w:i w:val="1"/>
          <w:iCs w:val="1"/>
          <w:color w:val="auto"/>
        </w:rPr>
        <w:t>Consultant</w:t>
      </w:r>
      <w:r>
        <w:rPr>
          <w:rFonts w:ascii="Times New Roman" w:cs="Times New Roman" w:eastAsia="Times New Roman" w:hAnsi="Times New Roman"/>
          <w:sz w:val="17"/>
          <w:szCs w:val="17"/>
          <w:color w:val="auto"/>
        </w:rPr>
        <w:t>” means any person, including any adviser, engaged by the Company or its parent or Subsidiary to render services to such entity if the consultant or adviser: (a) renders bona fide services to the Company; (b) renders services not in connection with the offer or sale of securities in a capital-raising transaction and does not directly or indirectly promote or maintain a market for the Company’s securities; and (c) is a natural person.</w:t>
      </w:r>
    </w:p>
    <w:p>
      <w:pPr>
        <w:spacing w:after="0" w:line="47" w:lineRule="exact"/>
        <w:rPr>
          <w:sz w:val="20"/>
          <w:szCs w:val="20"/>
          <w:color w:val="auto"/>
        </w:rPr>
      </w:pPr>
    </w:p>
    <w:p>
      <w:pPr>
        <w:jc w:val="both"/>
        <w:ind w:right="260" w:firstLine="436"/>
        <w:spacing w:after="0" w:line="265" w:lineRule="auto"/>
        <w:rPr>
          <w:sz w:val="20"/>
          <w:szCs w:val="20"/>
          <w:color w:val="auto"/>
        </w:rPr>
      </w:pPr>
      <w:r>
        <w:rPr>
          <w:rFonts w:ascii="Times New Roman" w:cs="Times New Roman" w:eastAsia="Times New Roman" w:hAnsi="Times New Roman"/>
          <w:sz w:val="18"/>
          <w:szCs w:val="18"/>
          <w:color w:val="auto"/>
        </w:rPr>
        <w:t>11.16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11.17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Board member.</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11.18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a permanent and total disability under Section 22(e)(3) of the Code, as amended.</w:t>
      </w:r>
    </w:p>
    <w:p>
      <w:pPr>
        <w:spacing w:after="0" w:line="114" w:lineRule="exact"/>
        <w:rPr>
          <w:sz w:val="20"/>
          <w:szCs w:val="20"/>
          <w:color w:val="auto"/>
        </w:rPr>
      </w:pPr>
    </w:p>
    <w:p>
      <w:pPr>
        <w:ind w:right="740" w:firstLine="436"/>
        <w:spacing w:after="0" w:line="282" w:lineRule="auto"/>
        <w:rPr>
          <w:sz w:val="20"/>
          <w:szCs w:val="20"/>
          <w:color w:val="auto"/>
        </w:rPr>
      </w:pPr>
      <w:r>
        <w:rPr>
          <w:rFonts w:ascii="Times New Roman" w:cs="Times New Roman" w:eastAsia="Times New Roman" w:hAnsi="Times New Roman"/>
          <w:sz w:val="18"/>
          <w:szCs w:val="18"/>
          <w:color w:val="auto"/>
        </w:rPr>
        <w:t>11.19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means a right granted to a Participant under the Plan to receive the equivalent value (in cash or Shares) of dividends paid on Shares.</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11.20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employee of the Company or its Subsidiaries.</w:t>
      </w:r>
    </w:p>
    <w:p>
      <w:pPr>
        <w:spacing w:after="0" w:line="114"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11.21 “</w:t>
      </w:r>
      <w:r>
        <w:rPr>
          <w:rFonts w:ascii="Times New Roman" w:cs="Times New Roman" w:eastAsia="Times New Roman" w:hAnsi="Times New Roman"/>
          <w:sz w:val="18"/>
          <w:szCs w:val="18"/>
          <w:b w:val="1"/>
          <w:bCs w:val="1"/>
          <w:i w:val="1"/>
          <w:iCs w:val="1"/>
          <w:color w:val="auto"/>
        </w:rPr>
        <w:t>Equity Restructuring</w:t>
      </w:r>
      <w:r>
        <w:rPr>
          <w:rFonts w:ascii="Times New Roman" w:cs="Times New Roman" w:eastAsia="Times New Roman" w:hAnsi="Times New Roman"/>
          <w:sz w:val="18"/>
          <w:szCs w:val="18"/>
          <w:color w:val="auto"/>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of Common Stock (or other securities of the Company) or the share price of Common Stock (or other securities of the Company) and causes a change in the per share value of the Common Stock underlying outstanding Awards.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500" w:top="264" w:right="499" w:bottom="1440" w:gutter="0" w:footer="0" w:header="0"/>
        </w:sectPr>
      </w:pPr>
    </w:p>
    <w:bookmarkStart w:id="513" w:name="page514"/>
    <w:bookmarkEnd w:id="513"/>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11.22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14" w:lineRule="exact"/>
        <w:rPr>
          <w:sz w:val="20"/>
          <w:szCs w:val="20"/>
          <w:color w:val="auto"/>
        </w:rPr>
      </w:pPr>
    </w:p>
    <w:p>
      <w:pPr>
        <w:ind w:right="40" w:firstLine="436"/>
        <w:spacing w:after="0" w:line="253" w:lineRule="auto"/>
        <w:rPr>
          <w:sz w:val="20"/>
          <w:szCs w:val="20"/>
          <w:color w:val="auto"/>
        </w:rPr>
      </w:pPr>
      <w:r>
        <w:rPr>
          <w:rFonts w:ascii="Times New Roman" w:cs="Times New Roman" w:eastAsia="Times New Roman" w:hAnsi="Times New Roman"/>
          <w:sz w:val="18"/>
          <w:szCs w:val="18"/>
          <w:color w:val="auto"/>
        </w:rPr>
        <w:t>11.23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xml:space="preserve">” means, as of any date, the value of a share of Common Stock determined as follows: (a) if the Class A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another source the Administrator deems reliable; (b) if the Class A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another source the Administrator deems reliable; or (c) without an established market for the Class A Common Stock, the Administrator will determine the Fair Market Value in its discretion.</w:t>
      </w:r>
    </w:p>
    <w:p>
      <w:pPr>
        <w:spacing w:after="0" w:line="80"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color w:val="auto"/>
        </w:rPr>
        <w:t>Notwithstanding the foregoing, with respect to any Award granted on the pricing date of the Company’s initial public offering, the Fair Market Value shall mean the initial public offering price of a Share of Class A Common Stock as set forth in the Company’s final prospectus relating to its initial public offering filed with the Securities and Exchange Commission.</w:t>
      </w:r>
    </w:p>
    <w:p>
      <w:pPr>
        <w:spacing w:after="0" w:line="66" w:lineRule="exact"/>
        <w:rPr>
          <w:sz w:val="20"/>
          <w:szCs w:val="20"/>
          <w:color w:val="auto"/>
        </w:rPr>
      </w:pPr>
    </w:p>
    <w:p>
      <w:pPr>
        <w:ind w:right="300" w:firstLine="436"/>
        <w:spacing w:after="0" w:line="282" w:lineRule="auto"/>
        <w:rPr>
          <w:sz w:val="20"/>
          <w:szCs w:val="20"/>
          <w:color w:val="auto"/>
        </w:rPr>
      </w:pPr>
      <w:r>
        <w:rPr>
          <w:rFonts w:ascii="Times New Roman" w:cs="Times New Roman" w:eastAsia="Times New Roman" w:hAnsi="Times New Roman"/>
          <w:sz w:val="18"/>
          <w:szCs w:val="18"/>
          <w:color w:val="auto"/>
        </w:rPr>
        <w:t>11.24 “</w:t>
      </w:r>
      <w:r>
        <w:rPr>
          <w:rFonts w:ascii="Times New Roman" w:cs="Times New Roman" w:eastAsia="Times New Roman" w:hAnsi="Times New Roman"/>
          <w:sz w:val="18"/>
          <w:szCs w:val="18"/>
          <w:b w:val="1"/>
          <w:bCs w:val="1"/>
          <w:i w:val="1"/>
          <w:iCs w:val="1"/>
          <w:color w:val="auto"/>
        </w:rPr>
        <w:t>Founders Awards</w:t>
      </w:r>
      <w:r>
        <w:rPr>
          <w:rFonts w:ascii="Times New Roman" w:cs="Times New Roman" w:eastAsia="Times New Roman" w:hAnsi="Times New Roman"/>
          <w:sz w:val="18"/>
          <w:szCs w:val="18"/>
          <w:color w:val="auto"/>
        </w:rPr>
        <w:t>” means the Restricted Stock Unit awards covering an aggregate of 24,633,066 Shares, to be granted to each of Doug Hirsch and Trevor Bezdek on the Closing Date.</w:t>
      </w:r>
    </w:p>
    <w:p>
      <w:pPr>
        <w:spacing w:after="0" w:line="48" w:lineRule="exact"/>
        <w:rPr>
          <w:sz w:val="20"/>
          <w:szCs w:val="20"/>
          <w:color w:val="auto"/>
        </w:rPr>
      </w:pPr>
    </w:p>
    <w:p>
      <w:pPr>
        <w:ind w:right="240" w:firstLine="436"/>
        <w:spacing w:after="0" w:line="259" w:lineRule="auto"/>
        <w:rPr>
          <w:sz w:val="20"/>
          <w:szCs w:val="20"/>
          <w:color w:val="auto"/>
        </w:rPr>
      </w:pPr>
      <w:r>
        <w:rPr>
          <w:rFonts w:ascii="Times New Roman" w:cs="Times New Roman" w:eastAsia="Times New Roman" w:hAnsi="Times New Roman"/>
          <w:sz w:val="18"/>
          <w:szCs w:val="18"/>
          <w:color w:val="auto"/>
        </w:rPr>
        <w:t>11.25 “</w:t>
      </w:r>
      <w:r>
        <w:rPr>
          <w:rFonts w:ascii="Times New Roman" w:cs="Times New Roman" w:eastAsia="Times New Roman" w:hAnsi="Times New Roman"/>
          <w:sz w:val="18"/>
          <w:szCs w:val="18"/>
          <w:b w:val="1"/>
          <w:bCs w:val="1"/>
          <w:i w:val="1"/>
          <w:iCs w:val="1"/>
          <w:color w:val="auto"/>
        </w:rPr>
        <w:t>Fully Diluted Shares</w:t>
      </w:r>
      <w:r>
        <w:rPr>
          <w:rFonts w:ascii="Times New Roman" w:cs="Times New Roman" w:eastAsia="Times New Roman" w:hAnsi="Times New Roman"/>
          <w:sz w:val="18"/>
          <w:szCs w:val="18"/>
          <w:color w:val="auto"/>
        </w:rPr>
        <w:t>” means, as of any given date, the sum of (i) the total number of outstanding Shares of Class A Common Stock and Class B Common Stock, excluding any shares of preferred stock that may be converted and (ii) the total number of Shares of Class A Common Stock and Class B Common Stock underlying equity awards granted under the Plan or the Prior Plan with respect to which Shares have not actually been issued, in each case as of such date.</w:t>
      </w:r>
    </w:p>
    <w:p>
      <w:pPr>
        <w:spacing w:after="0" w:line="68" w:lineRule="exact"/>
        <w:rPr>
          <w:sz w:val="20"/>
          <w:szCs w:val="20"/>
          <w:color w:val="auto"/>
        </w:rPr>
      </w:pPr>
    </w:p>
    <w:p>
      <w:pPr>
        <w:ind w:right="40" w:firstLine="436"/>
        <w:spacing w:after="0" w:line="265" w:lineRule="auto"/>
        <w:rPr>
          <w:sz w:val="20"/>
          <w:szCs w:val="20"/>
          <w:color w:val="auto"/>
        </w:rPr>
      </w:pPr>
      <w:r>
        <w:rPr>
          <w:rFonts w:ascii="Times New Roman" w:cs="Times New Roman" w:eastAsia="Times New Roman" w:hAnsi="Times New Roman"/>
          <w:sz w:val="18"/>
          <w:szCs w:val="18"/>
          <w:color w:val="auto"/>
        </w:rPr>
        <w:t>11.26 “</w:t>
      </w:r>
      <w:r>
        <w:rPr>
          <w:rFonts w:ascii="Times New Roman" w:cs="Times New Roman" w:eastAsia="Times New Roman" w:hAnsi="Times New Roman"/>
          <w:sz w:val="18"/>
          <w:szCs w:val="18"/>
          <w:b w:val="1"/>
          <w:bCs w:val="1"/>
          <w:i w:val="1"/>
          <w:iCs w:val="1"/>
          <w:color w:val="auto"/>
        </w:rPr>
        <w:t>Greater Than 10% Stockholder</w:t>
      </w:r>
      <w:r>
        <w:rPr>
          <w:rFonts w:ascii="Times New Roman" w:cs="Times New Roman" w:eastAsia="Times New Roman" w:hAnsi="Times New Roman"/>
          <w:sz w:val="18"/>
          <w:szCs w:val="18"/>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11.27 “</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intended to qualify as an “incentive stock option” as defined in Section 422 of the Code.</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11.28 “</w:t>
      </w:r>
      <w:r>
        <w:rPr>
          <w:rFonts w:ascii="Times New Roman" w:cs="Times New Roman" w:eastAsia="Times New Roman" w:hAnsi="Times New Roman"/>
          <w:sz w:val="18"/>
          <w:szCs w:val="18"/>
          <w:b w:val="1"/>
          <w:bCs w:val="1"/>
          <w:i w:val="1"/>
          <w:iCs w:val="1"/>
          <w:color w:val="auto"/>
        </w:rPr>
        <w:t>Non-Qualified Stock Option</w:t>
      </w:r>
      <w:r>
        <w:rPr>
          <w:rFonts w:ascii="Times New Roman" w:cs="Times New Roman" w:eastAsia="Times New Roman" w:hAnsi="Times New Roman"/>
          <w:sz w:val="18"/>
          <w:szCs w:val="18"/>
          <w:color w:val="auto"/>
        </w:rPr>
        <w:t>” means an Option, or portion thereof, not intended or not qualifying as an Incentive Stock Option.</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11.29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option to purchase Shares, which will either be an Incentive Stock option or a Non-Qualified Stock Option.</w:t>
      </w:r>
    </w:p>
    <w:p>
      <w:pPr>
        <w:spacing w:after="0" w:line="114" w:lineRule="exact"/>
        <w:rPr>
          <w:sz w:val="20"/>
          <w:szCs w:val="20"/>
          <w:color w:val="auto"/>
        </w:rPr>
      </w:pPr>
    </w:p>
    <w:p>
      <w:pPr>
        <w:ind w:right="80" w:firstLine="436"/>
        <w:spacing w:after="0" w:line="282" w:lineRule="auto"/>
        <w:rPr>
          <w:sz w:val="20"/>
          <w:szCs w:val="20"/>
          <w:color w:val="auto"/>
        </w:rPr>
      </w:pPr>
      <w:r>
        <w:rPr>
          <w:rFonts w:ascii="Times New Roman" w:cs="Times New Roman" w:eastAsia="Times New Roman" w:hAnsi="Times New Roman"/>
          <w:sz w:val="18"/>
          <w:szCs w:val="18"/>
          <w:color w:val="auto"/>
        </w:rPr>
        <w:t>11.30 “</w:t>
      </w:r>
      <w:r>
        <w:rPr>
          <w:rFonts w:ascii="Times New Roman" w:cs="Times New Roman" w:eastAsia="Times New Roman" w:hAnsi="Times New Roman"/>
          <w:sz w:val="18"/>
          <w:szCs w:val="18"/>
          <w:b w:val="1"/>
          <w:bCs w:val="1"/>
          <w:i w:val="1"/>
          <w:iCs w:val="1"/>
          <w:color w:val="auto"/>
        </w:rPr>
        <w:t>Other Stock or Cash Based Awards</w:t>
      </w:r>
      <w:r>
        <w:rPr>
          <w:rFonts w:ascii="Times New Roman" w:cs="Times New Roman" w:eastAsia="Times New Roman" w:hAnsi="Times New Roman"/>
          <w:sz w:val="18"/>
          <w:szCs w:val="18"/>
          <w:color w:val="auto"/>
        </w:rPr>
        <w:t>” means cash awards, awards of Shares, and other awards valued wholly or partially by referring to, or are otherwise based on, Shares or other property awarded to a Participant under Article VII.</w:t>
      </w:r>
    </w:p>
    <w:p>
      <w:pPr>
        <w:spacing w:after="0" w:line="48" w:lineRule="exact"/>
        <w:rPr>
          <w:sz w:val="20"/>
          <w:szCs w:val="20"/>
          <w:color w:val="auto"/>
        </w:rPr>
      </w:pPr>
    </w:p>
    <w:p>
      <w:pPr>
        <w:ind w:right="220" w:firstLine="436"/>
        <w:spacing w:after="0" w:line="256" w:lineRule="auto"/>
        <w:rPr>
          <w:sz w:val="20"/>
          <w:szCs w:val="20"/>
          <w:color w:val="auto"/>
        </w:rPr>
      </w:pPr>
      <w:r>
        <w:rPr>
          <w:rFonts w:ascii="Times New Roman" w:cs="Times New Roman" w:eastAsia="Times New Roman" w:hAnsi="Times New Roman"/>
          <w:sz w:val="18"/>
          <w:szCs w:val="18"/>
          <w:color w:val="auto"/>
        </w:rPr>
        <w:t>11.31 “</w:t>
      </w:r>
      <w:r>
        <w:rPr>
          <w:rFonts w:ascii="Times New Roman" w:cs="Times New Roman" w:eastAsia="Times New Roman" w:hAnsi="Times New Roman"/>
          <w:sz w:val="18"/>
          <w:szCs w:val="18"/>
          <w:b w:val="1"/>
          <w:bCs w:val="1"/>
          <w:i w:val="1"/>
          <w:iCs w:val="1"/>
          <w:color w:val="auto"/>
        </w:rPr>
        <w:t>Overall Share Limit</w:t>
      </w:r>
      <w:r>
        <w:rPr>
          <w:rFonts w:ascii="Times New Roman" w:cs="Times New Roman" w:eastAsia="Times New Roman" w:hAnsi="Times New Roman"/>
          <w:sz w:val="18"/>
          <w:szCs w:val="18"/>
          <w:color w:val="auto"/>
        </w:rPr>
        <w:t>” means the sum of (a) 35,000,000 Shares; (b) if, on the Closing Date, the number of Shares in subclause (a) equals less than 8% of the Fully Diluted Shares as of the Closing Date, an increase to the Overall Share Limit on the Closing Date in an amount such that the aggregate number of Shares available for issuance pursuant to Awards which may be granted under the Plan (including Shares subject to then-outstanding Awards granted under the Plan, other than the Founders Awards) after such increase is equal to 8% of the Fully Diluted Shares on the Closing Date; (c) 24,633,066 Shares; (d)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500" w:top="264" w:right="499" w:bottom="1440" w:gutter="0" w:footer="0" w:header="0"/>
        </w:sectPr>
      </w:pPr>
    </w:p>
    <w:bookmarkStart w:id="514" w:name="page515"/>
    <w:bookmarkEnd w:id="514"/>
    <w:p>
      <w:pPr>
        <w:spacing w:after="0" w:line="187" w:lineRule="auto"/>
        <w:framePr w:w="2700" w:h="135" w:wrap="auto" w:vAnchor="page" w:hAnchor="page" w:x="460" w:y="4988"/>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sourcing activity; and marketing initiatives,</w:t>
      </w:r>
    </w:p>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any Shares which, as of the Effective Date, are (i) available for issuance under the Prior Plan or (ii) are subject to Prior Plan Awards which, on or following the Effective Date, become available for issuance under the Plan pursuant to Article IV (which aggregate number of subclauses (i) and (ii) added to the Overall Share Limit shall not exceed 24,362,562 Shares); and (e) an annual increase on the first day of each calendar year beginning on and including January 1, 2021 and ending on and including January 1, 2030, equal to the lesser of (i) 5% of the aggregate number of shares of Class A Common Stock and Class B Common Stock outstanding on the final day of the immediately preceding calendar year and (ii) such smaller number of Shares as is determined by the Board, which may be issued as Shares of Class A Common Stock or Shares of Class B Common Stock, as determined by the Administrator in its sole discretion and to the extent such class of Common Stock exists from time to time.</w:t>
      </w:r>
    </w:p>
    <w:p>
      <w:pPr>
        <w:spacing w:after="0" w:line="78" w:lineRule="exact"/>
        <w:rPr>
          <w:rFonts w:ascii="Times New Roman" w:cs="Times New Roman" w:eastAsia="Times New Roman" w:hAnsi="Times New Roman"/>
          <w:sz w:val="15"/>
          <w:szCs w:val="15"/>
          <w:color w:val="auto"/>
        </w:rPr>
      </w:pPr>
    </w:p>
    <w:p>
      <w:pPr>
        <w:ind w:left="420"/>
        <w:spacing w:after="0"/>
        <w:rPr>
          <w:sz w:val="20"/>
          <w:szCs w:val="20"/>
          <w:color w:val="auto"/>
        </w:rPr>
      </w:pPr>
      <w:r>
        <w:rPr>
          <w:rFonts w:ascii="Times New Roman" w:cs="Times New Roman" w:eastAsia="Times New Roman" w:hAnsi="Times New Roman"/>
          <w:sz w:val="18"/>
          <w:szCs w:val="18"/>
          <w:color w:val="auto"/>
        </w:rPr>
        <w:t>11.32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Service Provider who has been granted an Award.</w:t>
      </w:r>
    </w:p>
    <w:p>
      <w:pPr>
        <w:spacing w:after="0" w:line="114" w:lineRule="exact"/>
        <w:rPr>
          <w:rFonts w:ascii="Times New Roman" w:cs="Times New Roman" w:eastAsia="Times New Roman" w:hAnsi="Times New Roman"/>
          <w:sz w:val="15"/>
          <w:szCs w:val="15"/>
          <w:color w:val="auto"/>
        </w:rPr>
      </w:pPr>
    </w:p>
    <w:p>
      <w:pPr>
        <w:ind w:right="120" w:firstLine="436"/>
        <w:spacing w:after="0" w:line="264" w:lineRule="auto"/>
        <w:rPr>
          <w:sz w:val="20"/>
          <w:szCs w:val="20"/>
          <w:color w:val="auto"/>
        </w:rPr>
      </w:pPr>
      <w:r>
        <w:rPr>
          <w:rFonts w:ascii="Times New Roman" w:cs="Times New Roman" w:eastAsia="Times New Roman" w:hAnsi="Times New Roman"/>
          <w:sz w:val="17"/>
          <w:szCs w:val="17"/>
          <w:color w:val="auto"/>
        </w:rPr>
        <w:t>11.33 “</w:t>
      </w:r>
      <w:r>
        <w:rPr>
          <w:rFonts w:ascii="Times New Roman" w:cs="Times New Roman" w:eastAsia="Times New Roman" w:hAnsi="Times New Roman"/>
          <w:sz w:val="17"/>
          <w:szCs w:val="17"/>
          <w:b w:val="1"/>
          <w:bCs w:val="1"/>
          <w:i w:val="1"/>
          <w:iCs w:val="1"/>
          <w:color w:val="auto"/>
        </w:rPr>
        <w:t>Performance Criteria</w:t>
      </w:r>
      <w:r>
        <w:rPr>
          <w:rFonts w:ascii="Times New Roman" w:cs="Times New Roman" w:eastAsia="Times New Roman" w:hAnsi="Times New Roman"/>
          <w:sz w:val="17"/>
          <w:szCs w:val="17"/>
          <w:color w:val="auto"/>
        </w:rPr>
        <w:t xml:space="preserve">”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w:t>
      </w:r>
      <w:r>
        <w:rPr>
          <w:rFonts w:ascii="Times New Roman" w:cs="Times New Roman" w:eastAsia="Times New Roman" w:hAnsi="Times New Roman"/>
          <w:sz w:val="14"/>
          <w:szCs w:val="14"/>
          <w:color w:val="auto"/>
        </w:rPr>
        <w:t>customer satisfaction/growth; customer service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employee satisfaction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recruitment and maintenance of personnel;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human resources managemen</w:t>
      </w:r>
      <w:r>
        <w:rPr>
          <w:rFonts w:ascii="Times New Roman" w:cs="Times New Roman" w:eastAsia="Times New Roman" w:hAnsi="Times New Roman"/>
          <w:sz w:val="16"/>
          <w:szCs w:val="16"/>
          <w:color w:val="auto"/>
        </w:rPr>
        <w:t>t;</w:t>
      </w:r>
      <w:r>
        <w:rPr>
          <w:rFonts w:ascii="Times New Roman" w:cs="Times New Roman" w:eastAsia="Times New Roman" w:hAnsi="Times New Roman"/>
          <w:sz w:val="14"/>
          <w:szCs w:val="14"/>
          <w:color w:val="auto"/>
        </w:rPr>
        <w:t xml:space="preserve"> supervision of litigation and other legal matters</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strategic partnerships and transactions</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financial ratios (including those measuring liquidity, activity, profitability or leverage)</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debt levels or reductions</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sales-related goals</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financing and other capital raising transactions</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cash on hand</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acquisition activity</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investment</w:t>
      </w:r>
    </w:p>
    <w:p>
      <w:pPr>
        <w:spacing w:after="0" w:line="12" w:lineRule="exact"/>
        <w:rPr>
          <w:rFonts w:ascii="Times New Roman" w:cs="Times New Roman" w:eastAsia="Times New Roman" w:hAnsi="Times New Roman"/>
          <w:sz w:val="15"/>
          <w:szCs w:val="15"/>
          <w:color w:val="auto"/>
        </w:rPr>
      </w:pPr>
    </w:p>
    <w:p>
      <w:pPr>
        <w:ind w:left="2680"/>
        <w:spacing w:after="0"/>
        <w:rPr>
          <w:sz w:val="20"/>
          <w:szCs w:val="20"/>
          <w:color w:val="auto"/>
        </w:rPr>
      </w:pPr>
      <w:r>
        <w:rPr>
          <w:rFonts w:ascii="Times New Roman" w:cs="Times New Roman" w:eastAsia="Times New Roman" w:hAnsi="Times New Roman"/>
          <w:sz w:val="18"/>
          <w:szCs w:val="18"/>
          <w:color w:val="auto"/>
        </w:rPr>
        <w:t>any of which may be measured in absolute terms or as compared to any incremental increase or decrease. Such</w:t>
      </w:r>
    </w:p>
    <w:p>
      <w:pPr>
        <w:spacing w:after="0" w:line="26" w:lineRule="exact"/>
        <w:rPr>
          <w:rFonts w:ascii="Times New Roman" w:cs="Times New Roman" w:eastAsia="Times New Roman" w:hAnsi="Times New Roman"/>
          <w:sz w:val="15"/>
          <w:szCs w:val="15"/>
          <w:color w:val="auto"/>
        </w:rPr>
      </w:pPr>
    </w:p>
    <w:p>
      <w:pPr>
        <w:jc w:val="both"/>
        <w:ind w:right="100"/>
        <w:spacing w:after="0" w:line="251" w:lineRule="auto"/>
        <w:rPr>
          <w:sz w:val="20"/>
          <w:szCs w:val="20"/>
          <w:color w:val="auto"/>
        </w:rPr>
      </w:pPr>
      <w:r>
        <w:rPr>
          <w:rFonts w:ascii="Times New Roman" w:cs="Times New Roman" w:eastAsia="Times New Roman" w:hAnsi="Times New Roman"/>
          <w:sz w:val="18"/>
          <w:szCs w:val="18"/>
          <w:color w:val="auto"/>
        </w:rPr>
        <w:t>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spacing w:after="0" w:line="76" w:lineRule="exact"/>
        <w:rPr>
          <w:rFonts w:ascii="Times New Roman" w:cs="Times New Roman" w:eastAsia="Times New Roman" w:hAnsi="Times New Roman"/>
          <w:sz w:val="15"/>
          <w:szCs w:val="15"/>
          <w:color w:val="auto"/>
        </w:rPr>
      </w:pPr>
    </w:p>
    <w:p>
      <w:pPr>
        <w:ind w:firstLine="436"/>
        <w:spacing w:after="0" w:line="282" w:lineRule="auto"/>
        <w:rPr>
          <w:sz w:val="20"/>
          <w:szCs w:val="20"/>
          <w:color w:val="auto"/>
        </w:rPr>
      </w:pPr>
      <w:r>
        <w:rPr>
          <w:rFonts w:ascii="Times New Roman" w:cs="Times New Roman" w:eastAsia="Times New Roman" w:hAnsi="Times New Roman"/>
          <w:sz w:val="18"/>
          <w:szCs w:val="18"/>
          <w:color w:val="auto"/>
        </w:rPr>
        <w:t>11.34 “</w:t>
      </w:r>
      <w:r>
        <w:rPr>
          <w:rFonts w:ascii="Times New Roman" w:cs="Times New Roman" w:eastAsia="Times New Roman" w:hAnsi="Times New Roman"/>
          <w:sz w:val="18"/>
          <w:szCs w:val="18"/>
          <w:b w:val="1"/>
          <w:bCs w:val="1"/>
          <w:i w:val="1"/>
          <w:iCs w:val="1"/>
          <w:color w:val="auto"/>
        </w:rPr>
        <w:t>Permitted Holder</w:t>
      </w:r>
      <w:r>
        <w:rPr>
          <w:rFonts w:ascii="Times New Roman" w:cs="Times New Roman" w:eastAsia="Times New Roman" w:hAnsi="Times New Roman"/>
          <w:sz w:val="18"/>
          <w:szCs w:val="18"/>
          <w:color w:val="auto"/>
        </w:rPr>
        <w:t>” means each of the Stockholder Group, any member of the Stockholder Group, Douglas Hirsch, Trevor Bezdek or any of their respective affiliates.</w:t>
      </w:r>
    </w:p>
    <w:p>
      <w:pPr>
        <w:spacing w:after="0" w:line="48" w:lineRule="exact"/>
        <w:rPr>
          <w:rFonts w:ascii="Times New Roman" w:cs="Times New Roman" w:eastAsia="Times New Roman" w:hAnsi="Times New Roman"/>
          <w:sz w:val="15"/>
          <w:szCs w:val="15"/>
          <w:color w:val="auto"/>
        </w:rPr>
      </w:pPr>
    </w:p>
    <w:p>
      <w:pPr>
        <w:ind w:left="420"/>
        <w:spacing w:after="0"/>
        <w:rPr>
          <w:sz w:val="20"/>
          <w:szCs w:val="20"/>
          <w:color w:val="auto"/>
        </w:rPr>
      </w:pPr>
      <w:r>
        <w:rPr>
          <w:rFonts w:ascii="Times New Roman" w:cs="Times New Roman" w:eastAsia="Times New Roman" w:hAnsi="Times New Roman"/>
          <w:sz w:val="18"/>
          <w:szCs w:val="18"/>
          <w:color w:val="auto"/>
        </w:rPr>
        <w:t>11.35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2020 Incentive Award Plan.</w:t>
      </w:r>
    </w:p>
    <w:p>
      <w:pPr>
        <w:spacing w:after="0" w:line="114" w:lineRule="exact"/>
        <w:rPr>
          <w:rFonts w:ascii="Times New Roman" w:cs="Times New Roman" w:eastAsia="Times New Roman" w:hAnsi="Times New Roman"/>
          <w:sz w:val="15"/>
          <w:szCs w:val="15"/>
          <w:color w:val="auto"/>
        </w:rPr>
      </w:pPr>
    </w:p>
    <w:p>
      <w:pPr>
        <w:ind w:left="420"/>
        <w:spacing w:after="0"/>
        <w:rPr>
          <w:sz w:val="20"/>
          <w:szCs w:val="20"/>
          <w:color w:val="auto"/>
        </w:rPr>
      </w:pPr>
      <w:r>
        <w:rPr>
          <w:rFonts w:ascii="Times New Roman" w:cs="Times New Roman" w:eastAsia="Times New Roman" w:hAnsi="Times New Roman"/>
          <w:sz w:val="18"/>
          <w:szCs w:val="18"/>
          <w:color w:val="auto"/>
        </w:rPr>
        <w:t>11.36 “</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GoodRx Holdings, Inc. Fifth Amended and Restated 2015 Equity Incentive Plan, as amended.</w:t>
      </w:r>
    </w:p>
    <w:p>
      <w:pPr>
        <w:spacing w:after="0" w:line="114" w:lineRule="exact"/>
        <w:rPr>
          <w:rFonts w:ascii="Times New Roman" w:cs="Times New Roman" w:eastAsia="Times New Roman" w:hAnsi="Times New Roman"/>
          <w:sz w:val="15"/>
          <w:szCs w:val="15"/>
          <w:color w:val="auto"/>
        </w:rPr>
      </w:pPr>
    </w:p>
    <w:p>
      <w:pPr>
        <w:ind w:left="420"/>
        <w:spacing w:after="0"/>
        <w:rPr>
          <w:sz w:val="20"/>
          <w:szCs w:val="20"/>
          <w:color w:val="auto"/>
        </w:rPr>
      </w:pPr>
      <w:r>
        <w:rPr>
          <w:rFonts w:ascii="Times New Roman" w:cs="Times New Roman" w:eastAsia="Times New Roman" w:hAnsi="Times New Roman"/>
          <w:sz w:val="18"/>
          <w:szCs w:val="18"/>
          <w:color w:val="auto"/>
        </w:rPr>
        <w:t>11.37 “</w:t>
      </w:r>
      <w:r>
        <w:rPr>
          <w:rFonts w:ascii="Times New Roman" w:cs="Times New Roman" w:eastAsia="Times New Roman" w:hAnsi="Times New Roman"/>
          <w:sz w:val="18"/>
          <w:szCs w:val="18"/>
          <w:b w:val="1"/>
          <w:bCs w:val="1"/>
          <w:i w:val="1"/>
          <w:iCs w:val="1"/>
          <w:color w:val="auto"/>
        </w:rPr>
        <w:t>Prior Plan Award</w:t>
      </w:r>
      <w:r>
        <w:rPr>
          <w:rFonts w:ascii="Times New Roman" w:cs="Times New Roman" w:eastAsia="Times New Roman" w:hAnsi="Times New Roman"/>
          <w:sz w:val="18"/>
          <w:szCs w:val="18"/>
          <w:color w:val="auto"/>
        </w:rPr>
        <w:t>” means an award outstanding under the Prior Plan as of the Effective Date.</w:t>
      </w:r>
    </w:p>
    <w:p>
      <w:pPr>
        <w:spacing w:after="0" w:line="158"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500" w:top="268" w:right="499" w:bottom="1440" w:gutter="0" w:footer="0" w:header="0"/>
        </w:sectPr>
      </w:pPr>
    </w:p>
    <w:bookmarkStart w:id="515" w:name="page516"/>
    <w:bookmarkEnd w:id="515"/>
    <w:p>
      <w:pPr>
        <w:ind w:right="140" w:firstLine="436"/>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11.38 “</w:t>
      </w:r>
      <w:r>
        <w:rPr>
          <w:rFonts w:ascii="Times New Roman" w:cs="Times New Roman" w:eastAsia="Times New Roman" w:hAnsi="Times New Roman"/>
          <w:sz w:val="18"/>
          <w:szCs w:val="18"/>
          <w:b w:val="1"/>
          <w:bCs w:val="1"/>
          <w:i w:val="1"/>
          <w:iCs w:val="1"/>
          <w:color w:val="auto"/>
        </w:rPr>
        <w:t>Public Trading Date</w:t>
      </w:r>
      <w:r>
        <w:rPr>
          <w:rFonts w:ascii="Times New Roman" w:cs="Times New Roman" w:eastAsia="Times New Roman" w:hAnsi="Times New Roman"/>
          <w:sz w:val="18"/>
          <w:szCs w:val="18"/>
          <w:color w:val="auto"/>
        </w:rPr>
        <w:t>” means the first date upon which the Class A Common Stock is listed (or approved for listing) upon notice of issuance on any securities exchange or designated (or approved for designation) upon notice of issuance as a national market security on an interdealer quotation system.</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11.39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means Shares awarded to a Participant under Article VI subject to certain vesting conditions and other restrictions.</w:t>
      </w:r>
    </w:p>
    <w:p>
      <w:pPr>
        <w:spacing w:after="0" w:line="114" w:lineRule="exact"/>
        <w:rPr>
          <w:sz w:val="20"/>
          <w:szCs w:val="20"/>
          <w:color w:val="auto"/>
        </w:rPr>
      </w:pPr>
    </w:p>
    <w:p>
      <w:pPr>
        <w:ind w:firstLine="436"/>
        <w:spacing w:after="0" w:line="265" w:lineRule="auto"/>
        <w:rPr>
          <w:sz w:val="20"/>
          <w:szCs w:val="20"/>
          <w:color w:val="auto"/>
        </w:rPr>
      </w:pPr>
      <w:r>
        <w:rPr>
          <w:rFonts w:ascii="Times New Roman" w:cs="Times New Roman" w:eastAsia="Times New Roman" w:hAnsi="Times New Roman"/>
          <w:sz w:val="18"/>
          <w:szCs w:val="18"/>
          <w:color w:val="auto"/>
        </w:rPr>
        <w:t>11.40 “</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11.41 “</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w:t>
      </w:r>
    </w:p>
    <w:p>
      <w:pPr>
        <w:spacing w:after="0" w:line="114" w:lineRule="exact"/>
        <w:rPr>
          <w:sz w:val="20"/>
          <w:szCs w:val="20"/>
          <w:color w:val="auto"/>
        </w:rPr>
      </w:pPr>
    </w:p>
    <w:p>
      <w:pPr>
        <w:ind w:right="380" w:firstLine="436"/>
        <w:spacing w:after="0" w:line="282" w:lineRule="auto"/>
        <w:rPr>
          <w:sz w:val="20"/>
          <w:szCs w:val="20"/>
          <w:color w:val="auto"/>
        </w:rPr>
      </w:pPr>
      <w:r>
        <w:rPr>
          <w:rFonts w:ascii="Times New Roman" w:cs="Times New Roman" w:eastAsia="Times New Roman" w:hAnsi="Times New Roman"/>
          <w:sz w:val="18"/>
          <w:szCs w:val="18"/>
          <w:color w:val="auto"/>
        </w:rPr>
        <w:t>11.42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all regulations, guidance, compliance programs and other interpretative authority thereunder.</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11.43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11.44 “</w:t>
      </w:r>
      <w:r>
        <w:rPr>
          <w:rFonts w:ascii="Times New Roman" w:cs="Times New Roman" w:eastAsia="Times New Roman" w:hAnsi="Times New Roman"/>
          <w:sz w:val="18"/>
          <w:szCs w:val="18"/>
          <w:b w:val="1"/>
          <w:bCs w:val="1"/>
          <w:i w:val="1"/>
          <w:iCs w:val="1"/>
          <w:color w:val="auto"/>
        </w:rPr>
        <w:t>Service Provider</w:t>
      </w:r>
      <w:r>
        <w:rPr>
          <w:rFonts w:ascii="Times New Roman" w:cs="Times New Roman" w:eastAsia="Times New Roman" w:hAnsi="Times New Roman"/>
          <w:sz w:val="18"/>
          <w:szCs w:val="18"/>
          <w:color w:val="auto"/>
        </w:rPr>
        <w:t>” means an Employee, Consultant or Director.</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11.45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shares of Common Stock.</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11.46 “</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means a stock appreciation right granted under Article V.</w:t>
      </w:r>
    </w:p>
    <w:p>
      <w:pPr>
        <w:spacing w:after="0" w:line="114" w:lineRule="exact"/>
        <w:rPr>
          <w:sz w:val="20"/>
          <w:szCs w:val="20"/>
          <w:color w:val="auto"/>
        </w:rPr>
      </w:pPr>
    </w:p>
    <w:p>
      <w:pPr>
        <w:ind w:right="80" w:firstLine="436"/>
        <w:spacing w:after="0" w:line="265" w:lineRule="auto"/>
        <w:rPr>
          <w:sz w:val="20"/>
          <w:szCs w:val="20"/>
          <w:color w:val="auto"/>
        </w:rPr>
      </w:pPr>
      <w:r>
        <w:rPr>
          <w:rFonts w:ascii="Times New Roman" w:cs="Times New Roman" w:eastAsia="Times New Roman" w:hAnsi="Times New Roman"/>
          <w:sz w:val="18"/>
          <w:szCs w:val="18"/>
          <w:color w:val="auto"/>
        </w:rPr>
        <w:t>11.47 “</w:t>
      </w:r>
      <w:r>
        <w:rPr>
          <w:rFonts w:ascii="Times New Roman" w:cs="Times New Roman" w:eastAsia="Times New Roman" w:hAnsi="Times New Roman"/>
          <w:sz w:val="18"/>
          <w:szCs w:val="18"/>
          <w:b w:val="1"/>
          <w:bCs w:val="1"/>
          <w:i w:val="1"/>
          <w:iCs w:val="1"/>
          <w:color w:val="auto"/>
        </w:rPr>
        <w:t>Stockholder Group</w:t>
      </w:r>
      <w:r>
        <w:rPr>
          <w:rFonts w:ascii="Times New Roman" w:cs="Times New Roman" w:eastAsia="Times New Roman" w:hAnsi="Times New Roman"/>
          <w:sz w:val="18"/>
          <w:szCs w:val="18"/>
          <w:color w:val="auto"/>
        </w:rPr>
        <w:t>” means the “group” (as such term is used in Section 13(d) of the Exchange Act) consisting of SLP Geology Aggregator, L.P., Francisco Partners IV, L.P., Francisco Partners IV-A, L.P., Spectrum Equity VII, L.P., Spectrum VII Investment Managers’ Fund, L.P., Spectrum VII Co-Investment Fund, L.P. and Idea Men, LLC, in each case together with their affiliates.</w:t>
      </w:r>
    </w:p>
    <w:p>
      <w:pPr>
        <w:spacing w:after="0" w:line="66" w:lineRule="exact"/>
        <w:rPr>
          <w:sz w:val="20"/>
          <w:szCs w:val="20"/>
          <w:color w:val="auto"/>
        </w:rPr>
      </w:pPr>
    </w:p>
    <w:p>
      <w:pPr>
        <w:jc w:val="both"/>
        <w:ind w:right="80" w:firstLine="436"/>
        <w:spacing w:after="0" w:line="262" w:lineRule="auto"/>
        <w:rPr>
          <w:sz w:val="20"/>
          <w:szCs w:val="20"/>
          <w:color w:val="auto"/>
        </w:rPr>
      </w:pPr>
      <w:r>
        <w:rPr>
          <w:rFonts w:ascii="Times New Roman" w:cs="Times New Roman" w:eastAsia="Times New Roman" w:hAnsi="Times New Roman"/>
          <w:sz w:val="18"/>
          <w:szCs w:val="18"/>
          <w:color w:val="auto"/>
        </w:rPr>
        <w:t>11.48 “Subsidiary”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66" w:lineRule="exact"/>
        <w:rPr>
          <w:sz w:val="20"/>
          <w:szCs w:val="20"/>
          <w:color w:val="auto"/>
        </w:rPr>
      </w:pPr>
    </w:p>
    <w:p>
      <w:pPr>
        <w:ind w:right="180" w:firstLine="436"/>
        <w:spacing w:after="0" w:line="265" w:lineRule="auto"/>
        <w:rPr>
          <w:sz w:val="20"/>
          <w:szCs w:val="20"/>
          <w:color w:val="auto"/>
        </w:rPr>
      </w:pPr>
      <w:r>
        <w:rPr>
          <w:rFonts w:ascii="Times New Roman" w:cs="Times New Roman" w:eastAsia="Times New Roman" w:hAnsi="Times New Roman"/>
          <w:sz w:val="18"/>
          <w:szCs w:val="18"/>
          <w:color w:val="auto"/>
        </w:rPr>
        <w:t>11.49 “</w:t>
      </w:r>
      <w:r>
        <w:rPr>
          <w:rFonts w:ascii="Times New Roman" w:cs="Times New Roman" w:eastAsia="Times New Roman" w:hAnsi="Times New Roman"/>
          <w:sz w:val="18"/>
          <w:szCs w:val="18"/>
          <w:b w:val="1"/>
          <w:bCs w:val="1"/>
          <w:i w:val="1"/>
          <w:iCs w:val="1"/>
          <w:color w:val="auto"/>
        </w:rPr>
        <w:t>Substitute Awards</w:t>
      </w:r>
      <w:r>
        <w:rPr>
          <w:rFonts w:ascii="Times New Roman" w:cs="Times New Roman" w:eastAsia="Times New Roman" w:hAnsi="Times New Roman"/>
          <w:sz w:val="18"/>
          <w:szCs w:val="18"/>
          <w:color w:val="auto"/>
        </w:rPr>
        <w:t>” shall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11.50 “</w:t>
      </w:r>
      <w:r>
        <w:rPr>
          <w:rFonts w:ascii="Times New Roman" w:cs="Times New Roman" w:eastAsia="Times New Roman" w:hAnsi="Times New Roman"/>
          <w:sz w:val="18"/>
          <w:szCs w:val="18"/>
          <w:b w:val="1"/>
          <w:bCs w:val="1"/>
          <w:i w:val="1"/>
          <w:iCs w:val="1"/>
          <w:color w:val="auto"/>
        </w:rPr>
        <w:t>Termination of Service</w:t>
      </w:r>
      <w:r>
        <w:rPr>
          <w:rFonts w:ascii="Times New Roman" w:cs="Times New Roman" w:eastAsia="Times New Roman" w:hAnsi="Times New Roman"/>
          <w:sz w:val="18"/>
          <w:szCs w:val="18"/>
          <w:color w:val="auto"/>
        </w:rPr>
        <w:t>” means the date the Participant ceases to be a Service Provider.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80"/>
          </w:cols>
          <w:pgMar w:left="500" w:top="264" w:right="519" w:bottom="1440" w:gutter="0" w:footer="0" w:header="0"/>
        </w:sectPr>
      </w:pPr>
    </w:p>
    <w:bookmarkStart w:id="516" w:name="page517"/>
    <w:bookmarkEnd w:id="516"/>
    <w:p>
      <w:pPr>
        <w:jc w:val="right"/>
        <w:spacing w:after="0"/>
        <w:rPr>
          <w:sz w:val="20"/>
          <w:szCs w:val="20"/>
          <w:color w:val="auto"/>
        </w:rPr>
      </w:pPr>
      <w:r>
        <w:rPr>
          <w:rFonts w:ascii="Times New Roman" w:cs="Times New Roman" w:eastAsia="Times New Roman" w:hAnsi="Times New Roman"/>
          <w:sz w:val="18"/>
          <w:szCs w:val="18"/>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168910</wp:posOffset>
            </wp:positionV>
            <wp:extent cx="6925945" cy="48768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4">
                      <a:extLst>
                        <a:ext uri="{28A0092B-C50C-407E-A947-70E740481C1C}"/>
                      </a:extLst>
                    </a:blip>
                    <a:srcRect/>
                    <a:stretch>
                      <a:fillRect/>
                    </a:stretch>
                  </pic:blipFill>
                  <pic:spPr bwMode="auto">
                    <a:xfrm>
                      <a:off x="0" y="0"/>
                      <a:ext cx="6925945" cy="487680"/>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INCENTIVE AWARD PLAN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GRANT NOTICE</w:t>
      </w:r>
    </w:p>
    <w:p>
      <w:pPr>
        <w:spacing w:after="0" w:line="220"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GoodRx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the participant listed below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stock option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described in this Stock Option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subject to the terms and conditions of the GoodRx Holdings, Inc. 2020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and the Stock Option Agreement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both of which are incorporated into this Grant Notice by reference. Capitalized terms not specifically defined in this Grant Notice or the Agreement have the meanings given to them in the Plan.</w:t>
      </w:r>
    </w:p>
    <w:p>
      <w:pPr>
        <w:sectPr>
          <w:pgSz w:w="11900" w:h="16838" w:orient="portrait"/>
          <w:cols w:equalWidth="0" w:num="1">
            <w:col w:w="10900"/>
          </w:cols>
          <w:pgMar w:left="500" w:top="117" w:right="499" w:bottom="1440" w:gutter="0" w:footer="0" w:header="0"/>
        </w:sect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1" w:lineRule="exact"/>
        <w:rPr>
          <w:sz w:val="20"/>
          <w:szCs w:val="20"/>
          <w:color w:val="auto"/>
        </w:rPr>
      </w:pPr>
    </w:p>
    <w:p>
      <w:pPr>
        <w:sectPr>
          <w:pgSz w:w="11900" w:h="16838" w:orient="portrait"/>
          <w:cols w:equalWidth="0" w:num="2">
            <w:col w:w="2440" w:space="720"/>
            <w:col w:w="774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1" w:lineRule="exact"/>
        <w:rPr>
          <w:sz w:val="20"/>
          <w:szCs w:val="20"/>
          <w:color w:val="auto"/>
        </w:rPr>
      </w:pPr>
    </w:p>
    <w:p>
      <w:pPr>
        <w:sectPr>
          <w:pgSz w:w="11900" w:h="16838" w:orient="portrait"/>
          <w:cols w:equalWidth="0" w:num="2">
            <w:col w:w="2440" w:space="720"/>
            <w:col w:w="774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1" w:lineRule="exact"/>
        <w:rPr>
          <w:sz w:val="20"/>
          <w:szCs w:val="20"/>
          <w:color w:val="auto"/>
        </w:rPr>
      </w:pPr>
    </w:p>
    <w:p>
      <w:pPr>
        <w:sectPr>
          <w:pgSz w:w="11900" w:h="16838" w:orient="portrait"/>
          <w:cols w:equalWidth="0" w:num="2">
            <w:col w:w="2440" w:space="720"/>
            <w:col w:w="774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Shares Subject to the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1" w:lineRule="exact"/>
        <w:rPr>
          <w:sz w:val="20"/>
          <w:szCs w:val="20"/>
          <w:color w:val="auto"/>
        </w:rPr>
      </w:pPr>
    </w:p>
    <w:p>
      <w:pPr>
        <w:sectPr>
          <w:pgSz w:w="11900" w:h="16838" w:orient="portrait"/>
          <w:cols w:equalWidth="0" w:num="2">
            <w:col w:w="2440" w:space="720"/>
            <w:col w:w="774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Final 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1" w:lineRule="exact"/>
        <w:rPr>
          <w:sz w:val="20"/>
          <w:szCs w:val="20"/>
          <w:color w:val="auto"/>
        </w:rPr>
      </w:pPr>
    </w:p>
    <w:p>
      <w:pPr>
        <w:sectPr>
          <w:pgSz w:w="11900" w:h="16838" w:orient="portrait"/>
          <w:cols w:equalWidth="0" w:num="2">
            <w:col w:w="2440" w:space="720"/>
            <w:col w:w="774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1" w:lineRule="exact"/>
        <w:rPr>
          <w:sz w:val="20"/>
          <w:szCs w:val="20"/>
          <w:color w:val="auto"/>
        </w:rPr>
      </w:pPr>
    </w:p>
    <w:p>
      <w:pPr>
        <w:sectPr>
          <w:pgSz w:w="11900" w:h="16838" w:orient="portrait"/>
          <w:cols w:equalWidth="0" w:num="2">
            <w:col w:w="2440" w:space="720"/>
            <w:col w:w="774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1" w:lineRule="exact"/>
        <w:rPr>
          <w:sz w:val="20"/>
          <w:szCs w:val="20"/>
          <w:color w:val="auto"/>
        </w:rPr>
      </w:pPr>
    </w:p>
    <w:p>
      <w:pPr>
        <w:sectPr>
          <w:pgSz w:w="11900" w:h="16838" w:orient="portrait"/>
          <w:cols w:equalWidth="0" w:num="2">
            <w:col w:w="2440" w:space="720"/>
            <w:col w:w="774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[Incentive Stock Option]/[Non-Qualified Stock Option]</w:t>
      </w:r>
    </w:p>
    <w:p>
      <w:pPr>
        <w:spacing w:after="0" w:line="200" w:lineRule="exact"/>
        <w:rPr>
          <w:sz w:val="20"/>
          <w:szCs w:val="20"/>
          <w:color w:val="auto"/>
        </w:rPr>
      </w:pPr>
    </w:p>
    <w:p>
      <w:pPr>
        <w:sectPr>
          <w:pgSz w:w="11900" w:h="16838" w:orient="portrait"/>
          <w:cols w:equalWidth="0" w:num="2">
            <w:col w:w="2440" w:space="720"/>
            <w:col w:w="7740"/>
          </w:cols>
          <w:pgMar w:left="500" w:top="117" w:right="499" w:bottom="1440" w:gutter="0" w:footer="0" w:header="0"/>
          <w:type w:val="continuous"/>
        </w:sectPr>
      </w:pPr>
    </w:p>
    <w:p>
      <w:pPr>
        <w:spacing w:after="0" w:line="32" w:lineRule="exact"/>
        <w:rPr>
          <w:sz w:val="20"/>
          <w:szCs w:val="20"/>
          <w:color w:val="auto"/>
        </w:rPr>
      </w:pPr>
    </w:p>
    <w:p>
      <w:pPr>
        <w:ind w:right="100" w:firstLine="436"/>
        <w:spacing w:after="0" w:line="255" w:lineRule="auto"/>
        <w:rPr>
          <w:sz w:val="20"/>
          <w:szCs w:val="20"/>
          <w:color w:val="auto"/>
        </w:rPr>
      </w:pPr>
      <w:r>
        <w:rPr>
          <w:rFonts w:ascii="Times New Roman" w:cs="Times New Roman" w:eastAsia="Times New Roman" w:hAnsi="Times New Roman"/>
          <w:sz w:val="18"/>
          <w:szCs w:val="18"/>
          <w:color w:val="auto"/>
        </w:rPr>
        <w:t>By accepting (whether in writing, electronically or otherwise) the Option,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01" w:lineRule="exact"/>
        <w:rPr>
          <w:sz w:val="20"/>
          <w:szCs w:val="20"/>
          <w:color w:val="auto"/>
        </w:rPr>
      </w:pPr>
    </w:p>
    <w:p>
      <w:pPr>
        <w:spacing w:after="0"/>
        <w:tabs>
          <w:tab w:leader="none" w:pos="6300" w:val="left"/>
        </w:tabs>
        <w:rPr>
          <w:sz w:val="20"/>
          <w:szCs w:val="20"/>
          <w:color w:val="auto"/>
        </w:rPr>
      </w:pPr>
      <w:r>
        <w:rPr>
          <w:rFonts w:ascii="Times New Roman" w:cs="Times New Roman" w:eastAsia="Times New Roman" w:hAnsi="Times New Roman"/>
          <w:sz w:val="18"/>
          <w:szCs w:val="18"/>
          <w:b w:val="1"/>
          <w:bCs w:val="1"/>
          <w:color w:val="auto"/>
        </w:rPr>
        <w:t>GOODRX HOLDINGS, INC.</w:t>
      </w:r>
      <w:r>
        <w:rPr>
          <w:sz w:val="20"/>
          <w:szCs w:val="20"/>
          <w:color w:val="auto"/>
        </w:rPr>
        <w:tab/>
      </w:r>
      <w:r>
        <w:rPr>
          <w:rFonts w:ascii="Times New Roman" w:cs="Times New Roman" w:eastAsia="Times New Roman" w:hAnsi="Times New Roman"/>
          <w:sz w:val="18"/>
          <w:szCs w:val="18"/>
          <w:b w:val="1"/>
          <w:bCs w:val="1"/>
          <w:color w:val="auto"/>
        </w:rPr>
        <w:t>PARTICIPANT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15875</wp:posOffset>
            </wp:positionV>
            <wp:extent cx="649732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5">
                      <a:extLst>
                        <a:ext uri="{28A0092B-C50C-407E-A947-70E740481C1C}"/>
                      </a:extLst>
                    </a:blip>
                    <a:srcRect/>
                    <a:stretch>
                      <a:fillRect/>
                    </a:stretch>
                  </pic:blipFill>
                  <pic:spPr bwMode="auto">
                    <a:xfrm>
                      <a:off x="0" y="0"/>
                      <a:ext cx="6497320" cy="8255"/>
                    </a:xfrm>
                    <a:prstGeom prst="rect">
                      <a:avLst/>
                    </a:prstGeom>
                    <a:noFill/>
                  </pic:spPr>
                </pic:pic>
              </a:graphicData>
            </a:graphic>
          </wp:anchor>
        </w:drawing>
      </w:r>
    </w:p>
    <w:p>
      <w:pPr>
        <w:spacing w:after="0" w:line="13" w:lineRule="exact"/>
        <w:rPr>
          <w:sz w:val="20"/>
          <w:szCs w:val="20"/>
          <w:color w:val="auto"/>
        </w:rPr>
      </w:pPr>
    </w:p>
    <w:p>
      <w:pPr>
        <w:spacing w:after="0"/>
        <w:tabs>
          <w:tab w:leader="none" w:pos="6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15875</wp:posOffset>
            </wp:positionV>
            <wp:extent cx="305371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6">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15875</wp:posOffset>
            </wp:positionV>
            <wp:extent cx="305371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7">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ectPr>
          <w:pgSz w:w="11900" w:h="16838" w:orient="portrait"/>
          <w:cols w:equalWidth="0" w:num="1">
            <w:col w:w="10900"/>
          </w:cols>
          <w:pgMar w:left="500" w:top="117" w:right="499" w:bottom="1440" w:gutter="0" w:footer="0" w:header="0"/>
          <w:type w:val="continuous"/>
        </w:sectPr>
      </w:pPr>
    </w:p>
    <w:bookmarkStart w:id="517" w:name="page518"/>
    <w:bookmarkEnd w:id="51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24" w:lineRule="exact"/>
        <w:rPr>
          <w:sz w:val="20"/>
          <w:szCs w:val="20"/>
          <w:color w:val="auto"/>
        </w:rPr>
      </w:pPr>
    </w:p>
    <w:p>
      <w:pPr>
        <w:ind w:right="20" w:firstLine="436"/>
        <w:spacing w:after="0" w:line="277" w:lineRule="auto"/>
        <w:rPr>
          <w:sz w:val="20"/>
          <w:szCs w:val="20"/>
          <w:color w:val="auto"/>
        </w:rPr>
      </w:pPr>
      <w:r>
        <w:rPr>
          <w:rFonts w:ascii="Times New Roman" w:cs="Times New Roman" w:eastAsia="Times New Roman" w:hAnsi="Times New Roman"/>
          <w:sz w:val="18"/>
          <w:szCs w:val="18"/>
          <w:color w:val="auto"/>
        </w:rPr>
        <w:t>Capitalized terms not specifically defined in this Agreement have the meanings specified in the Grant Notice or, if not defined in the Grant Notice, in the Plan.</w:t>
      </w:r>
    </w:p>
    <w:p>
      <w:pPr>
        <w:spacing w:after="0" w:line="37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98" w:lineRule="exact"/>
        <w:rPr>
          <w:sz w:val="20"/>
          <w:szCs w:val="20"/>
          <w:color w:val="auto"/>
        </w:rPr>
      </w:pPr>
    </w:p>
    <w:p>
      <w:pPr>
        <w:ind w:right="320" w:firstLine="436"/>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Company has granted to Participant the Option effective as of the grant date set forth in the Grant Notice (the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right="840" w:firstLine="436"/>
        <w:spacing w:after="0" w:line="308"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Incorporation of Terms of Plan</w:t>
      </w:r>
      <w:r>
        <w:rPr>
          <w:rFonts w:ascii="Times New Roman" w:cs="Times New Roman" w:eastAsia="Times New Roman" w:hAnsi="Times New Roman"/>
          <w:sz w:val="17"/>
          <w:szCs w:val="17"/>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PERIOD OF EXERCISABILITY</w:t>
      </w:r>
    </w:p>
    <w:p>
      <w:pPr>
        <w:spacing w:after="0" w:line="202" w:lineRule="exact"/>
        <w:rPr>
          <w:sz w:val="20"/>
          <w:szCs w:val="20"/>
          <w:color w:val="auto"/>
        </w:rPr>
      </w:pPr>
    </w:p>
    <w:p>
      <w:pPr>
        <w:ind w:right="300" w:firstLine="436"/>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Commencement of Exercisability</w:t>
      </w:r>
      <w:r>
        <w:rPr>
          <w:rFonts w:ascii="Times New Roman" w:cs="Times New Roman" w:eastAsia="Times New Roman" w:hAnsi="Times New Roman"/>
          <w:sz w:val="18"/>
          <w:szCs w:val="18"/>
          <w:color w:val="auto"/>
        </w:rPr>
        <w:t>. The Option will vest and become exercisable according to the vesting schedule in the Grant Notice (the “</w:t>
      </w:r>
      <w:r>
        <w:rPr>
          <w:rFonts w:ascii="Times New Roman" w:cs="Times New Roman" w:eastAsia="Times New Roman" w:hAnsi="Times New Roman"/>
          <w:sz w:val="18"/>
          <w:szCs w:val="18"/>
          <w:b w:val="1"/>
          <w:bCs w:val="1"/>
          <w:i w:val="1"/>
          <w:iCs w:val="1"/>
          <w:color w:val="auto"/>
        </w:rPr>
        <w:t>Vesting Schedule</w:t>
      </w:r>
      <w:r>
        <w:rPr>
          <w:rFonts w:ascii="Times New Roman" w:cs="Times New Roman" w:eastAsia="Times New Roman" w:hAnsi="Times New Roman"/>
          <w:sz w:val="18"/>
          <w:szCs w:val="18"/>
          <w:color w:val="auto"/>
        </w:rPr>
        <w:t>”) except that any fraction of a Share as to which the Option would be vested or exercisable will be accumulated and will vest and become 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 (after taking into consideration any accelerated vesting and exercisability which may occur in connection with such Termination of Service).</w:t>
      </w:r>
    </w:p>
    <w:p>
      <w:pPr>
        <w:spacing w:after="0" w:line="80" w:lineRule="exact"/>
        <w:rPr>
          <w:sz w:val="20"/>
          <w:szCs w:val="20"/>
          <w:color w:val="auto"/>
        </w:rPr>
      </w:pPr>
    </w:p>
    <w:p>
      <w:pPr>
        <w:ind w:right="200" w:firstLine="436"/>
        <w:spacing w:after="0" w:line="277"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Duration of Exercisability</w:t>
      </w:r>
      <w:r>
        <w:rPr>
          <w:rFonts w:ascii="Times New Roman" w:cs="Times New Roman" w:eastAsia="Times New Roman" w:hAnsi="Times New Roman"/>
          <w:sz w:val="18"/>
          <w:szCs w:val="18"/>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Expiration of Option</w:t>
      </w:r>
      <w:r>
        <w:rPr>
          <w:rFonts w:ascii="Times New Roman" w:cs="Times New Roman" w:eastAsia="Times New Roman" w:hAnsi="Times New Roman"/>
          <w:sz w:val="18"/>
          <w:szCs w:val="18"/>
          <w:color w:val="auto"/>
        </w:rPr>
        <w:t>. The Option may not be exercised to any extent by anyone after, and will expire on, the first of the following to occur:</w:t>
      </w:r>
    </w:p>
    <w:p>
      <w:pPr>
        <w:spacing w:after="0" w:line="1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 xml:space="preserve">(a) The final expiration date in the Grant Notice;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however, such final expiration date may be extended pursuant to Section 5.3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w:t>
      </w:r>
    </w:p>
    <w:p>
      <w:pPr>
        <w:spacing w:after="0" w:line="95" w:lineRule="exact"/>
        <w:rPr>
          <w:sz w:val="20"/>
          <w:szCs w:val="20"/>
          <w:color w:val="auto"/>
        </w:rPr>
      </w:pPr>
    </w:p>
    <w:p>
      <w:pPr>
        <w:ind w:right="520" w:firstLine="975"/>
        <w:spacing w:after="0" w:line="277" w:lineRule="auto"/>
        <w:tabs>
          <w:tab w:leader="none" w:pos="1233"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the expiration of three months from the date of Participant’s Termination of Service, unless Participant’s Termination of Service is for Cause or by reason of Participant’s death or Disability;</w:t>
      </w:r>
    </w:p>
    <w:p>
      <w:pPr>
        <w:spacing w:after="0" w:line="56" w:lineRule="exact"/>
        <w:rPr>
          <w:rFonts w:ascii="Times New Roman" w:cs="Times New Roman" w:eastAsia="Times New Roman" w:hAnsi="Times New Roman"/>
          <w:sz w:val="18"/>
          <w:szCs w:val="18"/>
          <w:color w:val="auto"/>
        </w:rPr>
      </w:pPr>
    </w:p>
    <w:p>
      <w:pPr>
        <w:ind w:right="40" w:firstLine="975"/>
        <w:spacing w:after="0" w:line="277" w:lineRule="auto"/>
        <w:tabs>
          <w:tab w:leader="none" w:pos="1223"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the expiration of one year from the date of Participant’s Termination of Service by reason of Participant’s death or Disability; and</w:t>
      </w:r>
    </w:p>
    <w:p>
      <w:pPr>
        <w:spacing w:after="0" w:line="56"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Participant’s Termination of Service for Cause.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500" w:top="264" w:right="499" w:bottom="1440" w:gutter="0" w:footer="0" w:header="0"/>
        </w:sectPr>
      </w:pPr>
    </w:p>
    <w:bookmarkStart w:id="518" w:name="page519"/>
    <w:bookmarkEnd w:id="518"/>
    <w:p>
      <w:pPr>
        <w:jc w:val="center"/>
        <w:ind w:right="-4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III.</w:t>
      </w:r>
    </w:p>
    <w:p>
      <w:pPr>
        <w:spacing w:after="0" w:line="30"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b w:val="1"/>
          <w:bCs w:val="1"/>
          <w:color w:val="auto"/>
        </w:rPr>
        <w:t>EXERCISE OF OPTION</w:t>
      </w:r>
    </w:p>
    <w:p>
      <w:pPr>
        <w:spacing w:after="0" w:line="202" w:lineRule="exact"/>
        <w:rPr>
          <w:sz w:val="20"/>
          <w:szCs w:val="20"/>
          <w:color w:val="auto"/>
        </w:rPr>
      </w:pPr>
    </w:p>
    <w:p>
      <w:pPr>
        <w:jc w:val="both"/>
        <w:ind w:left="6" w:right="60" w:firstLine="436"/>
        <w:spacing w:after="0" w:line="308"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Person Eligible to Exercise</w:t>
      </w:r>
      <w:r>
        <w:rPr>
          <w:rFonts w:ascii="Times New Roman" w:cs="Times New Roman" w:eastAsia="Times New Roman" w:hAnsi="Times New Roman"/>
          <w:sz w:val="17"/>
          <w:szCs w:val="17"/>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33" w:lineRule="exact"/>
        <w:rPr>
          <w:sz w:val="20"/>
          <w:szCs w:val="20"/>
          <w:color w:val="auto"/>
        </w:rPr>
      </w:pPr>
    </w:p>
    <w:p>
      <w:pPr>
        <w:jc w:val="both"/>
        <w:ind w:left="6" w:right="60" w:firstLine="436"/>
        <w:spacing w:after="0" w:line="26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Partial Exercise</w:t>
      </w:r>
      <w:r>
        <w:rPr>
          <w:rFonts w:ascii="Times New Roman" w:cs="Times New Roman" w:eastAsia="Times New Roman" w:hAnsi="Times New Roman"/>
          <w:sz w:val="18"/>
          <w:szCs w:val="18"/>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70"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Tax Withholding; Exercise Price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right="160" w:firstLine="975"/>
        <w:spacing w:after="0" w:line="277" w:lineRule="auto"/>
        <w:tabs>
          <w:tab w:leader="none" w:pos="1229"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3.3(b), payment of the exercise price and withholding tax obligations with respect to the Option shall be by any of the following, or a combination thereof, as determined by [the Company / Participant]</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in its sole discretion:</w:t>
      </w:r>
    </w:p>
    <w:p>
      <w:pPr>
        <w:spacing w:after="0" w:line="56" w:lineRule="exact"/>
        <w:rPr>
          <w:rFonts w:ascii="Times New Roman" w:cs="Times New Roman" w:eastAsia="Times New Roman" w:hAnsi="Times New Roman"/>
          <w:sz w:val="18"/>
          <w:szCs w:val="18"/>
          <w:color w:val="auto"/>
        </w:rPr>
      </w:pPr>
    </w:p>
    <w:p>
      <w:pPr>
        <w:ind w:left="1626" w:hanging="209"/>
        <w:spacing w:after="0"/>
        <w:tabs>
          <w:tab w:leader="none" w:pos="1626"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check;</w:t>
      </w:r>
    </w:p>
    <w:p>
      <w:pPr>
        <w:spacing w:after="0" w:line="113" w:lineRule="exact"/>
        <w:rPr>
          <w:rFonts w:ascii="Times New Roman" w:cs="Times New Roman" w:eastAsia="Times New Roman" w:hAnsi="Times New Roman"/>
          <w:sz w:val="18"/>
          <w:szCs w:val="18"/>
          <w:color w:val="auto"/>
        </w:rPr>
      </w:pPr>
    </w:p>
    <w:p>
      <w:pPr>
        <w:ind w:left="6" w:right="80" w:firstLine="1411"/>
        <w:spacing w:after="0" w:line="277" w:lineRule="auto"/>
        <w:tabs>
          <w:tab w:leader="none" w:pos="1685"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or in part by delivery of Shares, including Shares delivered by attestation and Shares retained from the Award creating the tax obligation, valued at their Fair Market Value on the date of delivery;</w:t>
      </w:r>
    </w:p>
    <w:p>
      <w:pPr>
        <w:spacing w:after="0" w:line="56" w:lineRule="exact"/>
        <w:rPr>
          <w:rFonts w:ascii="Times New Roman" w:cs="Times New Roman" w:eastAsia="Times New Roman" w:hAnsi="Times New Roman"/>
          <w:sz w:val="18"/>
          <w:szCs w:val="18"/>
          <w:color w:val="auto"/>
        </w:rPr>
      </w:pPr>
    </w:p>
    <w:p>
      <w:pPr>
        <w:ind w:left="6" w:right="40" w:firstLine="1411"/>
        <w:spacing w:after="0" w:line="252" w:lineRule="auto"/>
        <w:tabs>
          <w:tab w:leader="none" w:pos="1735"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10.17 of the Plan, [delivery (including electronically or telephonically to the extent permitted by the Company) of an irrevocable and unconditional undertaking by a broker acceptable to the Company to deliver promptly to the Company sufficient funds to satisfy the applicable exercise price and/or tax withholding obligations] /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settlement of the Award, and that the broker has been directed to deliver promptly to the Company funds sufficient to satisfy the applicable exercise price and/or tax withholding obligations; provided, that payment of such proceeds is then made to the Company at such time as may be required by the Administrator]</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6" w:firstLine="975"/>
        <w:spacing w:after="0" w:line="252" w:lineRule="auto"/>
        <w:tabs>
          <w:tab w:leader="none" w:pos="1239"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 Participant] otherwise determines, the Company shall withhold, or cause to be withheld, Shares otherwise vesting or issuable under this Option in satisfaction of any exercise price and/or applicable withholding tax obligations. [In addition, in the event Participant is an officer for purposes of Section 16(b) of the Exchange Act when the Option is exercised, then the Company shall withhold, or cause to be withheld, Shares otherwise vesting or issuable under this Award in satisfaction of any applicable withholding tax obligations.]</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xml:space="preserve"> With respect to tax withholding obligations, the number of Shares which may be so withheld or surrendered shall be limited to the number of Shares which have a fair market value on the date of withholding no greater than the aggregate amount of such liabilities based on the maximum individual statutory withholding rates in Participant’s applicable jurisdictions for federal, state, local and foreign income tax and payroll tax purposes that are applicable to such taxable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5501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0">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380" w:lineRule="exact"/>
        <w:rPr>
          <w:sz w:val="20"/>
          <w:szCs w:val="20"/>
          <w:color w:val="auto"/>
        </w:rPr>
      </w:pPr>
    </w:p>
    <w:p>
      <w:pPr>
        <w:ind w:left="426" w:hanging="426"/>
        <w:spacing w:after="0"/>
        <w:tabs>
          <w:tab w:leader="none" w:pos="426" w:val="left"/>
        </w:tabs>
        <w:numPr>
          <w:ilvl w:val="0"/>
          <w:numId w:val="3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NTD: “Participant” for Section 16 individuals. “The Company” for non-Section 16 individuals.</w:t>
      </w:r>
    </w:p>
    <w:p>
      <w:pPr>
        <w:spacing w:after="0" w:line="41" w:lineRule="exact"/>
        <w:rPr>
          <w:rFonts w:ascii="Times New Roman" w:cs="Times New Roman" w:eastAsia="Times New Roman" w:hAnsi="Times New Roman"/>
          <w:sz w:val="15"/>
          <w:szCs w:val="15"/>
          <w:color w:val="auto"/>
        </w:rPr>
      </w:pPr>
    </w:p>
    <w:p>
      <w:pPr>
        <w:ind w:left="6"/>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2NTD: Use second bracketed language for Section 16 individuals.</w:t>
      </w:r>
    </w:p>
    <w:p>
      <w:pPr>
        <w:spacing w:after="0" w:line="41" w:lineRule="exact"/>
        <w:rPr>
          <w:rFonts w:ascii="Times New Roman" w:cs="Times New Roman" w:eastAsia="Times New Roman" w:hAnsi="Times New Roman"/>
          <w:sz w:val="15"/>
          <w:szCs w:val="15"/>
          <w:color w:val="auto"/>
        </w:rPr>
      </w:pPr>
    </w:p>
    <w:p>
      <w:pPr>
        <w:ind w:left="6"/>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3NTD: Use in agreements for non-Section 16 individuals.</w:t>
      </w:r>
    </w:p>
    <w:p>
      <w:pPr>
        <w:spacing w:after="0" w:line="187"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6"/>
          </w:cols>
          <w:pgMar w:left="494" w:top="264" w:right="559" w:bottom="1440" w:gutter="0" w:footer="0" w:header="0"/>
        </w:sectPr>
      </w:pPr>
    </w:p>
    <w:bookmarkStart w:id="519" w:name="page520"/>
    <w:bookmarkEnd w:id="519"/>
    <w:p>
      <w:pPr>
        <w:ind w:firstLine="975"/>
        <w:spacing w:after="0" w:line="255" w:lineRule="auto"/>
        <w:tabs>
          <w:tab w:leader="none" w:pos="1223"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1">
                      <a:extLst>
                        <a:ext uri="{28A0092B-C50C-407E-A947-70E740481C1C}"/>
                      </a:extLst>
                    </a:blip>
                    <a:srcRect/>
                    <a:stretch>
                      <a:fillRect/>
                    </a:stretch>
                  </pic:blipFill>
                  <pic:spPr bwMode="auto">
                    <a:xfrm>
                      <a:off x="0" y="0"/>
                      <a:ext cx="7150735" cy="24765"/>
                    </a:xfrm>
                    <a:prstGeom prst="rect">
                      <a:avLst/>
                    </a:prstGeom>
                    <a:noFill/>
                  </pic:spPr>
                </pic:pic>
              </a:graphicData>
            </a:graphic>
          </wp:anchor>
        </w:drawing>
        <w:t>Participant acknowledges that Participant is ultimately liable and responsible for the exercise price and all taxes owed in connection with the Option (and, with respect to taxes,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02" w:lineRule="exact"/>
        <w:rPr>
          <w:sz w:val="20"/>
          <w:szCs w:val="20"/>
          <w:color w:val="auto"/>
        </w:rPr>
      </w:pPr>
    </w:p>
    <w:p>
      <w:pPr>
        <w:ind w:right="40" w:firstLine="436"/>
        <w:spacing w:after="0" w:line="277"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Participant acknowledges that the Option is subject to adjustment, modification and termination in certain events as provided in this Agreement and the Plan.</w:t>
      </w:r>
    </w:p>
    <w:p>
      <w:pPr>
        <w:spacing w:after="0" w:line="57"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The Option and the Shares issuable hereunder shall be subject to any clawback or recoupment policy in effect on the Grant Date or as may be adopted or maintained by the Company following the Grant Date, including the Dodd-Frank Wall Street Reform and Consumer Protection Act and any rules or regulations promulgated thereunder.</w:t>
      </w:r>
    </w:p>
    <w:p>
      <w:pPr>
        <w:spacing w:after="0" w:line="70" w:lineRule="exact"/>
        <w:rPr>
          <w:sz w:val="20"/>
          <w:szCs w:val="20"/>
          <w:color w:val="auto"/>
        </w:rPr>
      </w:pPr>
    </w:p>
    <w:p>
      <w:pPr>
        <w:ind w:right="20" w:firstLine="436"/>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114" w:lineRule="exact"/>
        <w:rPr>
          <w:sz w:val="20"/>
          <w:szCs w:val="20"/>
          <w:color w:val="auto"/>
        </w:rPr>
      </w:pPr>
    </w:p>
    <w:p>
      <w:pPr>
        <w:jc w:val="both"/>
        <w:ind w:right="140" w:firstLine="436"/>
        <w:spacing w:after="0" w:line="26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70" w:lineRule="exact"/>
        <w:rPr>
          <w:sz w:val="20"/>
          <w:szCs w:val="20"/>
          <w:color w:val="auto"/>
        </w:rPr>
      </w:pPr>
    </w:p>
    <w:p>
      <w:pPr>
        <w:jc w:val="both"/>
        <w:ind w:right="40" w:firstLine="436"/>
        <w:spacing w:after="0" w:line="285"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52" w:lineRule="exact"/>
        <w:rPr>
          <w:sz w:val="20"/>
          <w:szCs w:val="20"/>
          <w:color w:val="auto"/>
        </w:rPr>
      </w:pPr>
    </w:p>
    <w:p>
      <w:pPr>
        <w:ind w:right="100" w:firstLine="436"/>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20"/>
          </w:cols>
          <w:pgMar w:left="500" w:top="267" w:right="579" w:bottom="1440" w:gutter="0" w:footer="0" w:header="0"/>
        </w:sectPr>
      </w:pPr>
    </w:p>
    <w:bookmarkStart w:id="520" w:name="page521"/>
    <w:bookmarkEnd w:id="520"/>
    <w:p>
      <w:pPr>
        <w:ind w:right="120" w:firstLine="436"/>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2">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4.8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57" w:lineRule="exact"/>
        <w:rPr>
          <w:sz w:val="20"/>
          <w:szCs w:val="20"/>
          <w:color w:val="auto"/>
        </w:rPr>
      </w:pPr>
    </w:p>
    <w:p>
      <w:pPr>
        <w:ind w:right="100" w:firstLine="436"/>
        <w:spacing w:after="0" w:line="26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70"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76" w:lineRule="exact"/>
        <w:rPr>
          <w:sz w:val="20"/>
          <w:szCs w:val="20"/>
          <w:color w:val="auto"/>
        </w:rPr>
      </w:pPr>
    </w:p>
    <w:p>
      <w:pPr>
        <w:ind w:right="80" w:firstLine="436"/>
        <w:spacing w:after="0" w:line="257"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75" w:lineRule="exact"/>
        <w:rPr>
          <w:sz w:val="20"/>
          <w:szCs w:val="20"/>
          <w:color w:val="auto"/>
        </w:rPr>
      </w:pPr>
    </w:p>
    <w:p>
      <w:pPr>
        <w:ind w:right="560" w:firstLine="436"/>
        <w:spacing w:after="0" w:line="277"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If the Option is designated as an Incentive Stock Option:</w:t>
      </w:r>
    </w:p>
    <w:p>
      <w:pPr>
        <w:spacing w:after="0" w:line="114" w:lineRule="exact"/>
        <w:rPr>
          <w:sz w:val="20"/>
          <w:szCs w:val="20"/>
          <w:color w:val="auto"/>
        </w:rPr>
      </w:pPr>
    </w:p>
    <w:p>
      <w:pPr>
        <w:ind w:right="100" w:firstLine="975"/>
        <w:spacing w:after="0" w:line="252" w:lineRule="auto"/>
        <w:tabs>
          <w:tab w:leader="none" w:pos="1223"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 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 sentence will be applied by taking the Option and other stock options into account in the order in which they were granted, as determined under Section 422(d) of the Code. Participant also acknowledges that if the Option is exercised more than three months after Participant’s Termination of Service, other than by reason of death or disability, the Option will be taxed as a Non-Qualified Stock Option.</w:t>
      </w:r>
    </w:p>
    <w:p>
      <w:pPr>
        <w:spacing w:after="0" w:line="78" w:lineRule="exact"/>
        <w:rPr>
          <w:rFonts w:ascii="Times New Roman" w:cs="Times New Roman" w:eastAsia="Times New Roman" w:hAnsi="Times New Roman"/>
          <w:sz w:val="18"/>
          <w:szCs w:val="18"/>
          <w:color w:val="auto"/>
        </w:rPr>
      </w:pPr>
    </w:p>
    <w:p>
      <w:pPr>
        <w:ind w:right="140" w:firstLine="975"/>
        <w:spacing w:after="0" w:line="257" w:lineRule="auto"/>
        <w:tabs>
          <w:tab w:leader="none" w:pos="1233"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will give prompt written notice to the Company of any disposition or other transfer of any Shares acquired under this Agreement if such disposition or other transfer is made (i) within two years from the Grant Date or (ii) within one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spacing w:after="0" w:line="391" w:lineRule="exact"/>
        <w:rPr>
          <w:rFonts w:ascii="Times New Roman" w:cs="Times New Roman" w:eastAsia="Times New Roman" w:hAnsi="Times New Roman"/>
          <w:sz w:val="18"/>
          <w:szCs w:val="18"/>
          <w:color w:val="auto"/>
        </w:rPr>
      </w:pPr>
    </w:p>
    <w:p>
      <w:pPr>
        <w:ind w:left="5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500" w:top="267" w:right="499" w:bottom="1440" w:gutter="0" w:footer="0" w:header="0"/>
        </w:sectPr>
      </w:pPr>
    </w:p>
    <w:bookmarkStart w:id="521" w:name="page522"/>
    <w:bookmarkEnd w:id="521"/>
    <w:p>
      <w:pPr>
        <w:jc w:val="right"/>
        <w:spacing w:after="0"/>
        <w:rPr>
          <w:sz w:val="20"/>
          <w:szCs w:val="20"/>
          <w:color w:val="auto"/>
        </w:rPr>
      </w:pPr>
      <w:r>
        <w:rPr>
          <w:rFonts w:ascii="Times New Roman" w:cs="Times New Roman" w:eastAsia="Times New Roman" w:hAnsi="Times New Roman"/>
          <w:sz w:val="18"/>
          <w:szCs w:val="18"/>
          <w:b w:val="1"/>
          <w:bCs w:val="1"/>
          <w:color w:val="auto"/>
        </w:rPr>
        <w:t>Exhibit 10.3.2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168910</wp:posOffset>
            </wp:positionV>
            <wp:extent cx="6925945" cy="48768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3">
                      <a:extLst>
                        <a:ext uri="{28A0092B-C50C-407E-A947-70E740481C1C}"/>
                      </a:extLst>
                    </a:blip>
                    <a:srcRect/>
                    <a:stretch>
                      <a:fillRect/>
                    </a:stretch>
                  </pic:blipFill>
                  <pic:spPr bwMode="auto">
                    <a:xfrm>
                      <a:off x="0" y="0"/>
                      <a:ext cx="6925945" cy="487680"/>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INCENTIVE AWARD PLAN</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GRANT NOTICE</w:t>
      </w:r>
    </w:p>
    <w:p>
      <w:pPr>
        <w:spacing w:after="0" w:line="220" w:lineRule="exact"/>
        <w:rPr>
          <w:sz w:val="20"/>
          <w:szCs w:val="20"/>
          <w:color w:val="auto"/>
        </w:rPr>
      </w:pPr>
    </w:p>
    <w:p>
      <w:pPr>
        <w:ind w:right="80" w:firstLine="436"/>
        <w:spacing w:after="0" w:line="256" w:lineRule="auto"/>
        <w:rPr>
          <w:sz w:val="20"/>
          <w:szCs w:val="20"/>
          <w:color w:val="auto"/>
        </w:rPr>
      </w:pPr>
      <w:r>
        <w:rPr>
          <w:rFonts w:ascii="Times New Roman" w:cs="Times New Roman" w:eastAsia="Times New Roman" w:hAnsi="Times New Roman"/>
          <w:sz w:val="18"/>
          <w:szCs w:val="18"/>
          <w:color w:val="auto"/>
        </w:rPr>
        <w:t>GoodRx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the participant listed below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Restricted Stock Units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described in this Restricted Stock Unit Grant Notice (this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subject to the terms and conditions of the GoodRx Holdings, Inc. 2020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and the Restricted Stock Unit Agreement attached hereto as </w:t>
      </w:r>
      <w:r>
        <w:rPr>
          <w:rFonts w:ascii="Times New Roman" w:cs="Times New Roman" w:eastAsia="Times New Roman" w:hAnsi="Times New Roman"/>
          <w:sz w:val="18"/>
          <w:szCs w:val="18"/>
          <w:b w:val="1"/>
          <w:bCs w:val="1"/>
          <w:color w:val="auto"/>
        </w:rPr>
        <w:t xml:space="preserve">Exhibit A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both of which are incorporated into this Grant Notice by reference. Capitalized terms not specifically defined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Notice or the Agreement have the meanings given to them in the Plan.</w:t>
      </w:r>
    </w:p>
    <w:p>
      <w:pPr>
        <w:sectPr>
          <w:pgSz w:w="11900" w:h="16838" w:orient="portrait"/>
          <w:cols w:equalWidth="0" w:num="1">
            <w:col w:w="10900"/>
          </w:cols>
          <w:pgMar w:left="500" w:top="117" w:right="499" w:bottom="1440" w:gutter="0" w:footer="0" w:header="0"/>
        </w:sect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1" w:lineRule="exact"/>
        <w:rPr>
          <w:sz w:val="20"/>
          <w:szCs w:val="20"/>
          <w:color w:val="auto"/>
        </w:rPr>
      </w:pPr>
    </w:p>
    <w:p>
      <w:pPr>
        <w:sectPr>
          <w:pgSz w:w="11900" w:h="16838" w:orient="portrait"/>
          <w:cols w:equalWidth="0" w:num="2">
            <w:col w:w="2440" w:space="720"/>
            <w:col w:w="774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1" w:lineRule="exact"/>
        <w:rPr>
          <w:sz w:val="20"/>
          <w:szCs w:val="20"/>
          <w:color w:val="auto"/>
        </w:rPr>
      </w:pPr>
    </w:p>
    <w:p>
      <w:pPr>
        <w:sectPr>
          <w:pgSz w:w="11900" w:h="16838" w:orient="portrait"/>
          <w:cols w:equalWidth="0" w:num="2">
            <w:col w:w="2440" w:space="720"/>
            <w:col w:w="774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1" w:lineRule="exact"/>
        <w:rPr>
          <w:sz w:val="20"/>
          <w:szCs w:val="20"/>
          <w:color w:val="auto"/>
        </w:rPr>
      </w:pPr>
    </w:p>
    <w:p>
      <w:pPr>
        <w:sectPr>
          <w:pgSz w:w="11900" w:h="16838" w:orient="portrait"/>
          <w:cols w:equalWidth="0" w:num="2">
            <w:col w:w="2440" w:space="720"/>
            <w:col w:w="774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1" w:lineRule="exact"/>
        <w:rPr>
          <w:sz w:val="20"/>
          <w:szCs w:val="20"/>
          <w:color w:val="auto"/>
        </w:rPr>
      </w:pPr>
    </w:p>
    <w:p>
      <w:pPr>
        <w:sectPr>
          <w:pgSz w:w="11900" w:h="16838" w:orient="portrait"/>
          <w:cols w:equalWidth="0" w:num="2">
            <w:col w:w="2440" w:space="720"/>
            <w:col w:w="774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200" w:lineRule="exact"/>
        <w:rPr>
          <w:sz w:val="20"/>
          <w:szCs w:val="20"/>
          <w:color w:val="auto"/>
        </w:rPr>
      </w:pPr>
    </w:p>
    <w:p>
      <w:pPr>
        <w:sectPr>
          <w:pgSz w:w="11900" w:h="16838" w:orient="portrait"/>
          <w:cols w:equalWidth="0" w:num="2">
            <w:col w:w="2440" w:space="720"/>
            <w:col w:w="7740"/>
          </w:cols>
          <w:pgMar w:left="500" w:top="117" w:right="499" w:bottom="1440" w:gutter="0" w:footer="0" w:header="0"/>
          <w:type w:val="continuous"/>
        </w:sectPr>
      </w:pPr>
    </w:p>
    <w:p>
      <w:pPr>
        <w:spacing w:after="0" w:line="32"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By accepting (whether in writing, electronically or otherwise) the RSUs,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06" w:lineRule="exact"/>
        <w:rPr>
          <w:sz w:val="20"/>
          <w:szCs w:val="20"/>
          <w:color w:val="auto"/>
        </w:rPr>
      </w:pPr>
    </w:p>
    <w:p>
      <w:pPr>
        <w:spacing w:after="0"/>
        <w:tabs>
          <w:tab w:leader="none" w:pos="6300" w:val="left"/>
        </w:tabs>
        <w:rPr>
          <w:sz w:val="20"/>
          <w:szCs w:val="20"/>
          <w:color w:val="auto"/>
        </w:rPr>
      </w:pPr>
      <w:r>
        <w:rPr>
          <w:rFonts w:ascii="Times New Roman" w:cs="Times New Roman" w:eastAsia="Times New Roman" w:hAnsi="Times New Roman"/>
          <w:sz w:val="18"/>
          <w:szCs w:val="18"/>
          <w:b w:val="1"/>
          <w:bCs w:val="1"/>
          <w:color w:val="auto"/>
        </w:rPr>
        <w:t>GOODRX HOLDINGS, INC.</w:t>
      </w:r>
      <w:r>
        <w:rPr>
          <w:sz w:val="20"/>
          <w:szCs w:val="20"/>
          <w:color w:val="auto"/>
        </w:rPr>
        <w:tab/>
      </w:r>
      <w:r>
        <w:rPr>
          <w:rFonts w:ascii="Times New Roman" w:cs="Times New Roman" w:eastAsia="Times New Roman" w:hAnsi="Times New Roman"/>
          <w:sz w:val="17"/>
          <w:szCs w:val="17"/>
          <w:b w:val="1"/>
          <w:bCs w:val="1"/>
          <w:color w:val="auto"/>
        </w:rPr>
        <w:t>PARTICIPANT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15875</wp:posOffset>
            </wp:positionV>
            <wp:extent cx="649732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4">
                      <a:extLst>
                        <a:ext uri="{28A0092B-C50C-407E-A947-70E740481C1C}"/>
                      </a:extLst>
                    </a:blip>
                    <a:srcRect/>
                    <a:stretch>
                      <a:fillRect/>
                    </a:stretch>
                  </pic:blipFill>
                  <pic:spPr bwMode="auto">
                    <a:xfrm>
                      <a:off x="0" y="0"/>
                      <a:ext cx="6497320" cy="8255"/>
                    </a:xfrm>
                    <a:prstGeom prst="rect">
                      <a:avLst/>
                    </a:prstGeom>
                    <a:noFill/>
                  </pic:spPr>
                </pic:pic>
              </a:graphicData>
            </a:graphic>
          </wp:anchor>
        </w:drawing>
      </w:r>
    </w:p>
    <w:p>
      <w:pPr>
        <w:spacing w:after="0" w:line="13" w:lineRule="exact"/>
        <w:rPr>
          <w:sz w:val="20"/>
          <w:szCs w:val="20"/>
          <w:color w:val="auto"/>
        </w:rPr>
      </w:pPr>
    </w:p>
    <w:p>
      <w:pPr>
        <w:spacing w:after="0"/>
        <w:tabs>
          <w:tab w:leader="none" w:pos="6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15875</wp:posOffset>
            </wp:positionV>
            <wp:extent cx="305371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5">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15875</wp:posOffset>
            </wp:positionV>
            <wp:extent cx="305371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6">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ectPr>
          <w:pgSz w:w="11900" w:h="16838" w:orient="portrait"/>
          <w:cols w:equalWidth="0" w:num="1">
            <w:col w:w="10900"/>
          </w:cols>
          <w:pgMar w:left="500" w:top="117" w:right="499" w:bottom="1440" w:gutter="0" w:footer="0" w:header="0"/>
          <w:type w:val="continuous"/>
        </w:sectPr>
      </w:pPr>
    </w:p>
    <w:bookmarkStart w:id="522" w:name="page523"/>
    <w:bookmarkEnd w:id="52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7">
                      <a:extLst>
                        <a:ext uri="{28A0092B-C50C-407E-A947-70E740481C1C}"/>
                      </a:extLst>
                    </a:blip>
                    <a:srcRect/>
                    <a:stretch>
                      <a:fillRect/>
                    </a:stretch>
                  </pic:blipFill>
                  <pic:spPr bwMode="auto">
                    <a:xfrm>
                      <a:off x="0" y="0"/>
                      <a:ext cx="7150735" cy="24765"/>
                    </a:xfrm>
                    <a:prstGeom prst="rect">
                      <a:avLst/>
                    </a:prstGeom>
                    <a:noFill/>
                  </pic:spPr>
                </pic:pic>
              </a:graphicData>
            </a:graphic>
          </wp:anchor>
        </w:drawing>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20" w:lineRule="exact"/>
        <w:rPr>
          <w:sz w:val="20"/>
          <w:szCs w:val="20"/>
          <w:color w:val="auto"/>
        </w:rPr>
      </w:pPr>
    </w:p>
    <w:p>
      <w:pPr>
        <w:ind w:right="240" w:firstLine="436"/>
        <w:spacing w:after="0" w:line="282" w:lineRule="auto"/>
        <w:rPr>
          <w:sz w:val="20"/>
          <w:szCs w:val="20"/>
          <w:color w:val="auto"/>
        </w:rPr>
      </w:pPr>
      <w:r>
        <w:rPr>
          <w:rFonts w:ascii="Times New Roman" w:cs="Times New Roman" w:eastAsia="Times New Roman" w:hAnsi="Times New Roman"/>
          <w:sz w:val="18"/>
          <w:szCs w:val="18"/>
          <w:color w:val="auto"/>
        </w:rPr>
        <w:t>Capitalized terms not specifically defined in this Restricted Stock Unit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have the meanings specified in the Grant Notice or, if not defined in the Grant Notice, in the Plan.</w:t>
      </w:r>
    </w:p>
    <w:p>
      <w:pPr>
        <w:spacing w:after="0" w:line="36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98" w:lineRule="exact"/>
        <w:rPr>
          <w:sz w:val="20"/>
          <w:szCs w:val="20"/>
          <w:color w:val="auto"/>
        </w:rPr>
      </w:pPr>
    </w:p>
    <w:p>
      <w:pPr>
        <w:jc w:val="both"/>
        <w:ind w:right="40" w:firstLine="436"/>
        <w:spacing w:after="0" w:line="265"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Award of RSUs</w:t>
      </w:r>
      <w:r>
        <w:rPr>
          <w:rFonts w:ascii="Times New Roman" w:cs="Times New Roman" w:eastAsia="Times New Roman" w:hAnsi="Times New Roman"/>
          <w:sz w:val="18"/>
          <w:szCs w:val="18"/>
          <w:color w:val="auto"/>
        </w:rPr>
        <w:t>(a) . The Company has granted the RSUs to Participant effective as of the Grant Date set forth in the Grant Notice (the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Each RSU represents the right to receive one Share as set forth in this Agreement. Participant will have no right to the distribution of any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until the time (if ever) the RSUs have vested.</w:t>
      </w:r>
    </w:p>
    <w:p>
      <w:pPr>
        <w:spacing w:after="0" w:line="66" w:lineRule="exact"/>
        <w:rPr>
          <w:sz w:val="20"/>
          <w:szCs w:val="20"/>
          <w:color w:val="auto"/>
        </w:rPr>
      </w:pPr>
    </w:p>
    <w:p>
      <w:pPr>
        <w:ind w:right="820" w:firstLine="436"/>
        <w:spacing w:after="0" w:line="308"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Incorporation of Terms of Plan</w:t>
      </w:r>
      <w:r>
        <w:rPr>
          <w:rFonts w:ascii="Times New Roman" w:cs="Times New Roman" w:eastAsia="Times New Roman" w:hAnsi="Times New Roman"/>
          <w:sz w:val="17"/>
          <w:szCs w:val="17"/>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33" w:lineRule="exact"/>
        <w:rPr>
          <w:sz w:val="20"/>
          <w:szCs w:val="20"/>
          <w:color w:val="auto"/>
        </w:rPr>
      </w:pPr>
    </w:p>
    <w:p>
      <w:pPr>
        <w:ind w:right="700" w:firstLine="436"/>
        <w:spacing w:after="0" w:line="277"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Unsecured Promise</w:t>
      </w:r>
      <w:r>
        <w:rPr>
          <w:rFonts w:ascii="Times New Roman" w:cs="Times New Roman" w:eastAsia="Times New Roman" w:hAnsi="Times New Roman"/>
          <w:sz w:val="18"/>
          <w:szCs w:val="18"/>
          <w:color w:val="auto"/>
        </w:rPr>
        <w:t>. The RSUs will at all times prior to settlement represent an unsecured Company obligation payable only from the Company’s general assets.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VESTING; FORFEITURE AND SETTLEMENT</w:t>
      </w:r>
    </w:p>
    <w:p>
      <w:pPr>
        <w:spacing w:after="0" w:line="202" w:lineRule="exact"/>
        <w:rPr>
          <w:sz w:val="20"/>
          <w:szCs w:val="20"/>
          <w:color w:val="auto"/>
        </w:rPr>
      </w:pPr>
    </w:p>
    <w:p>
      <w:pPr>
        <w:ind w:right="60" w:firstLine="436"/>
        <w:spacing w:after="0" w:line="257"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Vesting; Forfeiture</w:t>
      </w:r>
      <w:r>
        <w:rPr>
          <w:rFonts w:ascii="Times New Roman" w:cs="Times New Roman" w:eastAsia="Times New Roman" w:hAnsi="Times New Roman"/>
          <w:sz w:val="18"/>
          <w:szCs w:val="18"/>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40" w:firstLine="975"/>
        <w:spacing w:after="0" w:line="277" w:lineRule="auto"/>
        <w:tabs>
          <w:tab w:leader="none" w:pos="1223"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will be paid in Shares as soon as administratively practicable after the vesting of the applicable RSU, but in no event later than March 15 of the year following the year in which the RSU’s vesting date occurs.</w:t>
      </w:r>
    </w:p>
    <w:p>
      <w:pPr>
        <w:spacing w:after="0" w:line="56" w:lineRule="exact"/>
        <w:rPr>
          <w:rFonts w:ascii="Times New Roman" w:cs="Times New Roman" w:eastAsia="Times New Roman" w:hAnsi="Times New Roman"/>
          <w:sz w:val="18"/>
          <w:szCs w:val="18"/>
          <w:color w:val="auto"/>
        </w:rPr>
      </w:pPr>
    </w:p>
    <w:p>
      <w:pPr>
        <w:jc w:val="both"/>
        <w:ind w:right="100" w:firstLine="975"/>
        <w:spacing w:after="0" w:line="257" w:lineRule="auto"/>
        <w:tabs>
          <w:tab w:leader="none" w:pos="1233"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 AND TAX WITHHOLDING</w:t>
      </w:r>
    </w:p>
    <w:p>
      <w:pPr>
        <w:spacing w:after="0" w:line="202" w:lineRule="exact"/>
        <w:rPr>
          <w:sz w:val="20"/>
          <w:szCs w:val="20"/>
          <w:color w:val="auto"/>
        </w:rPr>
      </w:pPr>
    </w:p>
    <w:p>
      <w:pPr>
        <w:ind w:right="120" w:firstLine="436"/>
        <w:spacing w:after="0" w:line="26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w:t>
      </w:r>
      <w:r>
        <w:rPr>
          <w:rFonts w:ascii="Times New Roman" w:cs="Times New Roman" w:eastAsia="Times New Roman" w:hAnsi="Times New Roman"/>
          <w:sz w:val="18"/>
          <w:szCs w:val="18"/>
          <w:color w:val="auto"/>
        </w:rPr>
        <w:t>. Participant represents to the Company that Participant has reviewed with Participant’s own tax advisors the tax consequences of this award of RSUs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and the transactions contemplated by the Grant Notice and this Agreement. Participant is relying solely on such advisors and not on any statements or representations of the Company or any of its agents.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500" w:top="263" w:right="499" w:bottom="1440" w:gutter="0" w:footer="0" w:header="0"/>
        </w:sectPr>
      </w:pPr>
    </w:p>
    <w:bookmarkStart w:id="523" w:name="page524"/>
    <w:bookmarkEnd w:id="523"/>
    <w:p>
      <w:pPr>
        <w:ind w:left="42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right="180" w:firstLine="975"/>
        <w:spacing w:after="0" w:line="277" w:lineRule="auto"/>
        <w:tabs>
          <w:tab w:leader="none" w:pos="1229"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3.2(b), payment of the withholding tax obligations with respect to the Award shall be by any of the following, or a combination thereof, as determined by [the Company / Participant]</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in its sole discretion:</w:t>
      </w:r>
    </w:p>
    <w:p>
      <w:pPr>
        <w:spacing w:after="0" w:line="56" w:lineRule="exact"/>
        <w:rPr>
          <w:rFonts w:ascii="Times New Roman" w:cs="Times New Roman" w:eastAsia="Times New Roman" w:hAnsi="Times New Roman"/>
          <w:sz w:val="18"/>
          <w:szCs w:val="18"/>
          <w:color w:val="auto"/>
        </w:rPr>
      </w:pPr>
    </w:p>
    <w:p>
      <w:pPr>
        <w:ind w:left="1626" w:hanging="209"/>
        <w:spacing w:after="0"/>
        <w:tabs>
          <w:tab w:leader="none" w:pos="1626"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check;</w:t>
      </w:r>
    </w:p>
    <w:p>
      <w:pPr>
        <w:spacing w:after="0" w:line="113" w:lineRule="exact"/>
        <w:rPr>
          <w:rFonts w:ascii="Times New Roman" w:cs="Times New Roman" w:eastAsia="Times New Roman" w:hAnsi="Times New Roman"/>
          <w:sz w:val="18"/>
          <w:szCs w:val="18"/>
          <w:color w:val="auto"/>
        </w:rPr>
      </w:pPr>
    </w:p>
    <w:p>
      <w:pPr>
        <w:ind w:left="6" w:right="100" w:firstLine="1411"/>
        <w:spacing w:after="0" w:line="277" w:lineRule="auto"/>
        <w:tabs>
          <w:tab w:leader="none" w:pos="1685"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or in part by delivery of Shares, including Shares delivered by attestation and Shares retained from the Award creating the tax obligation, valued at their Fair Market Value on the date of delivery;</w:t>
      </w:r>
    </w:p>
    <w:p>
      <w:pPr>
        <w:spacing w:after="0" w:line="56" w:lineRule="exact"/>
        <w:rPr>
          <w:rFonts w:ascii="Times New Roman" w:cs="Times New Roman" w:eastAsia="Times New Roman" w:hAnsi="Times New Roman"/>
          <w:sz w:val="18"/>
          <w:szCs w:val="18"/>
          <w:color w:val="auto"/>
        </w:rPr>
      </w:pPr>
    </w:p>
    <w:p>
      <w:pPr>
        <w:ind w:left="6" w:right="40" w:firstLine="1411"/>
        <w:spacing w:after="0" w:line="252" w:lineRule="auto"/>
        <w:tabs>
          <w:tab w:leader="none" w:pos="1735"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10.17 of the Plan, [delivery (including electronically or telephonically to the extent permitted by the Company) of an irrevocable and unconditional undertaking by a broker acceptable to the Company to deliver promptly to the Company sufficient funds to satisfy the applicable tax withholding obligations] /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settlement of the Award, and that the broker has been directed to deliver promptly to the Company funds sufficient to satisfy the applicable tax withholding obligations; provided, that payment of such proceeds is then made to the Company at such time as may be required by the Administrator]</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6" w:firstLine="975"/>
        <w:spacing w:after="0" w:line="252" w:lineRule="auto"/>
        <w:tabs>
          <w:tab w:leader="none" w:pos="1239"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 Participant] otherwise determines, the Company shall withhold, or cause to be withheld, Shares otherwise vesting or issuable under this Award in satisfaction of any applicable withholding tax obligations. [In addition, in the event Participant is an officer for purposes of Section 16(b) of the Exchange Act when the RSUs are paid, then the Company shall withhold, or cause to be withheld, Shares otherwise vesting or issuable under this Award in satisfaction of any applicable withholding tax obligations.]</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xml:space="preserve"> The number of Shares which may be so withheld or surrendered shall be limited to the number of Shares which have a Fair Market Value on the date of withholding no greater than the aggregate amount of such liabilities based on the maximum individual statutory withholding rates in Participant’s applicable jurisdictions for federal, state, local and foreign income tax and payroll tax purposes that are applicable to such taxable income.</w:t>
      </w:r>
    </w:p>
    <w:p>
      <w:pPr>
        <w:spacing w:after="0" w:line="81" w:lineRule="exact"/>
        <w:rPr>
          <w:rFonts w:ascii="Times New Roman" w:cs="Times New Roman" w:eastAsia="Times New Roman" w:hAnsi="Times New Roman"/>
          <w:sz w:val="18"/>
          <w:szCs w:val="18"/>
          <w:color w:val="auto"/>
        </w:rPr>
      </w:pPr>
    </w:p>
    <w:p>
      <w:pPr>
        <w:ind w:left="6" w:firstLine="975"/>
        <w:spacing w:after="0" w:line="255" w:lineRule="auto"/>
        <w:tabs>
          <w:tab w:leader="none" w:pos="1229"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its Subsidiaries do not commit and are under no obligation to structure the RSUs to reduce or eliminate Participant’s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75501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9">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36" w:lineRule="exact"/>
        <w:rPr>
          <w:sz w:val="20"/>
          <w:szCs w:val="20"/>
          <w:color w:val="auto"/>
        </w:rPr>
      </w:pPr>
    </w:p>
    <w:p>
      <w:pPr>
        <w:ind w:left="426" w:hanging="426"/>
        <w:spacing w:after="0"/>
        <w:tabs>
          <w:tab w:leader="none" w:pos="426" w:val="left"/>
        </w:tabs>
        <w:numPr>
          <w:ilvl w:val="0"/>
          <w:numId w:val="39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“Participant” for Section 16 individuals. “The Company” for non-Section 16 individuals.</w:t>
      </w:r>
    </w:p>
    <w:p>
      <w:pPr>
        <w:spacing w:after="0" w:line="24" w:lineRule="exact"/>
        <w:rPr>
          <w:sz w:val="20"/>
          <w:szCs w:val="20"/>
          <w:color w:val="auto"/>
        </w:rPr>
      </w:pPr>
    </w:p>
    <w:p>
      <w:pPr>
        <w:ind w:left="426" w:hanging="426"/>
        <w:spacing w:after="0"/>
        <w:tabs>
          <w:tab w:leader="none" w:pos="426" w:val="left"/>
        </w:tabs>
        <w:numPr>
          <w:ilvl w:val="0"/>
          <w:numId w:val="40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Use second bracketed language for Section 16 individuals.</w:t>
      </w:r>
    </w:p>
    <w:p>
      <w:pPr>
        <w:spacing w:after="0" w:line="7" w:lineRule="exact"/>
        <w:rPr>
          <w:sz w:val="20"/>
          <w:szCs w:val="20"/>
          <w:color w:val="auto"/>
        </w:rPr>
      </w:pPr>
    </w:p>
    <w:p>
      <w:pPr>
        <w:ind w:left="426" w:hanging="426"/>
        <w:spacing w:after="0"/>
        <w:tabs>
          <w:tab w:leader="none" w:pos="426" w:val="left"/>
        </w:tabs>
        <w:numPr>
          <w:ilvl w:val="0"/>
          <w:numId w:val="40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Use in agreements for non-Section 16 individuals.</w:t>
      </w:r>
    </w:p>
    <w:p>
      <w:pPr>
        <w:spacing w:after="0" w:line="137"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6"/>
          </w:cols>
          <w:pgMar w:left="494" w:top="268" w:right="539" w:bottom="1440" w:gutter="0" w:footer="0" w:header="0"/>
        </w:sectPr>
      </w:pPr>
    </w:p>
    <w:bookmarkStart w:id="524" w:name="page525"/>
    <w:bookmarkEnd w:id="5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ARTICLE IV.</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02" w:lineRule="exact"/>
        <w:rPr>
          <w:sz w:val="20"/>
          <w:szCs w:val="20"/>
          <w:color w:val="auto"/>
        </w:rPr>
      </w:pPr>
    </w:p>
    <w:p>
      <w:pPr>
        <w:ind w:right="680" w:firstLine="436"/>
        <w:spacing w:after="0" w:line="277"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Participant acknowledges that the RSUs and the Shares subject to the RSUs are subject to adjustment, modification and termination in certain events as provided in this Agreement and the Plan.</w:t>
      </w:r>
    </w:p>
    <w:p>
      <w:pPr>
        <w:spacing w:after="0" w:line="57" w:lineRule="exact"/>
        <w:rPr>
          <w:sz w:val="20"/>
          <w:szCs w:val="20"/>
          <w:color w:val="auto"/>
        </w:rPr>
      </w:pPr>
    </w:p>
    <w:p>
      <w:pPr>
        <w:ind w:right="80" w:firstLine="436"/>
        <w:spacing w:after="0" w:line="26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The Award and the Shares issuable hereunder shall be subject to any clawback or recoupment policy in effect on the Grant Date or as may be adopted or maintained by the Company following the Grant Date, including the Dodd-Frank Wall Street Reform and Consumer Protection Act and any rules or regulations promulgated thereunder.</w:t>
      </w:r>
    </w:p>
    <w:p>
      <w:pPr>
        <w:spacing w:after="0" w:line="70" w:lineRule="exact"/>
        <w:rPr>
          <w:sz w:val="20"/>
          <w:szCs w:val="20"/>
          <w:color w:val="auto"/>
        </w:rPr>
      </w:pPr>
    </w:p>
    <w:p>
      <w:pPr>
        <w:ind w:right="80" w:firstLine="436"/>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114" w:lineRule="exact"/>
        <w:rPr>
          <w:sz w:val="20"/>
          <w:szCs w:val="20"/>
          <w:color w:val="auto"/>
        </w:rPr>
      </w:pPr>
    </w:p>
    <w:p>
      <w:pPr>
        <w:jc w:val="both"/>
        <w:ind w:right="200" w:firstLine="436"/>
        <w:spacing w:after="0" w:line="26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70" w:lineRule="exact"/>
        <w:rPr>
          <w:sz w:val="20"/>
          <w:szCs w:val="20"/>
          <w:color w:val="auto"/>
        </w:rPr>
      </w:pPr>
    </w:p>
    <w:p>
      <w:pPr>
        <w:jc w:val="both"/>
        <w:ind w:firstLine="436"/>
        <w:spacing w:after="0" w:line="285"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this Agreement to a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52" w:lineRule="exact"/>
        <w:rPr>
          <w:sz w:val="20"/>
          <w:szCs w:val="20"/>
          <w:color w:val="auto"/>
        </w:rPr>
      </w:pPr>
    </w:p>
    <w:p>
      <w:pPr>
        <w:ind w:right="160" w:firstLine="436"/>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76" w:lineRule="exact"/>
        <w:rPr>
          <w:sz w:val="20"/>
          <w:szCs w:val="20"/>
          <w:color w:val="auto"/>
        </w:rPr>
      </w:pPr>
    </w:p>
    <w:p>
      <w:pPr>
        <w:ind w:right="100" w:firstLine="436"/>
        <w:spacing w:after="0" w:line="277"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57" w:lineRule="exact"/>
        <w:rPr>
          <w:sz w:val="20"/>
          <w:szCs w:val="20"/>
          <w:color w:val="auto"/>
        </w:rPr>
      </w:pPr>
    </w:p>
    <w:p>
      <w:pPr>
        <w:ind w:right="80" w:firstLine="436"/>
        <w:spacing w:after="0" w:line="26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500" w:top="263" w:right="519" w:bottom="1440" w:gutter="0" w:footer="0" w:header="0"/>
        </w:sectPr>
      </w:pPr>
    </w:p>
    <w:bookmarkStart w:id="525" w:name="page526"/>
    <w:bookmarkEnd w:id="525"/>
    <w:p>
      <w:pPr>
        <w:ind w:firstLine="43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1">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4.10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cash or the Shares as a general unsecured creditor with respect to the RSUs, as and when settled pursuant to the terms of this Agreement.</w:t>
      </w:r>
    </w:p>
    <w:p>
      <w:pPr>
        <w:spacing w:after="0" w:line="76" w:lineRule="exact"/>
        <w:rPr>
          <w:sz w:val="20"/>
          <w:szCs w:val="20"/>
          <w:color w:val="auto"/>
        </w:rPr>
      </w:pPr>
    </w:p>
    <w:p>
      <w:pPr>
        <w:ind w:right="80" w:firstLine="436"/>
        <w:spacing w:after="0" w:line="257"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75" w:lineRule="exact"/>
        <w:rPr>
          <w:sz w:val="20"/>
          <w:szCs w:val="20"/>
          <w:color w:val="auto"/>
        </w:rPr>
      </w:pPr>
    </w:p>
    <w:p>
      <w:pPr>
        <w:ind w:right="560" w:firstLine="436"/>
        <w:spacing w:after="0" w:line="277"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500" w:top="267" w:right="499" w:bottom="1440" w:gutter="0" w:footer="0" w:header="0"/>
        </w:sectPr>
      </w:pPr>
    </w:p>
    <w:bookmarkStart w:id="526" w:name="page527"/>
    <w:bookmarkEnd w:id="526"/>
    <w:p>
      <w:pPr>
        <w:jc w:val="right"/>
        <w:spacing w:after="0"/>
        <w:rPr>
          <w:sz w:val="20"/>
          <w:szCs w:val="20"/>
          <w:color w:val="auto"/>
        </w:rPr>
      </w:pPr>
      <w:r>
        <w:rPr>
          <w:rFonts w:ascii="Times New Roman" w:cs="Times New Roman" w:eastAsia="Times New Roman" w:hAnsi="Times New Roman"/>
          <w:sz w:val="18"/>
          <w:szCs w:val="18"/>
          <w:b w:val="1"/>
          <w:bCs w:val="1"/>
          <w:color w:val="auto"/>
        </w:rPr>
        <w:t>Exhibit 10.3.3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168910</wp:posOffset>
            </wp:positionV>
            <wp:extent cx="6925945" cy="48768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2">
                      <a:extLst>
                        <a:ext uri="{28A0092B-C50C-407E-A947-70E740481C1C}"/>
                      </a:extLst>
                    </a:blip>
                    <a:srcRect/>
                    <a:stretch>
                      <a:fillRect/>
                    </a:stretch>
                  </pic:blipFill>
                  <pic:spPr bwMode="auto">
                    <a:xfrm>
                      <a:off x="0" y="0"/>
                      <a:ext cx="6925945" cy="487680"/>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INCENTIVE AWARD PLAN</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GRANT NOTICE (TIME-VESTING)</w:t>
      </w:r>
    </w:p>
    <w:p>
      <w:pPr>
        <w:spacing w:after="0" w:line="220" w:lineRule="exact"/>
        <w:rPr>
          <w:sz w:val="20"/>
          <w:szCs w:val="20"/>
          <w:color w:val="auto"/>
        </w:rPr>
      </w:pPr>
    </w:p>
    <w:p>
      <w:pPr>
        <w:ind w:right="80" w:firstLine="436"/>
        <w:spacing w:after="0" w:line="256" w:lineRule="auto"/>
        <w:rPr>
          <w:sz w:val="20"/>
          <w:szCs w:val="20"/>
          <w:color w:val="auto"/>
        </w:rPr>
      </w:pPr>
      <w:r>
        <w:rPr>
          <w:rFonts w:ascii="Times New Roman" w:cs="Times New Roman" w:eastAsia="Times New Roman" w:hAnsi="Times New Roman"/>
          <w:sz w:val="18"/>
          <w:szCs w:val="18"/>
          <w:color w:val="auto"/>
        </w:rPr>
        <w:t>GoodRx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the participant listed below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Restricted Stock Units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described in this Restricted Stock Unit Grant Notice (this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subject to the terms and conditions of the GoodRx Holdings, Inc. 2020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and the Restricted Stock Unit Agreement attached hereto as </w:t>
      </w:r>
      <w:r>
        <w:rPr>
          <w:rFonts w:ascii="Times New Roman" w:cs="Times New Roman" w:eastAsia="Times New Roman" w:hAnsi="Times New Roman"/>
          <w:sz w:val="18"/>
          <w:szCs w:val="18"/>
          <w:b w:val="1"/>
          <w:bCs w:val="1"/>
          <w:color w:val="auto"/>
        </w:rPr>
        <w:t xml:space="preserve">Exhibit A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both of which are incorporated into this Grant Notice by reference. Capitalized terms not specifically defined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Notice or the Agreement have the meanings given to them in the Plan.</w:t>
      </w:r>
    </w:p>
    <w:p>
      <w:pPr>
        <w:sectPr>
          <w:pgSz w:w="11900" w:h="16838" w:orient="portrait"/>
          <w:cols w:equalWidth="0" w:num="1">
            <w:col w:w="10900"/>
          </w:cols>
          <w:pgMar w:left="500" w:top="117" w:right="499" w:bottom="1440" w:gutter="0" w:footer="0" w:header="0"/>
        </w:sect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[Trevor Bezdek / Douglas Hirsch]</w:t>
      </w:r>
    </w:p>
    <w:p>
      <w:pPr>
        <w:spacing w:after="0" w:line="121" w:lineRule="exact"/>
        <w:rPr>
          <w:sz w:val="20"/>
          <w:szCs w:val="20"/>
          <w:color w:val="auto"/>
        </w:rPr>
      </w:pPr>
    </w:p>
    <w:p>
      <w:pPr>
        <w:sectPr>
          <w:pgSz w:w="11900" w:h="16838" w:orient="portrait"/>
          <w:cols w:equalWidth="0" w:num="2">
            <w:col w:w="2440" w:space="720"/>
            <w:col w:w="774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110" w:lineRule="exact"/>
        <w:rPr>
          <w:sz w:val="20"/>
          <w:szCs w:val="20"/>
          <w:color w:val="auto"/>
        </w:rPr>
      </w:pPr>
    </w:p>
    <w:p>
      <w:pPr>
        <w:sectPr>
          <w:pgSz w:w="11900" w:h="16838" w:orient="portrait"/>
          <w:cols w:equalWidth="0" w:num="2">
            <w:col w:w="2440" w:space="720"/>
            <w:col w:w="774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4,105,511</w:t>
      </w:r>
    </w:p>
    <w:p>
      <w:pPr>
        <w:spacing w:after="0" w:line="121" w:lineRule="exact"/>
        <w:rPr>
          <w:sz w:val="20"/>
          <w:szCs w:val="20"/>
          <w:color w:val="auto"/>
        </w:rPr>
      </w:pPr>
    </w:p>
    <w:p>
      <w:pPr>
        <w:sectPr>
          <w:pgSz w:w="11900" w:h="16838" w:orient="portrait"/>
          <w:cols w:equalWidth="0" w:num="2">
            <w:col w:w="2440" w:space="720"/>
            <w:col w:w="774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Type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Class B Common Stock</w:t>
      </w:r>
    </w:p>
    <w:p>
      <w:pPr>
        <w:spacing w:after="0" w:line="121" w:lineRule="exact"/>
        <w:rPr>
          <w:sz w:val="20"/>
          <w:szCs w:val="20"/>
          <w:color w:val="auto"/>
        </w:rPr>
      </w:pPr>
    </w:p>
    <w:p>
      <w:pPr>
        <w:sectPr>
          <w:pgSz w:w="11900" w:h="16838" w:orient="portrait"/>
          <w:cols w:equalWidth="0" w:num="2">
            <w:col w:w="2440" w:space="720"/>
            <w:col w:w="774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September 1, 2020</w:t>
      </w:r>
    </w:p>
    <w:p>
      <w:pPr>
        <w:spacing w:after="0" w:line="121" w:lineRule="exact"/>
        <w:rPr>
          <w:sz w:val="20"/>
          <w:szCs w:val="20"/>
          <w:color w:val="auto"/>
        </w:rPr>
      </w:pPr>
    </w:p>
    <w:p>
      <w:pPr>
        <w:sectPr>
          <w:pgSz w:w="11900" w:h="16838" w:orient="portrait"/>
          <w:cols w:equalWidth="0" w:num="2">
            <w:col w:w="2440" w:space="720"/>
            <w:col w:w="774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ind w:right="180"/>
        <w:spacing w:after="0" w:line="257" w:lineRule="auto"/>
        <w:rPr>
          <w:sz w:val="20"/>
          <w:szCs w:val="20"/>
          <w:color w:val="auto"/>
        </w:rPr>
      </w:pPr>
      <w:r>
        <w:rPr>
          <w:rFonts w:ascii="Times New Roman" w:cs="Times New Roman" w:eastAsia="Times New Roman" w:hAnsi="Times New Roman"/>
          <w:sz w:val="18"/>
          <w:szCs w:val="18"/>
          <w:color w:val="auto"/>
        </w:rPr>
        <w:t>The RSUs shall vest with respect to 1/16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RSUs on each quarterly anniversary of the Vesting Commencement Date (each vesting tranche, a “</w:t>
      </w:r>
      <w:r>
        <w:rPr>
          <w:rFonts w:ascii="Times New Roman" w:cs="Times New Roman" w:eastAsia="Times New Roman" w:hAnsi="Times New Roman"/>
          <w:sz w:val="18"/>
          <w:szCs w:val="18"/>
          <w:b w:val="1"/>
          <w:bCs w:val="1"/>
          <w:i w:val="1"/>
          <w:iCs w:val="1"/>
          <w:color w:val="auto"/>
        </w:rPr>
        <w:t>Vesting Tranche</w:t>
      </w:r>
      <w:r>
        <w:rPr>
          <w:rFonts w:ascii="Times New Roman" w:cs="Times New Roman" w:eastAsia="Times New Roman" w:hAnsi="Times New Roman"/>
          <w:sz w:val="18"/>
          <w:szCs w:val="18"/>
          <w:color w:val="auto"/>
        </w:rPr>
        <w:t>”) over the four-year period following the Vesting Commencement Date, subject to Participant’s continued employment with the Company or a Subsidiary through the applicable vesting date.</w:t>
      </w:r>
    </w:p>
    <w:p>
      <w:pPr>
        <w:spacing w:after="0" w:line="182" w:lineRule="exact"/>
        <w:rPr>
          <w:sz w:val="20"/>
          <w:szCs w:val="20"/>
          <w:color w:val="auto"/>
        </w:rPr>
      </w:pPr>
    </w:p>
    <w:p>
      <w:pPr>
        <w:sectPr>
          <w:pgSz w:w="11900" w:h="16838" w:orient="portrait"/>
          <w:cols w:equalWidth="0" w:num="2">
            <w:col w:w="2440" w:space="720"/>
            <w:col w:w="7740"/>
          </w:cols>
          <w:pgMar w:left="500" w:top="117" w:right="499" w:bottom="1440" w:gutter="0" w:footer="0" w:header="0"/>
          <w:type w:val="continuous"/>
        </w:sect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By accepting (whether in writing, electronically or otherwise) the RSUs,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GOODRX HOLDINGS, INC.</w:t>
            </w:r>
          </w:p>
        </w:tc>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42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r>
        <w:trPr>
          <w:trHeight w:val="4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Borders>
              <w:bottom w:val="single" w:sz="8" w:color="auto"/>
            </w:tcBorders>
          </w:tcPr>
          <w:p>
            <w:pPr>
              <w:spacing w:after="0"/>
              <w:rPr>
                <w:sz w:val="24"/>
                <w:szCs w:val="24"/>
                <w:color w:val="auto"/>
              </w:rPr>
            </w:pPr>
          </w:p>
        </w:tc>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[Trevor Bezdek / Douglas Hirsch]</w:t>
            </w:r>
          </w:p>
        </w:tc>
      </w:tr>
      <w:tr>
        <w:trPr>
          <w:trHeight w:val="4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4"/>
                <w:szCs w:val="24"/>
                <w:color w:val="auto"/>
              </w:rPr>
            </w:pPr>
          </w:p>
        </w:tc>
      </w:tr>
    </w:tbl>
    <w:p>
      <w:pPr>
        <w:sectPr>
          <w:pgSz w:w="11900" w:h="16838" w:orient="portrait"/>
          <w:cols w:equalWidth="0" w:num="1">
            <w:col w:w="10900"/>
          </w:cols>
          <w:pgMar w:left="500" w:top="117" w:right="499" w:bottom="1440" w:gutter="0" w:footer="0" w:header="0"/>
          <w:type w:val="continuous"/>
        </w:sectPr>
      </w:pPr>
    </w:p>
    <w:bookmarkStart w:id="527" w:name="page528"/>
    <w:bookmarkEnd w:id="52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20" w:lineRule="exact"/>
        <w:rPr>
          <w:sz w:val="20"/>
          <w:szCs w:val="20"/>
          <w:color w:val="auto"/>
        </w:rPr>
      </w:pPr>
    </w:p>
    <w:p>
      <w:pPr>
        <w:ind w:right="240" w:firstLine="436"/>
        <w:spacing w:after="0" w:line="282" w:lineRule="auto"/>
        <w:rPr>
          <w:sz w:val="20"/>
          <w:szCs w:val="20"/>
          <w:color w:val="auto"/>
        </w:rPr>
      </w:pPr>
      <w:r>
        <w:rPr>
          <w:rFonts w:ascii="Times New Roman" w:cs="Times New Roman" w:eastAsia="Times New Roman" w:hAnsi="Times New Roman"/>
          <w:sz w:val="18"/>
          <w:szCs w:val="18"/>
          <w:color w:val="auto"/>
        </w:rPr>
        <w:t>Capitalized terms not specifically defined in this Restricted Stock Unit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have the meanings specified in the Grant Notice or, if not defined in the Grant Notice, in the Plan.</w:t>
      </w:r>
    </w:p>
    <w:p>
      <w:pPr>
        <w:spacing w:after="0" w:line="36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98" w:lineRule="exact"/>
        <w:rPr>
          <w:sz w:val="20"/>
          <w:szCs w:val="20"/>
          <w:color w:val="auto"/>
        </w:rPr>
      </w:pPr>
    </w:p>
    <w:p>
      <w:pPr>
        <w:ind w:right="80" w:firstLine="436"/>
        <w:spacing w:after="0" w:line="279"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Award of RSUs</w:t>
      </w:r>
      <w:r>
        <w:rPr>
          <w:rFonts w:ascii="Times New Roman" w:cs="Times New Roman" w:eastAsia="Times New Roman" w:hAnsi="Times New Roman"/>
          <w:sz w:val="17"/>
          <w:szCs w:val="17"/>
          <w:color w:val="auto"/>
        </w:rPr>
        <w:t>(a) . The Company has granted the RSUs to Participant effective as of the Grant Date set forth in the Grant Notice (the “</w:t>
      </w:r>
      <w:r>
        <w:rPr>
          <w:rFonts w:ascii="Times New Roman" w:cs="Times New Roman" w:eastAsia="Times New Roman" w:hAnsi="Times New Roman"/>
          <w:sz w:val="17"/>
          <w:szCs w:val="17"/>
          <w:b w:val="1"/>
          <w:bCs w:val="1"/>
          <w:i w:val="1"/>
          <w:iCs w:val="1"/>
          <w:color w:val="auto"/>
        </w:rPr>
        <w:t>Grant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Date</w:t>
      </w:r>
      <w:r>
        <w:rPr>
          <w:rFonts w:ascii="Times New Roman" w:cs="Times New Roman" w:eastAsia="Times New Roman" w:hAnsi="Times New Roman"/>
          <w:sz w:val="17"/>
          <w:szCs w:val="17"/>
          <w:color w:val="auto"/>
        </w:rPr>
        <w:t>”). Each RSU represents the right to receive one share of Class B Common Stock (each, a “</w:t>
      </w:r>
      <w:r>
        <w:rPr>
          <w:rFonts w:ascii="Times New Roman" w:cs="Times New Roman" w:eastAsia="Times New Roman" w:hAnsi="Times New Roman"/>
          <w:sz w:val="17"/>
          <w:szCs w:val="17"/>
          <w:b w:val="1"/>
          <w:bCs w:val="1"/>
          <w:i w:val="1"/>
          <w:iCs w:val="1"/>
          <w:color w:val="auto"/>
        </w:rPr>
        <w:t>Share</w:t>
      </w:r>
      <w:r>
        <w:rPr>
          <w:rFonts w:ascii="Times New Roman" w:cs="Times New Roman" w:eastAsia="Times New Roman" w:hAnsi="Times New Roman"/>
          <w:sz w:val="17"/>
          <w:szCs w:val="17"/>
          <w:color w:val="auto"/>
        </w:rPr>
        <w:t>”) as set forth in this Agreement; provided,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however, that Shares issuable and issued hereunder are subject to Section V.A.7 of the Charter regarding the conversion of shares of Class B Common Stock to Class A Common Stock. Participant will have no right to the distribution of any Shares until the time (if ever) the RSUs have vested.</w:t>
      </w:r>
    </w:p>
    <w:p>
      <w:pPr>
        <w:spacing w:after="0" w:line="57" w:lineRule="exact"/>
        <w:rPr>
          <w:sz w:val="20"/>
          <w:szCs w:val="20"/>
          <w:color w:val="auto"/>
        </w:rPr>
      </w:pPr>
    </w:p>
    <w:p>
      <w:pPr>
        <w:ind w:right="820" w:firstLine="436"/>
        <w:spacing w:after="0" w:line="308"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Incorporation of Terms of Plan</w:t>
      </w:r>
      <w:r>
        <w:rPr>
          <w:rFonts w:ascii="Times New Roman" w:cs="Times New Roman" w:eastAsia="Times New Roman" w:hAnsi="Times New Roman"/>
          <w:sz w:val="17"/>
          <w:szCs w:val="17"/>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33" w:lineRule="exact"/>
        <w:rPr>
          <w:sz w:val="20"/>
          <w:szCs w:val="20"/>
          <w:color w:val="auto"/>
        </w:rPr>
      </w:pPr>
    </w:p>
    <w:p>
      <w:pPr>
        <w:ind w:right="700" w:firstLine="436"/>
        <w:spacing w:after="0" w:line="277"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Unsecured Promise</w:t>
      </w:r>
      <w:r>
        <w:rPr>
          <w:rFonts w:ascii="Times New Roman" w:cs="Times New Roman" w:eastAsia="Times New Roman" w:hAnsi="Times New Roman"/>
          <w:sz w:val="18"/>
          <w:szCs w:val="18"/>
          <w:color w:val="auto"/>
        </w:rPr>
        <w:t>. The RSUs will at all times prior to settlement represent an unsecured Company obligation payable only from the Company’s general assets.</w:t>
      </w:r>
    </w:p>
    <w:p>
      <w:pPr>
        <w:spacing w:after="0" w:line="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w:t>
      </w:r>
    </w:p>
    <w:p>
      <w:pPr>
        <w:spacing w:after="0" w:line="110" w:lineRule="exact"/>
        <w:rPr>
          <w:sz w:val="20"/>
          <w:szCs w:val="20"/>
          <w:color w:val="auto"/>
        </w:rPr>
      </w:pPr>
    </w:p>
    <w:p>
      <w:pPr>
        <w:ind w:left="1220" w:hanging="245"/>
        <w:spacing w:after="0"/>
        <w:tabs>
          <w:tab w:leader="none" w:pos="122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Assumed</w:t>
      </w:r>
      <w:r>
        <w:rPr>
          <w:rFonts w:ascii="Times New Roman" w:cs="Times New Roman" w:eastAsia="Times New Roman" w:hAnsi="Times New Roman"/>
          <w:sz w:val="18"/>
          <w:szCs w:val="18"/>
          <w:color w:val="auto"/>
        </w:rPr>
        <w:t>” means that, with respect to the RSUs, an Assumption has occurred in connection with a Change in Control.</w:t>
      </w:r>
    </w:p>
    <w:p>
      <w:pPr>
        <w:spacing w:after="0" w:line="11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have the meaning set forth in the Employment Agreement, as in effect on the date hereof.</w:t>
      </w:r>
    </w:p>
    <w:p>
      <w:pPr>
        <w:spacing w:after="0" w:line="11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have the meaning set forth in the Employment Agreement, as in effect on the date hereof.</w:t>
      </w:r>
    </w:p>
    <w:p>
      <w:pPr>
        <w:spacing w:after="0" w:line="113" w:lineRule="exact"/>
        <w:rPr>
          <w:rFonts w:ascii="Times New Roman" w:cs="Times New Roman" w:eastAsia="Times New Roman" w:hAnsi="Times New Roman"/>
          <w:sz w:val="18"/>
          <w:szCs w:val="18"/>
          <w:color w:val="auto"/>
        </w:rPr>
      </w:pPr>
    </w:p>
    <w:p>
      <w:pPr>
        <w:ind w:right="320" w:firstLine="975"/>
        <w:spacing w:after="0" w:line="282" w:lineRule="auto"/>
        <w:tabs>
          <w:tab w:leader="none" w:pos="1233"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Employment Agreement</w:t>
      </w:r>
      <w:r>
        <w:rPr>
          <w:rFonts w:ascii="Times New Roman" w:cs="Times New Roman" w:eastAsia="Times New Roman" w:hAnsi="Times New Roman"/>
          <w:sz w:val="18"/>
          <w:szCs w:val="18"/>
          <w:color w:val="auto"/>
        </w:rPr>
        <w:t>” shall mean that certain Amended and Restated Employment Agreement by and between Participant and GoodRx, Inc., dated as of [____], 2020.</w:t>
      </w:r>
    </w:p>
    <w:p>
      <w:pPr>
        <w:spacing w:after="0" w:line="47"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shall have the meaning set forth in the Employment Agreement, as in effect on the date hereof.</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VESTING; FORFEITURE AND SETTLEMENT</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Vesting; Forfeiture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0" w:firstLine="975"/>
        <w:spacing w:after="0" w:line="277" w:lineRule="auto"/>
        <w:tabs>
          <w:tab w:leader="none" w:pos="1223"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2.1(b)-(c), the RSUs will vest according to the vesting schedule in the Grant Notice except that any fraction of an RSU that would otherwise be vested will be accumulated and will vest only when a whole RSU has accumulated.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500" w:top="264" w:right="499" w:bottom="1440" w:gutter="0" w:footer="0" w:header="0"/>
        </w:sectPr>
      </w:pPr>
    </w:p>
    <w:bookmarkStart w:id="528" w:name="page529"/>
    <w:bookmarkEnd w:id="528"/>
    <w:p>
      <w:pPr>
        <w:ind w:firstLine="975"/>
        <w:spacing w:after="0" w:line="252" w:lineRule="auto"/>
        <w:tabs>
          <w:tab w:leader="none" w:pos="1233"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If (i) a Change in Control occurs, (ii) Participant remains in continued employment until, and any RSUs remain outstanding as of, immediately prior to the Change in Control, then a number of RSUs shall vest (as of immediately prior to the Change in Control) equal to the lesser of 25% of the total number of RSUs (the “</w:t>
      </w:r>
      <w:r>
        <w:rPr>
          <w:rFonts w:ascii="Times New Roman" w:cs="Times New Roman" w:eastAsia="Times New Roman" w:hAnsi="Times New Roman"/>
          <w:sz w:val="18"/>
          <w:szCs w:val="18"/>
          <w:b w:val="1"/>
          <w:bCs w:val="1"/>
          <w:i w:val="1"/>
          <w:iCs w:val="1"/>
          <w:color w:val="auto"/>
        </w:rPr>
        <w:t>Accelerated RSUs</w:t>
      </w:r>
      <w:r>
        <w:rPr>
          <w:rFonts w:ascii="Times New Roman" w:cs="Times New Roman" w:eastAsia="Times New Roman" w:hAnsi="Times New Roman"/>
          <w:sz w:val="18"/>
          <w:szCs w:val="18"/>
          <w:color w:val="auto"/>
        </w:rPr>
        <w:t>”) and the number of RSUs that remain outstanding as of immediately prior to such Change in Control. In addition, in the event the RSUs are Assumed in connection with such Change in Control, then the Accelerated RSUs shall be from the final Vesting Tranche, such that the remaining vesting period for the RSUs shall end, and the RSUs shall be fully vested as of, the third anniversary of the Vesting Commencement Date. For the avoidance of doubt, in that event each remaining Vesting Tranche shall continue to represent 1/16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total number of RSUs.</w:t>
      </w:r>
    </w:p>
    <w:p>
      <w:pPr>
        <w:spacing w:after="0" w:line="81" w:lineRule="exact"/>
        <w:rPr>
          <w:rFonts w:ascii="Times New Roman" w:cs="Times New Roman" w:eastAsia="Times New Roman" w:hAnsi="Times New Roman"/>
          <w:sz w:val="18"/>
          <w:szCs w:val="18"/>
          <w:color w:val="auto"/>
        </w:rPr>
      </w:pPr>
    </w:p>
    <w:p>
      <w:pPr>
        <w:ind w:right="80" w:firstLine="975"/>
        <w:spacing w:after="0" w:line="252" w:lineRule="auto"/>
        <w:tabs>
          <w:tab w:leader="none" w:pos="1223"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Participant’s termination of employment by the Company without Cause or by Participant for Good Reason, in either case, a number of RSUs shall vest equal to the lesser of (i) 50% of the total number of RSUs and (ii) the number of RSUs that remain outstanding as of immediately prior to such termination of employment; provided, however, that in the event either such termination occurs on or within 12 months following a Change in Control, all then-outstanding RSUs shall vest. In addition, in the event of Participant’s termination of employment due to Participant’s death or Disability, then 1/16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total number of RSUs will vest. The accelerated vesting in this Section 2.1(c) is subject to Participant’s (or Participant’s estate) timely execution and non-revocation of a general release of claims substantially in the form attached to the Employment Agreement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To the extent any RSUs have not become vested prior to or in connection with any such termination of employment, such RSUs automatically will be forfeited and terminated as of the termination date without consideration therefor.</w:t>
      </w:r>
    </w:p>
    <w:p>
      <w:pPr>
        <w:spacing w:after="0" w:line="78" w:lineRule="exact"/>
        <w:rPr>
          <w:rFonts w:ascii="Times New Roman" w:cs="Times New Roman" w:eastAsia="Times New Roman" w:hAnsi="Times New Roman"/>
          <w:sz w:val="18"/>
          <w:szCs w:val="18"/>
          <w:color w:val="auto"/>
        </w:rPr>
      </w:pPr>
    </w:p>
    <w:p>
      <w:pPr>
        <w:ind w:firstLine="975"/>
        <w:spacing w:after="0" w:line="262" w:lineRule="auto"/>
        <w:tabs>
          <w:tab w:leader="none" w:pos="1233"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Participant’s termination of employment for any reason other than as set forth in Section 2.1(c), all then-unvested RSUs automatically will be forfeited and terminated without consideration therefor, except as otherwise determined by the Administrator or provided in a binding written agreement between Participant and the Company.</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975"/>
        <w:spacing w:after="0" w:line="252" w:lineRule="auto"/>
        <w:tabs>
          <w:tab w:leader="none" w:pos="1223"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will be paid in Shares on or within 30 days following the applicable vesting date (or, with respect to RSUs that become vested upon a termination of employment, within 15 days following the effective date of the Release); provided, however, that in the event that the Administrator reasonably determines that the Company shall not be able to effectuate a Net Settlement (as defined below) with respect to some or all of such RSUs due to insufficient cash at the Company, then the parties agree to cooperate in good faith to determine a mutually agreeable solution in accordance with Section 409A. Notwithstanding the foregoing, if the vesting and payment of a RSU is subject to execution of the Release, and such Release may be executed and/or revoked in a calendar year following the calendar year in which the payment event occurs, the payment shall be made in the calendar year in which the release revocation period ends, to the extent necessary to comply with Section 409A.</w:t>
      </w:r>
    </w:p>
    <w:p>
      <w:pPr>
        <w:spacing w:after="0" w:line="81" w:lineRule="exact"/>
        <w:rPr>
          <w:rFonts w:ascii="Times New Roman" w:cs="Times New Roman" w:eastAsia="Times New Roman" w:hAnsi="Times New Roman"/>
          <w:sz w:val="18"/>
          <w:szCs w:val="18"/>
          <w:color w:val="auto"/>
        </w:rPr>
      </w:pPr>
    </w:p>
    <w:p>
      <w:pPr>
        <w:jc w:val="both"/>
        <w:ind w:right="40" w:firstLine="975"/>
        <w:spacing w:after="0" w:line="257" w:lineRule="auto"/>
        <w:tabs>
          <w:tab w:leader="none" w:pos="1233"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TAXATION AND TAX WITHHOLDING</w:t>
      </w:r>
    </w:p>
    <w:p>
      <w:pPr>
        <w:spacing w:after="0" w:line="202" w:lineRule="exact"/>
        <w:rPr>
          <w:sz w:val="20"/>
          <w:szCs w:val="20"/>
          <w:color w:val="auto"/>
        </w:rPr>
      </w:pPr>
    </w:p>
    <w:p>
      <w:pPr>
        <w:ind w:right="60" w:firstLine="436"/>
        <w:spacing w:after="0" w:line="26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w:t>
      </w:r>
      <w:r>
        <w:rPr>
          <w:rFonts w:ascii="Times New Roman" w:cs="Times New Roman" w:eastAsia="Times New Roman" w:hAnsi="Times New Roman"/>
          <w:sz w:val="18"/>
          <w:szCs w:val="18"/>
          <w:color w:val="auto"/>
        </w:rPr>
        <w:t>. Participant represents to the Company that Participant has reviewed with Participant’s own tax advisors the tax consequences of this award of RSUs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and the transactions contemplated by the Grant Notice and this Agreement. Participant is relying solely on such advisors and not on any statements or representations of the Company or any of its agents.</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500" w:top="268" w:right="559" w:bottom="1440" w:gutter="0" w:footer="0" w:header="0"/>
        </w:sectPr>
      </w:pPr>
    </w:p>
    <w:bookmarkStart w:id="529" w:name="page530"/>
    <w:bookmarkEnd w:id="529"/>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5">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60" w:firstLine="975"/>
        <w:spacing w:after="0" w:line="255" w:lineRule="auto"/>
        <w:tabs>
          <w:tab w:leader="none" w:pos="1223"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withhold, or cause to be withheld, Shares otherwise vesting or issuable under this Award in satisfaction of any applicable withholding tax obligations (a “</w:t>
      </w:r>
      <w:r>
        <w:rPr>
          <w:rFonts w:ascii="Times New Roman" w:cs="Times New Roman" w:eastAsia="Times New Roman" w:hAnsi="Times New Roman"/>
          <w:sz w:val="18"/>
          <w:szCs w:val="18"/>
          <w:b w:val="1"/>
          <w:bCs w:val="1"/>
          <w:i w:val="1"/>
          <w:iCs w:val="1"/>
          <w:color w:val="auto"/>
        </w:rPr>
        <w:t>Net Settlement</w:t>
      </w:r>
      <w:r>
        <w:rPr>
          <w:rFonts w:ascii="Times New Roman" w:cs="Times New Roman" w:eastAsia="Times New Roman" w:hAnsi="Times New Roman"/>
          <w:sz w:val="18"/>
          <w:szCs w:val="18"/>
          <w:color w:val="auto"/>
        </w:rPr>
        <w:t>”). The number of Shares which may be so withheld or surrendered shall be limited to the number of Shares which have a Fair Market Value on the date of withholding no greater than the aggregate amount of such liabilities based on the maximum individual statutory withholding rates in Participant’s applicable jurisdictions for federal, state, local and foreign income tax and payroll tax purposes that are applicable to such taxable income.</w:t>
      </w:r>
    </w:p>
    <w:p>
      <w:pPr>
        <w:spacing w:after="0" w:line="75" w:lineRule="exact"/>
        <w:rPr>
          <w:rFonts w:ascii="Times New Roman" w:cs="Times New Roman" w:eastAsia="Times New Roman" w:hAnsi="Times New Roman"/>
          <w:sz w:val="18"/>
          <w:szCs w:val="18"/>
          <w:color w:val="auto"/>
        </w:rPr>
      </w:pPr>
    </w:p>
    <w:p>
      <w:pPr>
        <w:ind w:firstLine="975"/>
        <w:spacing w:after="0" w:line="255" w:lineRule="auto"/>
        <w:tabs>
          <w:tab w:leader="none" w:pos="1233"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its Subsidiaries do not commit and are under no obligation to structure the RSUs to reduce or eliminate Participant’s tax liability.</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02" w:lineRule="exact"/>
        <w:rPr>
          <w:sz w:val="20"/>
          <w:szCs w:val="20"/>
          <w:color w:val="auto"/>
        </w:rPr>
      </w:pPr>
    </w:p>
    <w:p>
      <w:pPr>
        <w:ind w:right="660" w:firstLine="436"/>
        <w:spacing w:after="0" w:line="277"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Participant acknowledges that the RSUs and the Shares subject to the RSUs are subject to adjustment, modification and termination in certain events as provided in this Agreement and the Plan.</w:t>
      </w:r>
    </w:p>
    <w:p>
      <w:pPr>
        <w:spacing w:after="0" w:line="57" w:lineRule="exact"/>
        <w:rPr>
          <w:sz w:val="20"/>
          <w:szCs w:val="20"/>
          <w:color w:val="auto"/>
        </w:rPr>
      </w:pPr>
    </w:p>
    <w:p>
      <w:pPr>
        <w:ind w:right="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Notwithstanding Section 10.13 of the Plan, the RSUs and the Shares issuable hereunder shall be subject to any clawback or recoupment policy in effect on the Grant Date or as may be adopted or maintained by the Company to the extent required in order to comply with Applicable Law, including the Dodd-Frank Wall Street Reform and Consumer Protection Act and any rules or regulations promulgated thereunder. For clarity, this Section 4.2 shall supersede Section 10.13 of the Plan with respect to the RSUs and the Shares issuable hereunder. The Company and Participant acknowledge that neither this Section 4.2 nor Section 10.13 of the Plan are intended to limit any clawback and/or disgorgement of the RSUs and/or the Shares issuable hereunder pursuant to Section 304 of the Sarbanes-Oxley Act of 2002.</w:t>
      </w:r>
    </w:p>
    <w:p>
      <w:pPr>
        <w:spacing w:after="0" w:line="80" w:lineRule="exact"/>
        <w:rPr>
          <w:sz w:val="20"/>
          <w:szCs w:val="20"/>
          <w:color w:val="auto"/>
        </w:rPr>
      </w:pPr>
    </w:p>
    <w:p>
      <w:pPr>
        <w:ind w:right="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114" w:lineRule="exact"/>
        <w:rPr>
          <w:sz w:val="20"/>
          <w:szCs w:val="20"/>
          <w:color w:val="auto"/>
        </w:rPr>
      </w:pPr>
    </w:p>
    <w:p>
      <w:pPr>
        <w:jc w:val="both"/>
        <w:ind w:right="180" w:firstLine="436"/>
        <w:spacing w:after="0" w:line="26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500" w:top="267" w:right="539" w:bottom="1440" w:gutter="0" w:footer="0" w:header="0"/>
        </w:sectPr>
      </w:pPr>
    </w:p>
    <w:bookmarkStart w:id="530" w:name="page531"/>
    <w:bookmarkEnd w:id="530"/>
    <w:p>
      <w:pPr>
        <w:jc w:val="both"/>
        <w:ind w:right="20" w:firstLine="436"/>
        <w:spacing w:after="0" w:line="28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4.6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this Agreement to a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59" w:lineRule="exact"/>
        <w:rPr>
          <w:sz w:val="20"/>
          <w:szCs w:val="20"/>
          <w:color w:val="auto"/>
        </w:rPr>
      </w:pPr>
    </w:p>
    <w:p>
      <w:pPr>
        <w:ind w:right="180" w:firstLine="436"/>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83" w:lineRule="exact"/>
        <w:rPr>
          <w:sz w:val="20"/>
          <w:szCs w:val="20"/>
          <w:color w:val="auto"/>
        </w:rPr>
      </w:pPr>
    </w:p>
    <w:p>
      <w:pPr>
        <w:ind w:right="120" w:firstLine="436"/>
        <w:spacing w:after="0" w:line="277"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63" w:lineRule="exact"/>
        <w:rPr>
          <w:sz w:val="20"/>
          <w:szCs w:val="20"/>
          <w:color w:val="auto"/>
        </w:rPr>
      </w:pPr>
    </w:p>
    <w:p>
      <w:pPr>
        <w:ind w:right="100" w:firstLine="436"/>
        <w:spacing w:after="0" w:line="26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77"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cash or the Shares as a general unsecured creditor with respect to the RSUs, as and when settled pursuant to the terms of this Agreement.</w:t>
      </w:r>
    </w:p>
    <w:p>
      <w:pPr>
        <w:spacing w:after="0" w:line="183" w:lineRule="exact"/>
        <w:rPr>
          <w:sz w:val="20"/>
          <w:szCs w:val="20"/>
          <w:color w:val="auto"/>
        </w:rPr>
      </w:pPr>
    </w:p>
    <w:p>
      <w:pPr>
        <w:ind w:right="80" w:firstLine="436"/>
        <w:spacing w:after="0" w:line="257"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2" w:lineRule="exact"/>
        <w:rPr>
          <w:sz w:val="20"/>
          <w:szCs w:val="20"/>
          <w:color w:val="auto"/>
        </w:rPr>
      </w:pPr>
    </w:p>
    <w:p>
      <w:pPr>
        <w:ind w:right="560" w:firstLine="436"/>
        <w:spacing w:after="0" w:line="277"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500" w:top="268" w:right="499" w:bottom="1440" w:gutter="0" w:footer="0" w:header="0"/>
        </w:sectPr>
      </w:pPr>
    </w:p>
    <w:bookmarkStart w:id="531" w:name="page532"/>
    <w:bookmarkEnd w:id="531"/>
    <w:p>
      <w:pPr>
        <w:jc w:val="right"/>
        <w:spacing w:after="0"/>
        <w:rPr>
          <w:sz w:val="20"/>
          <w:szCs w:val="20"/>
          <w:color w:val="auto"/>
        </w:rPr>
      </w:pPr>
      <w:r>
        <w:rPr>
          <w:rFonts w:ascii="Times New Roman" w:cs="Times New Roman" w:eastAsia="Times New Roman" w:hAnsi="Times New Roman"/>
          <w:sz w:val="18"/>
          <w:szCs w:val="18"/>
          <w:b w:val="1"/>
          <w:bCs w:val="1"/>
          <w:color w:val="auto"/>
        </w:rPr>
        <w:t>Exhibit 10.3.4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168910</wp:posOffset>
            </wp:positionV>
            <wp:extent cx="6925945" cy="48768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7">
                      <a:extLst>
                        <a:ext uri="{28A0092B-C50C-407E-A947-70E740481C1C}"/>
                      </a:extLst>
                    </a:blip>
                    <a:srcRect/>
                    <a:stretch>
                      <a:fillRect/>
                    </a:stretch>
                  </pic:blipFill>
                  <pic:spPr bwMode="auto">
                    <a:xfrm>
                      <a:off x="0" y="0"/>
                      <a:ext cx="6925945" cy="487680"/>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INCENTIVE AWARD PLAN</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GRANT NOTICE (PERFORMANCE-VESTING)</w:t>
      </w:r>
    </w:p>
    <w:p>
      <w:pPr>
        <w:spacing w:after="0" w:line="220" w:lineRule="exact"/>
        <w:rPr>
          <w:sz w:val="20"/>
          <w:szCs w:val="20"/>
          <w:color w:val="auto"/>
        </w:rPr>
      </w:pPr>
    </w:p>
    <w:p>
      <w:pPr>
        <w:ind w:right="80" w:firstLine="436"/>
        <w:spacing w:after="0" w:line="254" w:lineRule="auto"/>
        <w:rPr>
          <w:sz w:val="20"/>
          <w:szCs w:val="20"/>
          <w:color w:val="auto"/>
        </w:rPr>
      </w:pPr>
      <w:r>
        <w:rPr>
          <w:rFonts w:ascii="Times New Roman" w:cs="Times New Roman" w:eastAsia="Times New Roman" w:hAnsi="Times New Roman"/>
          <w:sz w:val="18"/>
          <w:szCs w:val="18"/>
          <w:color w:val="auto"/>
        </w:rPr>
        <w:t>GoodRx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the participant listed below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Restricted Stock Units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described in this Restricted Stock Unit Grant Notice (this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subject to the terms and conditions of the GoodRx Holdings, Inc. 2020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the Performance-Based Restricted Stock Unit Agreement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and the Vesting Schedule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(Exhibits A and B, collectively,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all of which are incorporated into this Grant Notice by reference. Capitalized terms not specifically defined in this Grant Notice or the Agreement have the meanings given to them in the Plan.</w:t>
      </w:r>
    </w:p>
    <w:p>
      <w:pPr>
        <w:sectPr>
          <w:pgSz w:w="11900" w:h="16838" w:orient="portrait"/>
          <w:cols w:equalWidth="0" w:num="1">
            <w:col w:w="10900"/>
          </w:cols>
          <w:pgMar w:left="500" w:top="117" w:right="499" w:bottom="1440" w:gutter="0" w:footer="0" w:header="0"/>
        </w:sect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[Trevor Bezdek / Douglas Hirsch]</w:t>
      </w:r>
    </w:p>
    <w:p>
      <w:pPr>
        <w:spacing w:after="0" w:line="121" w:lineRule="exact"/>
        <w:rPr>
          <w:sz w:val="20"/>
          <w:szCs w:val="20"/>
          <w:color w:val="auto"/>
        </w:rPr>
      </w:pPr>
    </w:p>
    <w:p>
      <w:pPr>
        <w:sectPr>
          <w:pgSz w:w="11900" w:h="16838" w:orient="portrait"/>
          <w:cols w:equalWidth="0" w:num="2">
            <w:col w:w="3100" w:space="720"/>
            <w:col w:w="708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w:t>
      </w:r>
    </w:p>
    <w:p>
      <w:pPr>
        <w:spacing w:after="0" w:line="121" w:lineRule="exact"/>
        <w:rPr>
          <w:sz w:val="20"/>
          <w:szCs w:val="20"/>
          <w:color w:val="auto"/>
        </w:rPr>
      </w:pPr>
    </w:p>
    <w:p>
      <w:pPr>
        <w:sectPr>
          <w:pgSz w:w="11900" w:h="16838" w:orient="portrait"/>
          <w:cols w:equalWidth="0" w:num="2">
            <w:col w:w="3100" w:space="720"/>
            <w:col w:w="708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Will refer to seven-year anniversary of Grant Date</w:t>
      </w:r>
      <w:r>
        <w:rPr>
          <w:rFonts w:ascii="Times New Roman" w:cs="Times New Roman" w:eastAsia="Times New Roman" w:hAnsi="Times New Roman"/>
          <w:sz w:val="17"/>
          <w:szCs w:val="17"/>
          <w:color w:val="auto"/>
        </w:rPr>
        <w:t>]</w:t>
      </w:r>
    </w:p>
    <w:p>
      <w:pPr>
        <w:spacing w:after="0" w:line="123" w:lineRule="exact"/>
        <w:rPr>
          <w:sz w:val="20"/>
          <w:szCs w:val="20"/>
          <w:color w:val="auto"/>
        </w:rPr>
      </w:pPr>
    </w:p>
    <w:p>
      <w:pPr>
        <w:sectPr>
          <w:pgSz w:w="11900" w:h="16838" w:orient="portrait"/>
          <w:cols w:equalWidth="0" w:num="2">
            <w:col w:w="3100" w:space="720"/>
            <w:col w:w="708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8,211,022</w:t>
      </w:r>
    </w:p>
    <w:p>
      <w:pPr>
        <w:spacing w:after="0" w:line="121" w:lineRule="exact"/>
        <w:rPr>
          <w:sz w:val="20"/>
          <w:szCs w:val="20"/>
          <w:color w:val="auto"/>
        </w:rPr>
      </w:pPr>
    </w:p>
    <w:p>
      <w:pPr>
        <w:sectPr>
          <w:pgSz w:w="11900" w:h="16838" w:orient="portrait"/>
          <w:cols w:equalWidth="0" w:num="2">
            <w:col w:w="3100" w:space="720"/>
            <w:col w:w="708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Type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Class B Common Stock</w:t>
      </w:r>
    </w:p>
    <w:p>
      <w:pPr>
        <w:spacing w:after="0" w:line="121" w:lineRule="exact"/>
        <w:rPr>
          <w:sz w:val="20"/>
          <w:szCs w:val="20"/>
          <w:color w:val="auto"/>
        </w:rPr>
      </w:pPr>
    </w:p>
    <w:p>
      <w:pPr>
        <w:sectPr>
          <w:pgSz w:w="11900" w:h="16838" w:orient="portrait"/>
          <w:cols w:equalWidth="0" w:num="2">
            <w:col w:w="3100" w:space="720"/>
            <w:col w:w="708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Exhibit B</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3100" w:space="720"/>
            <w:col w:w="7080"/>
          </w:cols>
          <w:pgMar w:left="500" w:top="117" w:right="499" w:bottom="1440" w:gutter="0" w:footer="0" w:header="0"/>
          <w:type w:val="continuous"/>
        </w:sectPr>
      </w:pPr>
    </w:p>
    <w:p>
      <w:pPr>
        <w:spacing w:after="0" w:line="36"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By accepting (whether in writing, electronically or otherwise) the RSUs,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GOODRX HOLDINGS, INC.</w:t>
            </w:r>
          </w:p>
        </w:tc>
        <w:tc>
          <w:tcPr>
            <w:tcW w:w="554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46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r>
        <w:trPr>
          <w:trHeight w:val="32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00" w:type="dxa"/>
            <w:vAlign w:val="bottom"/>
            <w:tcBorders>
              <w:bottom w:val="single" w:sz="8" w:color="auto"/>
            </w:tcBorders>
          </w:tcPr>
          <w:p>
            <w:pPr>
              <w:spacing w:after="0"/>
              <w:rPr>
                <w:sz w:val="24"/>
                <w:szCs w:val="24"/>
                <w:color w:val="auto"/>
              </w:rPr>
            </w:pPr>
          </w:p>
        </w:tc>
        <w:tc>
          <w:tcPr>
            <w:tcW w:w="55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[Trevor Bezdek / Douglas Hirsch]</w:t>
            </w:r>
          </w:p>
        </w:tc>
      </w:tr>
      <w:tr>
        <w:trPr>
          <w:trHeight w:val="32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0900"/>
          </w:cols>
          <w:pgMar w:left="500" w:top="117" w:right="499" w:bottom="1440" w:gutter="0" w:footer="0" w:header="0"/>
          <w:type w:val="continuous"/>
        </w:sectPr>
      </w:pPr>
    </w:p>
    <w:bookmarkStart w:id="532" w:name="page533"/>
    <w:bookmarkEnd w:id="53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 AGREEMENT</w:t>
      </w:r>
    </w:p>
    <w:p>
      <w:pPr>
        <w:spacing w:after="0" w:line="220" w:lineRule="exact"/>
        <w:rPr>
          <w:sz w:val="20"/>
          <w:szCs w:val="20"/>
          <w:color w:val="auto"/>
        </w:rPr>
      </w:pPr>
    </w:p>
    <w:p>
      <w:pPr>
        <w:ind w:right="360" w:firstLine="436"/>
        <w:spacing w:after="0" w:line="282" w:lineRule="auto"/>
        <w:rPr>
          <w:sz w:val="20"/>
          <w:szCs w:val="20"/>
          <w:color w:val="auto"/>
        </w:rPr>
      </w:pPr>
      <w:r>
        <w:rPr>
          <w:rFonts w:ascii="Times New Roman" w:cs="Times New Roman" w:eastAsia="Times New Roman" w:hAnsi="Times New Roman"/>
          <w:sz w:val="18"/>
          <w:szCs w:val="18"/>
          <w:color w:val="auto"/>
        </w:rPr>
        <w:t>Capitalized terms not specifically defined in this Performance-Based Restricted Stock Unit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have the meanings specified in the Grant Notice or, if not defined in the Grant Notice, in the Plan.</w:t>
      </w:r>
    </w:p>
    <w:p>
      <w:pPr>
        <w:spacing w:after="0" w:line="36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1" w:lineRule="exact"/>
        <w:rPr>
          <w:sz w:val="20"/>
          <w:szCs w:val="20"/>
          <w:color w:val="auto"/>
        </w:rPr>
      </w:pPr>
    </w:p>
    <w:p>
      <w:pPr>
        <w:ind w:right="80" w:firstLine="436"/>
        <w:spacing w:after="0" w:line="279"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Award of RSUs</w:t>
      </w:r>
      <w:r>
        <w:rPr>
          <w:rFonts w:ascii="Times New Roman" w:cs="Times New Roman" w:eastAsia="Times New Roman" w:hAnsi="Times New Roman"/>
          <w:sz w:val="17"/>
          <w:szCs w:val="17"/>
          <w:color w:val="auto"/>
        </w:rPr>
        <w:t>(a) . The Company has granted the RSUs to Participant effective as of the Grant Date set forth in the Grant Notice (the “</w:t>
      </w:r>
      <w:r>
        <w:rPr>
          <w:rFonts w:ascii="Times New Roman" w:cs="Times New Roman" w:eastAsia="Times New Roman" w:hAnsi="Times New Roman"/>
          <w:sz w:val="17"/>
          <w:szCs w:val="17"/>
          <w:b w:val="1"/>
          <w:bCs w:val="1"/>
          <w:i w:val="1"/>
          <w:iCs w:val="1"/>
          <w:color w:val="auto"/>
        </w:rPr>
        <w:t>Grant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Date</w:t>
      </w:r>
      <w:r>
        <w:rPr>
          <w:rFonts w:ascii="Times New Roman" w:cs="Times New Roman" w:eastAsia="Times New Roman" w:hAnsi="Times New Roman"/>
          <w:sz w:val="17"/>
          <w:szCs w:val="17"/>
          <w:color w:val="auto"/>
        </w:rPr>
        <w:t>”). Each RSU represents the right to receive one share of Class B Common Stock (each, a “</w:t>
      </w:r>
      <w:r>
        <w:rPr>
          <w:rFonts w:ascii="Times New Roman" w:cs="Times New Roman" w:eastAsia="Times New Roman" w:hAnsi="Times New Roman"/>
          <w:sz w:val="17"/>
          <w:szCs w:val="17"/>
          <w:b w:val="1"/>
          <w:bCs w:val="1"/>
          <w:i w:val="1"/>
          <w:iCs w:val="1"/>
          <w:color w:val="auto"/>
        </w:rPr>
        <w:t>Share</w:t>
      </w:r>
      <w:r>
        <w:rPr>
          <w:rFonts w:ascii="Times New Roman" w:cs="Times New Roman" w:eastAsia="Times New Roman" w:hAnsi="Times New Roman"/>
          <w:sz w:val="17"/>
          <w:szCs w:val="17"/>
          <w:color w:val="auto"/>
        </w:rPr>
        <w:t>”) as set forth in this Agreement; provided,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however, that Shares issuable and issued hereunder are subject to Section V.A.7 of the Charter regarding the conversion of shares of Class B Common Stock to Class A Common Stock. Participant will have no right to the distribution of any Shares until the time (if ever) the RSUs have vested.</w:t>
      </w:r>
    </w:p>
    <w:p>
      <w:pPr>
        <w:spacing w:after="0" w:line="57" w:lineRule="exact"/>
        <w:rPr>
          <w:sz w:val="20"/>
          <w:szCs w:val="20"/>
          <w:color w:val="auto"/>
        </w:rPr>
      </w:pPr>
    </w:p>
    <w:p>
      <w:pPr>
        <w:ind w:right="100" w:firstLine="436"/>
        <w:spacing w:after="0" w:line="26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RSUs are subject to the terms and conditions set forth in this Agreement and the Plan, which is incorporated herein by reference. Except as expressly set forth herein, in the event of any inconsistency between the Plan and this Agreement, the terms of the Plan will control.</w:t>
      </w:r>
    </w:p>
    <w:p>
      <w:pPr>
        <w:spacing w:after="0" w:line="70" w:lineRule="exact"/>
        <w:rPr>
          <w:sz w:val="20"/>
          <w:szCs w:val="20"/>
          <w:color w:val="auto"/>
        </w:rPr>
      </w:pPr>
    </w:p>
    <w:p>
      <w:pPr>
        <w:ind w:right="700" w:firstLine="436"/>
        <w:spacing w:after="0" w:line="277"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Unsecured Promise</w:t>
      </w:r>
      <w:r>
        <w:rPr>
          <w:rFonts w:ascii="Times New Roman" w:cs="Times New Roman" w:eastAsia="Times New Roman" w:hAnsi="Times New Roman"/>
          <w:sz w:val="18"/>
          <w:szCs w:val="18"/>
          <w:color w:val="auto"/>
        </w:rPr>
        <w:t>. The RSUs will at all times prior to settlement represent an unsecured Company obligation payable only from the Company’s general assets.</w:t>
      </w:r>
    </w:p>
    <w:p>
      <w:pPr>
        <w:spacing w:after="0" w:line="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w:t>
      </w:r>
    </w:p>
    <w:p>
      <w:pPr>
        <w:spacing w:after="0" w:line="110" w:lineRule="exact"/>
        <w:rPr>
          <w:sz w:val="20"/>
          <w:szCs w:val="20"/>
          <w:color w:val="auto"/>
        </w:rPr>
      </w:pPr>
    </w:p>
    <w:p>
      <w:pPr>
        <w:ind w:left="1220" w:hanging="245"/>
        <w:spacing w:after="0"/>
        <w:tabs>
          <w:tab w:leader="none" w:pos="122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Assumed</w:t>
      </w:r>
      <w:r>
        <w:rPr>
          <w:rFonts w:ascii="Times New Roman" w:cs="Times New Roman" w:eastAsia="Times New Roman" w:hAnsi="Times New Roman"/>
          <w:sz w:val="18"/>
          <w:szCs w:val="18"/>
          <w:color w:val="auto"/>
        </w:rPr>
        <w:t>” means that, with respect to the RSUs, an Assumption has occurred in connection with a Change in Control.</w:t>
      </w:r>
    </w:p>
    <w:p>
      <w:pPr>
        <w:spacing w:after="0" w:line="11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have the meaning set forth in the Employment Agreement, as in effect on the date hereof.</w:t>
      </w:r>
    </w:p>
    <w:p>
      <w:pPr>
        <w:spacing w:after="0" w:line="11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have the meaning set forth in the Plan, but shall exclude a Non-Transactional Change in Control.</w:t>
      </w:r>
    </w:p>
    <w:p>
      <w:pPr>
        <w:spacing w:after="0" w:line="11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have the meaning set forth in the Employment Agreement, as in effect on the date hereof.</w:t>
      </w:r>
    </w:p>
    <w:p>
      <w:pPr>
        <w:spacing w:after="0" w:line="113" w:lineRule="exact"/>
        <w:rPr>
          <w:rFonts w:ascii="Times New Roman" w:cs="Times New Roman" w:eastAsia="Times New Roman" w:hAnsi="Times New Roman"/>
          <w:sz w:val="18"/>
          <w:szCs w:val="18"/>
          <w:color w:val="auto"/>
        </w:rPr>
      </w:pPr>
    </w:p>
    <w:p>
      <w:pPr>
        <w:ind w:right="320" w:firstLine="975"/>
        <w:spacing w:after="0" w:line="282" w:lineRule="auto"/>
        <w:tabs>
          <w:tab w:leader="none" w:pos="1223"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Employment Agreement</w:t>
      </w:r>
      <w:r>
        <w:rPr>
          <w:rFonts w:ascii="Times New Roman" w:cs="Times New Roman" w:eastAsia="Times New Roman" w:hAnsi="Times New Roman"/>
          <w:sz w:val="18"/>
          <w:szCs w:val="18"/>
          <w:color w:val="auto"/>
        </w:rPr>
        <w:t>” shall mean that certain Amended and Restated Employment Agreement by and between Participant and GoodRx, Inc., dated as of [____], 2020.</w:t>
      </w:r>
    </w:p>
    <w:p>
      <w:pPr>
        <w:spacing w:after="0" w:line="47" w:lineRule="exact"/>
        <w:rPr>
          <w:rFonts w:ascii="Times New Roman" w:cs="Times New Roman" w:eastAsia="Times New Roman" w:hAnsi="Times New Roman"/>
          <w:sz w:val="18"/>
          <w:szCs w:val="18"/>
          <w:color w:val="auto"/>
        </w:rPr>
      </w:pPr>
    </w:p>
    <w:p>
      <w:pPr>
        <w:ind w:left="1200" w:hanging="225"/>
        <w:spacing w:after="0"/>
        <w:tabs>
          <w:tab w:leader="none" w:pos="120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shall have the meaning set forth in the Employment Agreement, as in effect on the date hereof.</w:t>
      </w:r>
    </w:p>
    <w:p>
      <w:pPr>
        <w:spacing w:after="0" w:line="11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Qualifying Termination</w:t>
      </w:r>
      <w:r>
        <w:rPr>
          <w:rFonts w:ascii="Times New Roman" w:cs="Times New Roman" w:eastAsia="Times New Roman" w:hAnsi="Times New Roman"/>
          <w:sz w:val="17"/>
          <w:szCs w:val="17"/>
          <w:color w:val="auto"/>
        </w:rPr>
        <w:t>” means a termination of Participant’s employment by the Company without Cause or by Participant for Good</w:t>
      </w:r>
    </w:p>
    <w:p>
      <w:pPr>
        <w:spacing w:after="0" w:line="4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Reason.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900"/>
          </w:cols>
          <w:pgMar w:left="500" w:top="264" w:right="499" w:bottom="1440" w:gutter="0" w:footer="0" w:header="0"/>
        </w:sectPr>
      </w:pPr>
    </w:p>
    <w:bookmarkStart w:id="533" w:name="page534"/>
    <w:bookmarkEnd w:id="5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VESTING; FORFEITURE AND SETTLEMENT</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General Vesting; Forfeiture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80" w:firstLine="975"/>
        <w:spacing w:after="0" w:line="262" w:lineRule="auto"/>
        <w:tabs>
          <w:tab w:leader="none" w:pos="1223"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Sections 2.2 and 2.3, the RSUs will vest based on the achievement of Price Per Share Goals as defined in and as set forth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subject to Participant’s continued employment with the Company or its Subsidiaries through the applicable Vesting Date(s) (as defined in</w:t>
      </w:r>
      <w:r>
        <w:rPr>
          <w:rFonts w:ascii="Times New Roman" w:cs="Times New Roman" w:eastAsia="Times New Roman" w:hAnsi="Times New Roman"/>
          <w:sz w:val="18"/>
          <w:szCs w:val="18"/>
          <w:b w:val="1"/>
          <w:bCs w:val="1"/>
          <w:color w:val="auto"/>
        </w:rPr>
        <w:t xml:space="preserve"> Exhibit B</w:t>
      </w:r>
      <w:r>
        <w:rPr>
          <w:rFonts w:ascii="Times New Roman" w:cs="Times New Roman" w:eastAsia="Times New Roman" w:hAnsi="Times New Roman"/>
          <w:sz w:val="18"/>
          <w:szCs w:val="18"/>
          <w:color w:val="auto"/>
        </w:rPr>
        <w:t>).</w:t>
      </w:r>
    </w:p>
    <w:p>
      <w:pPr>
        <w:spacing w:after="0" w:line="70" w:lineRule="exact"/>
        <w:rPr>
          <w:rFonts w:ascii="Times New Roman" w:cs="Times New Roman" w:eastAsia="Times New Roman" w:hAnsi="Times New Roman"/>
          <w:sz w:val="18"/>
          <w:szCs w:val="18"/>
          <w:color w:val="auto"/>
        </w:rPr>
      </w:pPr>
    </w:p>
    <w:p>
      <w:pPr>
        <w:ind w:right="260" w:firstLine="975"/>
        <w:spacing w:after="0" w:line="277" w:lineRule="auto"/>
        <w:tabs>
          <w:tab w:leader="none" w:pos="1233"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all RSUs that have not become vested prior to or on the Expiration Date automatically will be forfeited and terminated as of the Expiration Date without consideration therefor.</w:t>
      </w:r>
    </w:p>
    <w:p>
      <w:pPr>
        <w:spacing w:after="0" w:line="57" w:lineRule="exact"/>
        <w:rPr>
          <w:sz w:val="20"/>
          <w:szCs w:val="20"/>
          <w:color w:val="auto"/>
        </w:rPr>
      </w:pPr>
    </w:p>
    <w:p>
      <w:pPr>
        <w:ind w:right="60" w:firstLine="436"/>
        <w:spacing w:after="0" w:line="257"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xml:space="preserve">. If (i) a Change in Control occurs during the Performance Period, (ii) Participant remains in continued employment until at least immediately prior to the Change in Control or Participant experienced a Qualifying Termination within the two years prior to such Change in Control, and (iii) some or all RSUs remain outstanding as of immediately prior to such Change in Control, then the treatment of the RSUs shall be determined as set forth below based on the CIC Price (as defined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right="100" w:firstLine="975"/>
        <w:spacing w:after="0" w:line="277" w:lineRule="auto"/>
        <w:tabs>
          <w:tab w:leader="none" w:pos="1223"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Price Per Share Goal is achieved based on the CIC Price, then the RSUs that are eligible to vest as a result of achieving such Price Per Share Goal shall vest as of immediately prior to the closing of such Change in Control.</w:t>
      </w:r>
    </w:p>
    <w:p>
      <w:pPr>
        <w:spacing w:after="0" w:line="56" w:lineRule="exact"/>
        <w:rPr>
          <w:rFonts w:ascii="Times New Roman" w:cs="Times New Roman" w:eastAsia="Times New Roman" w:hAnsi="Times New Roman"/>
          <w:sz w:val="18"/>
          <w:szCs w:val="18"/>
          <w:color w:val="auto"/>
        </w:rPr>
      </w:pPr>
    </w:p>
    <w:p>
      <w:pPr>
        <w:jc w:val="both"/>
        <w:ind w:firstLine="975"/>
        <w:spacing w:after="0" w:line="262" w:lineRule="auto"/>
        <w:tabs>
          <w:tab w:leader="none" w:pos="1233"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Section 8.3 of the Plan, if, following the application of Section 2.2(a), any RSUs remain outstanding and unvested after the Change in Control occurs due to failure to achieve a Price Per Share Goal, then such RSUs automatically will be forfeited and terminated as of immediately prior to such Change in Control without consideration therefor.</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80" w:firstLine="975"/>
        <w:spacing w:after="0" w:line="253" w:lineRule="auto"/>
        <w:tabs>
          <w:tab w:leader="none" w:pos="1223"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Qualifying Termination during the Performance Period, then any RSUs that remain outstanding and unvested as of such termination of employment shall remain outstanding and eligible to vest on the applicable Vesting Date(s) based on the achievement of the Price Per Share Goals set forth on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or pursuant to Section 2.2(a), as applicable. Such RSUs shall remain outstanding and eligible to vest until the earliest of (i) the Expiration Date, (ii) a Change in Control and (iii) the two-year anniversary of such termination of employment (such earliest date, the “</w:t>
      </w:r>
      <w:r>
        <w:rPr>
          <w:rFonts w:ascii="Times New Roman" w:cs="Times New Roman" w:eastAsia="Times New Roman" w:hAnsi="Times New Roman"/>
          <w:sz w:val="18"/>
          <w:szCs w:val="18"/>
          <w:b w:val="1"/>
          <w:bCs w:val="1"/>
          <w:i w:val="1"/>
          <w:iCs w:val="1"/>
          <w:color w:val="auto"/>
        </w:rPr>
        <w:t>Qualifying Termination End Date</w:t>
      </w:r>
      <w:r>
        <w:rPr>
          <w:rFonts w:ascii="Times New Roman" w:cs="Times New Roman" w:eastAsia="Times New Roman" w:hAnsi="Times New Roman"/>
          <w:sz w:val="18"/>
          <w:szCs w:val="18"/>
          <w:color w:val="auto"/>
        </w:rPr>
        <w:t>”). To the extent any RSUs have not become vested on or prior to the Qualifying Termination End Date, such RSUs automatically will be forfeited and terminated as of the Qualifying Termination End Date without consideration therefor.</w:t>
      </w:r>
    </w:p>
    <w:p>
      <w:pPr>
        <w:spacing w:after="0" w:line="80" w:lineRule="exact"/>
        <w:rPr>
          <w:rFonts w:ascii="Times New Roman" w:cs="Times New Roman" w:eastAsia="Times New Roman" w:hAnsi="Times New Roman"/>
          <w:sz w:val="18"/>
          <w:szCs w:val="18"/>
          <w:color w:val="auto"/>
        </w:rPr>
      </w:pPr>
    </w:p>
    <w:p>
      <w:pPr>
        <w:ind w:firstLine="975"/>
        <w:spacing w:after="0" w:line="255" w:lineRule="auto"/>
        <w:tabs>
          <w:tab w:leader="none" w:pos="1233"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Participant experiences a termination of employment due to Participant’s death or Disability during the Performance Period, then if a Price Per Share Goal is achieved as of the date of such termination based on the Fair Market Value of a share of Class A Common Stock on such date (evaluated without regard to the 20 consecutive trading-day requirement), then any RSUs that are eligible to vest as a result of achieving such Price Per Share Goal shall vest as of the termination date. To the extent any RSUs have not become vested prior to or in connection with such termination of employment, such RSUs automatically will be forfeited and terminated as of the termination date without consideration therefor.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860"/>
          </w:cols>
          <w:pgMar w:left="500" w:top="264" w:right="539" w:bottom="1440" w:gutter="0" w:footer="0" w:header="0"/>
        </w:sectPr>
      </w:pPr>
    </w:p>
    <w:bookmarkStart w:id="534" w:name="page535"/>
    <w:bookmarkEnd w:id="534"/>
    <w:p>
      <w:pPr>
        <w:ind w:right="520" w:firstLine="975"/>
        <w:spacing w:after="0" w:line="277" w:lineRule="auto"/>
        <w:tabs>
          <w:tab w:leader="none" w:pos="1223"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treatment set forth in each of Sections 2.3(a) and (b) is subject to Participant’s (or Participant’s estate) timely execution and non-revocation of a general release of claims substantially in the form attached to the Employment Agreement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w:t>
      </w:r>
    </w:p>
    <w:p>
      <w:pPr>
        <w:spacing w:after="0" w:line="56" w:lineRule="exact"/>
        <w:rPr>
          <w:rFonts w:ascii="Times New Roman" w:cs="Times New Roman" w:eastAsia="Times New Roman" w:hAnsi="Times New Roman"/>
          <w:sz w:val="18"/>
          <w:szCs w:val="18"/>
          <w:color w:val="auto"/>
        </w:rPr>
      </w:pPr>
    </w:p>
    <w:p>
      <w:pPr>
        <w:jc w:val="both"/>
        <w:ind w:right="20" w:firstLine="975"/>
        <w:spacing w:after="0" w:line="262" w:lineRule="auto"/>
        <w:tabs>
          <w:tab w:leader="none" w:pos="1233"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Participant’s termination of employment for any reason other than as set forth in Sections 2.3(a)—(b), all then-unvested RSUs automatically will be forfeited and terminated without consideration therefor, except as otherwise determined by the Administrator or provided in a binding written agreement between Participant and the Company.</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75"/>
        <w:spacing w:after="0" w:line="252" w:lineRule="auto"/>
        <w:tabs>
          <w:tab w:leader="none" w:pos="1223"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will be paid in Shares, to the extent vested on the earlier to occur of: (i) the third anniversary of the applicable Vesting Date, and (ii) the date of the occurrence of a “change of control event” (within the meaning of Section 409A) with respect to the Company; provided, however, that in the event that the Administrator reasonably determines that the Company shall not be able to effectuate a Net Settlement (as defined below) with respect to some or all of such RSUs due to insufficient cash at the Company, then the parties agree to cooperate in good faith to determine a mutually agreeable solution that complies with Section 409A. Notwithstanding anything to the contrary contained in the foregoing proviso, the exact payment date of any RSUs shall be determined by the Company in its sole discretion (and Participant shall not have a right to designate the time of payment).</w:t>
      </w:r>
    </w:p>
    <w:p>
      <w:pPr>
        <w:spacing w:after="0" w:line="81" w:lineRule="exact"/>
        <w:rPr>
          <w:rFonts w:ascii="Times New Roman" w:cs="Times New Roman" w:eastAsia="Times New Roman" w:hAnsi="Times New Roman"/>
          <w:sz w:val="18"/>
          <w:szCs w:val="18"/>
          <w:color w:val="auto"/>
        </w:rPr>
      </w:pPr>
    </w:p>
    <w:p>
      <w:pPr>
        <w:jc w:val="both"/>
        <w:ind w:right="40" w:firstLine="975"/>
        <w:spacing w:after="0" w:line="257" w:lineRule="auto"/>
        <w:tabs>
          <w:tab w:leader="none" w:pos="1233"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TAXATION AND TAX WITHHOLDING</w:t>
      </w:r>
    </w:p>
    <w:p>
      <w:pPr>
        <w:spacing w:after="0" w:line="95" w:lineRule="exact"/>
        <w:rPr>
          <w:sz w:val="20"/>
          <w:szCs w:val="20"/>
          <w:color w:val="auto"/>
        </w:rPr>
      </w:pPr>
    </w:p>
    <w:p>
      <w:pPr>
        <w:ind w:right="60" w:firstLine="436"/>
        <w:spacing w:after="0" w:line="26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w:t>
      </w:r>
      <w:r>
        <w:rPr>
          <w:rFonts w:ascii="Times New Roman" w:cs="Times New Roman" w:eastAsia="Times New Roman" w:hAnsi="Times New Roman"/>
          <w:sz w:val="18"/>
          <w:szCs w:val="18"/>
          <w:color w:val="auto"/>
        </w:rPr>
        <w:t>. Participant represents to the Company that Participant has reviewed with Participant’s own tax advisors the tax consequences of this award of RSUs (this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and the transactions contemplated by the Grant Notice and this Agreement. Participant is relying solely on such advisors and not on any statements or representations of the Company or any of its agents.</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975"/>
        <w:spacing w:after="0" w:line="251" w:lineRule="auto"/>
        <w:tabs>
          <w:tab w:leader="none" w:pos="1223"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withhold, or cause to be withheld, Shares otherwise vesting or issuable under this Award in satisfaction of any applicable withholding tax obligation, (including the Participant’s FICA obligation, which may arise prior to settlement of the RSUs (a “</w:t>
      </w:r>
      <w:r>
        <w:rPr>
          <w:rFonts w:ascii="Times New Roman" w:cs="Times New Roman" w:eastAsia="Times New Roman" w:hAnsi="Times New Roman"/>
          <w:sz w:val="18"/>
          <w:szCs w:val="18"/>
          <w:b w:val="1"/>
          <w:bCs w:val="1"/>
          <w:i w:val="1"/>
          <w:iCs w:val="1"/>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Settlement</w:t>
      </w:r>
      <w:r>
        <w:rPr>
          <w:rFonts w:ascii="Times New Roman" w:cs="Times New Roman" w:eastAsia="Times New Roman" w:hAnsi="Times New Roman"/>
          <w:sz w:val="18"/>
          <w:szCs w:val="18"/>
          <w:color w:val="auto"/>
        </w:rPr>
        <w:t>”). The number of Shares which may be so withheld or surrendered shall be limited to the number of Shares which have a Fair Market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date of withholding no greater than the aggregate amount of such liabilities based on the maximum individual statutory withholding rates in Participant’s applicable jurisdictions for federal, state, local and foreign income tax and payroll tax purposes that are applicable to such taxable income. To the extent that any FICA tax withholding obligations arise in connection with the RSUs prior to the date on which on which such RSUs should otherwise become payable to Participant, then the Company may accelerate the payment of a number of RSUs sufficient to satisfy (but not in excess of) such tax withholding obligations and any tax withholding obligations associated with such accelerated payment, and the Company or an affiliate may withhold such amounts in satisfaction of such withholding obligations.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840"/>
          </w:cols>
          <w:pgMar w:left="500" w:top="268" w:right="559" w:bottom="1440" w:gutter="0" w:footer="0" w:header="0"/>
        </w:sectPr>
      </w:pPr>
    </w:p>
    <w:bookmarkStart w:id="535" w:name="page536"/>
    <w:bookmarkEnd w:id="535"/>
    <w:p>
      <w:pPr>
        <w:ind w:firstLine="975"/>
        <w:spacing w:after="0" w:line="255" w:lineRule="auto"/>
        <w:tabs>
          <w:tab w:leader="none" w:pos="1233"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its Subsidiaries do not commit and are under no obligation to structure the RSUs to reduce or eliminate Participant’s tax liability.</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right="180" w:firstLine="975"/>
        <w:spacing w:after="0" w:line="279" w:lineRule="auto"/>
        <w:tabs>
          <w:tab w:leader="none" w:pos="1223"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To the extent applicable, this Agreement shall be interpreted in accordance with Section 409A, including without limitation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such regulations or other guidance that may be issued after the effective date of this Agreement.</w:t>
      </w:r>
    </w:p>
    <w:p>
      <w:pPr>
        <w:spacing w:after="0" w:line="5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Non-qualified Deferred Compensation</w:t>
      </w:r>
      <w:r>
        <w:rPr>
          <w:rFonts w:ascii="Times New Roman" w:cs="Times New Roman" w:eastAsia="Times New Roman" w:hAnsi="Times New Roman"/>
          <w:sz w:val="18"/>
          <w:szCs w:val="18"/>
          <w:color w:val="auto"/>
        </w:rPr>
        <w:t>. Sections 10.6(b) and (c) of the Plan shall apply to the RSUs and this Agreement.</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95" w:lineRule="exact"/>
        <w:rPr>
          <w:sz w:val="20"/>
          <w:szCs w:val="20"/>
          <w:color w:val="auto"/>
        </w:rPr>
      </w:pPr>
    </w:p>
    <w:p>
      <w:pPr>
        <w:ind w:right="40" w:firstLine="436"/>
        <w:spacing w:after="0" w:line="277"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Participant acknowledges that the RSUs, the Shares subject to the RSUs and the Price Per Share goals are subject to adjustment, modification and termination in certain events as provided in this Agreement and the Plan.</w:t>
      </w:r>
    </w:p>
    <w:p>
      <w:pPr>
        <w:spacing w:after="0" w:line="57"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Notwithstanding Section 10.13 of the Plan, the Award and the Shares issuable hereunder shall be subject to any clawback or recoupment policy in effect on the Grant Date or as may be adopted or maintained by the Company to the extent required in order to comply with Applicable Law, including the Dodd-Frank Wall Street Reform and Consumer Protection Act and any rules or regulations promulgated thereunder. For clarity, this Section 4.2 shall supersede Section 10.13 of the Plan with respect to the RSUs and the Shares issuable hereunder. The Company and Participant acknowledge that neither this Section 4.2 nor Section 10.13 of the Plan are intended to limit any clawback and/or disgorgement of the Award and/or the Shares issuable hereunder pursuant to Section 304 of the Sarbanes-Oxley Act of 2002.</w:t>
      </w:r>
    </w:p>
    <w:p>
      <w:pPr>
        <w:spacing w:after="0" w:line="80" w:lineRule="exact"/>
        <w:rPr>
          <w:sz w:val="20"/>
          <w:szCs w:val="20"/>
          <w:color w:val="auto"/>
        </w:rPr>
      </w:pPr>
    </w:p>
    <w:p>
      <w:pPr>
        <w:ind w:right="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114" w:lineRule="exact"/>
        <w:rPr>
          <w:sz w:val="20"/>
          <w:szCs w:val="20"/>
          <w:color w:val="auto"/>
        </w:rPr>
      </w:pPr>
    </w:p>
    <w:p>
      <w:pPr>
        <w:jc w:val="both"/>
        <w:ind w:right="180" w:firstLine="436"/>
        <w:spacing w:after="0" w:line="26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860"/>
          </w:cols>
          <w:pgMar w:left="500" w:top="268" w:right="539" w:bottom="1440" w:gutter="0" w:footer="0" w:header="0"/>
        </w:sectPr>
      </w:pPr>
    </w:p>
    <w:bookmarkStart w:id="536" w:name="page537"/>
    <w:bookmarkEnd w:id="536"/>
    <w:p>
      <w:pPr>
        <w:jc w:val="both"/>
        <w:ind w:right="20" w:firstLine="436"/>
        <w:spacing w:after="0" w:line="28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4.6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this Agreement to a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52" w:lineRule="exact"/>
        <w:rPr>
          <w:sz w:val="20"/>
          <w:szCs w:val="20"/>
          <w:color w:val="auto"/>
        </w:rPr>
      </w:pPr>
    </w:p>
    <w:p>
      <w:pPr>
        <w:ind w:right="180" w:firstLine="436"/>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76" w:lineRule="exact"/>
        <w:rPr>
          <w:sz w:val="20"/>
          <w:szCs w:val="20"/>
          <w:color w:val="auto"/>
        </w:rPr>
      </w:pPr>
    </w:p>
    <w:p>
      <w:pPr>
        <w:ind w:right="120" w:firstLine="436"/>
        <w:spacing w:after="0" w:line="277"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57" w:lineRule="exact"/>
        <w:rPr>
          <w:sz w:val="20"/>
          <w:szCs w:val="20"/>
          <w:color w:val="auto"/>
        </w:rPr>
      </w:pPr>
    </w:p>
    <w:p>
      <w:pPr>
        <w:ind w:right="100" w:firstLine="436"/>
        <w:spacing w:after="0" w:line="26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70"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cash or the Shares as a general unsecured creditor with respect to the RSUs, as and when settled pursuant to the terms of this Agreement.</w:t>
      </w:r>
    </w:p>
    <w:p>
      <w:pPr>
        <w:spacing w:after="0" w:line="76" w:lineRule="exact"/>
        <w:rPr>
          <w:sz w:val="20"/>
          <w:szCs w:val="20"/>
          <w:color w:val="auto"/>
        </w:rPr>
      </w:pPr>
    </w:p>
    <w:p>
      <w:pPr>
        <w:ind w:right="80" w:firstLine="436"/>
        <w:spacing w:after="0" w:line="257"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75" w:lineRule="exact"/>
        <w:rPr>
          <w:sz w:val="20"/>
          <w:szCs w:val="20"/>
          <w:color w:val="auto"/>
        </w:rPr>
      </w:pPr>
    </w:p>
    <w:p>
      <w:pPr>
        <w:ind w:right="560" w:firstLine="436"/>
        <w:spacing w:after="0" w:line="277"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00"/>
          </w:cols>
          <w:pgMar w:left="500" w:top="268" w:right="499" w:bottom="1440" w:gutter="0" w:footer="0" w:header="0"/>
        </w:sectPr>
      </w:pPr>
    </w:p>
    <w:bookmarkStart w:id="537" w:name="page538"/>
    <w:bookmarkEnd w:id="5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B</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VESTING SCHEDULE</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2" w:lineRule="exact"/>
        <w:rPr>
          <w:sz w:val="20"/>
          <w:szCs w:val="20"/>
          <w:color w:val="auto"/>
        </w:rPr>
      </w:pPr>
    </w:p>
    <w:p>
      <w:pPr>
        <w:ind w:right="260" w:firstLine="436"/>
        <w:spacing w:after="0" w:line="257" w:lineRule="auto"/>
        <w:rPr>
          <w:sz w:val="20"/>
          <w:szCs w:val="20"/>
          <w:color w:val="auto"/>
        </w:rPr>
      </w:pPr>
      <w:r>
        <w:rPr>
          <w:rFonts w:ascii="Times New Roman" w:cs="Times New Roman" w:eastAsia="Times New Roman" w:hAnsi="Times New Roman"/>
          <w:sz w:val="18"/>
          <w:szCs w:val="18"/>
          <w:color w:val="auto"/>
        </w:rPr>
        <w:t xml:space="preserve">The RSUs will be eligible to vest on each potential Vesting Date(s) during the Performance Period based on the achievement of the Price Per Share Goals set forth in the table below on the attached </w:t>
      </w:r>
      <w:r>
        <w:rPr>
          <w:rFonts w:ascii="Times New Roman" w:cs="Times New Roman" w:eastAsia="Times New Roman" w:hAnsi="Times New Roman"/>
          <w:sz w:val="18"/>
          <w:szCs w:val="18"/>
          <w:b w:val="1"/>
          <w:bCs w:val="1"/>
          <w:color w:val="auto"/>
        </w:rPr>
        <w:t>Schedule</w:t>
      </w:r>
      <w:r>
        <w:rPr>
          <w:rFonts w:ascii="Times New Roman" w:cs="Times New Roman" w:eastAsia="Times New Roman" w:hAnsi="Times New Roman"/>
          <w:sz w:val="18"/>
          <w:szCs w:val="18"/>
          <w:color w:val="auto"/>
        </w:rPr>
        <w:t>, or such other Vesting Dates as specified in Sections 2.2 and 2.3 of the Agreement; provided that, except as set forth in Section 2.2 and 2.3 of the Agreement, Participant has been in continued employment with the Company or its Subsidiaries from the Grant Date through the applicable Vesting Date.</w:t>
      </w:r>
    </w:p>
    <w:p>
      <w:pPr>
        <w:spacing w:after="0" w:line="182"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For the avoidance of doubt, each Price Per Share Goal may be achieved only once during the Performance Period and more than one Price Per Share Goal may be achieved on a particular date. For example, if a Price Per Share Goal of $40.31 per Share is determined by the Administrator to have been satisfied on January 1, 2021, the Price Per Share thereafter drops below such level and again reaches $40.31 per Share during the 20 consecutive trading-day period ending June 30, 2021, no additional RSUs shall vest as a result of reaching the same Price Per Share Goal for a second time. In no event may more than 8,211,022 RSUs vest pursuant to this Award.</w:t>
      </w:r>
    </w:p>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218" w:lineRule="exact"/>
        <w:rPr>
          <w:sz w:val="20"/>
          <w:szCs w:val="20"/>
          <w:color w:val="auto"/>
        </w:rPr>
      </w:pPr>
    </w:p>
    <w:p>
      <w:pPr>
        <w:ind w:right="40"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CIC Price</w:t>
      </w:r>
      <w:r>
        <w:rPr>
          <w:rFonts w:ascii="Times New Roman" w:cs="Times New Roman" w:eastAsia="Times New Roman" w:hAnsi="Times New Roman"/>
          <w:sz w:val="18"/>
          <w:szCs w:val="18"/>
          <w:color w:val="auto"/>
        </w:rPr>
        <w:t>” means the price per share of Class A Common Stock paid by an acquiror in connection with such Change in Control or, to the extent that the consideration in the Change in Control transaction is paid in stock of the acquiror or its affiliate, then, unless otherwise determined by the Administrator (including in connection with valuing any shares that are not publicly traded), the Price Per Share shall mean the value of the consideration paid per share of Class A Common Stock based on the average of the closing trading prices of a share of such acquiror stock on the principal exchange on which such shares are then traded for each trading day during the five consecutive trading days ending on and including the date on which a Change in Control occurs. In the event the consideration in the Change in Control takes any other form, the value of such additional consideration shall be determined by the Administrator in its reasonable discretion.</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beginning on the Grant Date and ending on the Expiration Date.</w:t>
      </w:r>
    </w:p>
    <w:p>
      <w:pPr>
        <w:spacing w:after="0" w:line="220" w:lineRule="exact"/>
        <w:rPr>
          <w:sz w:val="20"/>
          <w:szCs w:val="20"/>
          <w:color w:val="auto"/>
        </w:rPr>
      </w:pPr>
    </w:p>
    <w:p>
      <w:pPr>
        <w:ind w:right="12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Price Per Share</w:t>
      </w:r>
      <w:r>
        <w:rPr>
          <w:rFonts w:ascii="Times New Roman" w:cs="Times New Roman" w:eastAsia="Times New Roman" w:hAnsi="Times New Roman"/>
          <w:sz w:val="18"/>
          <w:szCs w:val="18"/>
          <w:color w:val="auto"/>
        </w:rPr>
        <w:t xml:space="preserve">” means the Fair Market Value of a share of Class A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determining whether any RSUs become vested in connection with a Change in Control during the Performance Period, then the Price Per Share shall mean the CIC Price.</w:t>
      </w:r>
    </w:p>
    <w:p>
      <w:pPr>
        <w:spacing w:after="0" w:line="169" w:lineRule="exact"/>
        <w:rPr>
          <w:sz w:val="20"/>
          <w:szCs w:val="20"/>
          <w:color w:val="auto"/>
        </w:rPr>
      </w:pPr>
    </w:p>
    <w:p>
      <w:pPr>
        <w:ind w:right="40" w:firstLine="4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Price Per Share Goal</w:t>
      </w:r>
      <w:r>
        <w:rPr>
          <w:rFonts w:ascii="Times New Roman" w:cs="Times New Roman" w:eastAsia="Times New Roman" w:hAnsi="Times New Roman"/>
          <w:sz w:val="18"/>
          <w:szCs w:val="18"/>
          <w:color w:val="auto"/>
        </w:rPr>
        <w:t xml:space="preserve">” means a target average Price Per Share as set forth in the table below on the attached </w:t>
      </w:r>
      <w:r>
        <w:rPr>
          <w:rFonts w:ascii="Times New Roman" w:cs="Times New Roman" w:eastAsia="Times New Roman" w:hAnsi="Times New Roman"/>
          <w:sz w:val="18"/>
          <w:szCs w:val="18"/>
          <w:b w:val="1"/>
          <w:bCs w:val="1"/>
          <w:color w:val="auto"/>
        </w:rPr>
        <w:t>Schedule</w:t>
      </w:r>
      <w:r>
        <w:rPr>
          <w:rFonts w:ascii="Times New Roman" w:cs="Times New Roman" w:eastAsia="Times New Roman" w:hAnsi="Times New Roman"/>
          <w:sz w:val="18"/>
          <w:szCs w:val="18"/>
          <w:color w:val="auto"/>
        </w:rPr>
        <w:t xml:space="preserve">, measured over any 20 consecutive trading-day period during the Performance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determining whether any RSUs become vested in connection with a Change in Control during the Performance Period, the Price Per Share Goal shall be evaluated solely by reference to the CIC Price and provided, further, that in the event of a termination due to death or Disability, the Price Per Share Goal shall be evaluated as provided for in Section 2.3(b).</w:t>
      </w:r>
    </w:p>
    <w:p>
      <w:pPr>
        <w:spacing w:after="0" w:line="178"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Vesting Date</w:t>
      </w:r>
      <w:r>
        <w:rPr>
          <w:rFonts w:ascii="Times New Roman" w:cs="Times New Roman" w:eastAsia="Times New Roman" w:hAnsi="Times New Roman"/>
          <w:sz w:val="18"/>
          <w:szCs w:val="18"/>
          <w:color w:val="auto"/>
        </w:rPr>
        <w:t>” means the first date occurring during the Performance Period in which a Price Per Share Goal is achieved, subject to certification by the Administrator that the applicable Price Per Share Goal has been achieved (provided that no such certification shall be required in the event one or more Price Per Share Goals are achieved as a result of the occurrence of a Change in Control). In the event a RSU vests (i) upon a Change in Control, the “Vesting Date” shall mean the date of such Change in Control or (ii) upon a termination of employment due to Participant’s death or Disability, the “Vesting Date” shall mean such termination date.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840"/>
          </w:cols>
          <w:pgMar w:left="500" w:top="264" w:right="559" w:bottom="1440" w:gutter="0" w:footer="0" w:header="0"/>
        </w:sectPr>
      </w:pPr>
    </w:p>
    <w:bookmarkStart w:id="538" w:name="page539"/>
    <w:bookmarkEnd w:id="538"/>
    <w:p>
      <w:pPr>
        <w:ind w:left="38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4">
                      <a:extLst>
                        <a:ext uri="{28A0092B-C50C-407E-A947-70E740481C1C}"/>
                      </a:extLst>
                    </a:blip>
                    <a:srcRect/>
                    <a:stretch>
                      <a:fillRect/>
                    </a:stretch>
                  </pic:blipFill>
                  <pic:spPr bwMode="auto">
                    <a:xfrm>
                      <a:off x="0" y="0"/>
                      <a:ext cx="7150735" cy="24765"/>
                    </a:xfrm>
                    <a:prstGeom prst="rect">
                      <a:avLst/>
                    </a:prstGeom>
                    <a:noFill/>
                  </pic:spPr>
                </pic:pic>
              </a:graphicData>
            </a:graphic>
          </wp:anchor>
        </w:drawing>
        <w:t>Examples.</w:t>
      </w:r>
    </w:p>
    <w:p>
      <w:pPr>
        <w:spacing w:after="0" w:line="116" w:lineRule="exact"/>
        <w:rPr>
          <w:sz w:val="20"/>
          <w:szCs w:val="20"/>
          <w:color w:val="auto"/>
        </w:rPr>
      </w:pPr>
    </w:p>
    <w:p>
      <w:pPr>
        <w:ind w:left="-40" w:firstLine="430"/>
        <w:spacing w:after="0" w:line="262" w:lineRule="auto"/>
        <w:tabs>
          <w:tab w:leader="none" w:pos="574"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average Fair Market Value of a share of Class A Common Stock based on the 20 consecutive trading days through and including June 1, 2021 equals or exceeds $6.07 for the first time since the Grant Date. The RSUs eligible to vest in accordance with the achievement of such Price Per Share Goal (41,055 RSUs) shall vest as of June 1, 2021.</w:t>
      </w:r>
    </w:p>
    <w:p>
      <w:pPr>
        <w:spacing w:after="0" w:line="70" w:lineRule="exact"/>
        <w:rPr>
          <w:rFonts w:ascii="Times New Roman" w:cs="Times New Roman" w:eastAsia="Times New Roman" w:hAnsi="Times New Roman"/>
          <w:sz w:val="18"/>
          <w:szCs w:val="18"/>
          <w:color w:val="auto"/>
        </w:rPr>
      </w:pPr>
    </w:p>
    <w:p>
      <w:pPr>
        <w:ind w:left="-40" w:right="220" w:firstLine="430"/>
        <w:spacing w:after="0" w:line="262" w:lineRule="auto"/>
        <w:tabs>
          <w:tab w:leader="none" w:pos="574"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No Prior Achievement of Price Per Share Goal</w:t>
      </w:r>
      <w:r>
        <w:rPr>
          <w:rFonts w:ascii="Times New Roman" w:cs="Times New Roman" w:eastAsia="Times New Roman" w:hAnsi="Times New Roman"/>
          <w:sz w:val="18"/>
          <w:szCs w:val="18"/>
          <w:color w:val="auto"/>
        </w:rPr>
        <w:t>. In connection with a Change in Control, the CIC Price equals $45.60 per Share. Prior to the Change in Control, the highest Price Per Share Goal attained was $40.31 (meaning that 6,158,266 RSUs previously vested). The number of RSUs that become vested in connection with the Change in Control shall equal 985,323 RSUs (for a total of 7,143,589 RSUs).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800"/>
          </w:cols>
          <w:pgMar w:left="540" w:top="265" w:right="559" w:bottom="1440" w:gutter="0" w:footer="0" w:header="0"/>
        </w:sectPr>
      </w:pPr>
    </w:p>
    <w:bookmarkStart w:id="539" w:name="page540"/>
    <w:bookmarkEnd w:id="53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 RSUs to</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rPr>
              <w:t>% of RSUs to</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RSUs to</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 RSUs to</w:t>
            </w:r>
          </w:p>
        </w:tc>
        <w:tc>
          <w:tcPr>
            <w:tcW w:w="0" w:type="dxa"/>
            <w:vAlign w:val="bottom"/>
          </w:tcPr>
          <w:p>
            <w:pPr>
              <w:spacing w:after="0"/>
              <w:rPr>
                <w:sz w:val="1"/>
                <w:szCs w:val="1"/>
                <w:color w:val="auto"/>
              </w:rPr>
            </w:pPr>
          </w:p>
        </w:tc>
      </w:tr>
      <w:tr>
        <w:trPr>
          <w:trHeight w:val="147"/>
        </w:trPr>
        <w:tc>
          <w:tcPr>
            <w:tcW w:w="140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130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Share</w:t>
            </w:r>
          </w:p>
        </w:tc>
        <w:tc>
          <w:tcPr>
            <w:tcW w:w="11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Share</w:t>
            </w:r>
          </w:p>
        </w:tc>
        <w:tc>
          <w:tcPr>
            <w:tcW w:w="140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Goal</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Vest</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Goal</w:t>
            </w:r>
          </w:p>
        </w:tc>
        <w:tc>
          <w:tcPr>
            <w:tcW w:w="1140" w:type="dxa"/>
            <w:vAlign w:val="bottom"/>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w w:val="98"/>
              </w:rPr>
              <w:t>Vest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Goal</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Vest</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 Goal</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Vest</w:t>
            </w:r>
          </w:p>
        </w:tc>
        <w:tc>
          <w:tcPr>
            <w:tcW w:w="0" w:type="dxa"/>
            <w:vAlign w:val="bottom"/>
          </w:tcPr>
          <w:p>
            <w:pPr>
              <w:spacing w:after="0"/>
              <w:rPr>
                <w:sz w:val="1"/>
                <w:szCs w:val="1"/>
                <w:color w:val="auto"/>
              </w:rPr>
            </w:pPr>
          </w:p>
        </w:tc>
      </w:tr>
      <w:tr>
        <w:trPr>
          <w:trHeight w:val="189"/>
        </w:trPr>
        <w:tc>
          <w:tcPr>
            <w:tcW w:w="11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$6.07</w:t>
            </w:r>
          </w:p>
        </w:tc>
        <w:tc>
          <w:tcPr>
            <w:tcW w:w="2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$17.84</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center"/>
              <w:ind w:left="52"/>
              <w:spacing w:after="0" w:line="189" w:lineRule="exact"/>
              <w:rPr>
                <w:sz w:val="20"/>
                <w:szCs w:val="20"/>
                <w:color w:val="auto"/>
              </w:rPr>
            </w:pPr>
            <w:r>
              <w:rPr>
                <w:rFonts w:ascii="Times New Roman" w:cs="Times New Roman" w:eastAsia="Times New Roman" w:hAnsi="Times New Roman"/>
                <w:sz w:val="18"/>
                <w:szCs w:val="18"/>
                <w:color w:val="auto"/>
                <w:w w:val="95"/>
              </w:rPr>
              <w:t>0.5%</w:t>
            </w:r>
          </w:p>
        </w:tc>
        <w:tc>
          <w:tcPr>
            <w:tcW w:w="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$29.32</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$40.53</w:t>
            </w:r>
          </w:p>
        </w:tc>
        <w:tc>
          <w:tcPr>
            <w:tcW w:w="120" w:type="dxa"/>
            <w:vAlign w:val="bottom"/>
          </w:tcPr>
          <w:p>
            <w:pPr>
              <w:spacing w:after="0"/>
              <w:rPr>
                <w:sz w:val="16"/>
                <w:szCs w:val="16"/>
                <w:color w:val="auto"/>
              </w:rPr>
            </w:pPr>
          </w:p>
        </w:tc>
        <w:tc>
          <w:tcPr>
            <w:tcW w:w="11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$18.07</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$40.75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$6.54</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$18.30</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$40.97</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$6.78</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$18.54</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$41.19</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$7.02</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$18.77</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$41.42</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$7.26</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$19.00</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$41.64</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$7.50</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$19.23</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$41.86</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$7.73</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$19.46</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$42.08</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$7.97</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$19.70</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$42.30</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$8.21</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$19.93</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$42.52</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$8.44</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$20.16</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$42.74</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$8.68</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$20.39</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$42.96</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$8.92</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$20.62</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$43.18</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$9.16</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$20.85</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$43.40</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$9.39</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$21.08</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$43.62</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$9.63</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$21.32</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$43.84</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$9.87</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$21.55</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$44.07</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$21.78</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$44.29</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$10.34</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$22.01</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$44.51</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$10.58</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$22.24</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$44.73</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$10.81</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$22.47</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$44.94</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$11.05</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$22.70</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$45.16</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$11.28</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$22.93</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$45.38</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$11.52</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$23.16</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$45.60</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$11.75</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$23.39</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$45.82</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$11.99</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$23.62</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$34.95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$46.04</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$12.23</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$23.84</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$35.18</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$46.26</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$12.46</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$24.07</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$46.48</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$12.70</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$24.30</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$46.70</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$12.93</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$24.53</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$46.92</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$13.17</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$24.76</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$47.14</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$13.40</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$24.99</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$47.36</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$13.64</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$25.22</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$47.57</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$13.87</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$25.45</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$36.74</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$47.79</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$14.11</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$25.67</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$36.97</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$48.01</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$14.34</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$25.90</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$48.23</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$14.57</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$26.13</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$48.45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$14.81</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$26.36</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$48.67</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$15.04</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$26.59</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$37.86</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$48.88</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$15.28</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$26.82</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$49.10</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$15.51</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$27.05</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$38.31</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$49.32</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$15.74</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$27.27</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$38.53</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$49.54</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$15.98</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$27.50</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$49.76</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$16.21</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$27.73</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$49.97</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$16.45</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$27.96</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$39.20</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$50.19</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$16.68</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$28.19</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$39.42</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$50.41</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$16.91</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$28.41</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$39.64</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$50.62</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$17.14</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$28.64</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$39.86</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$50.84</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1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$17.38</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$28.87</w:t>
            </w:r>
          </w:p>
        </w:tc>
        <w:tc>
          <w:tcPr>
            <w:tcW w:w="100" w:type="dxa"/>
            <w:vAlign w:val="bottom"/>
          </w:tcPr>
          <w:p>
            <w:pPr>
              <w:spacing w:after="0"/>
              <w:rPr>
                <w:sz w:val="18"/>
                <w:szCs w:val="18"/>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$51.06</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3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$17.61</w:t>
            </w:r>
          </w:p>
        </w:tc>
        <w:tc>
          <w:tcPr>
            <w:tcW w:w="2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$29.09</w:t>
            </w:r>
          </w:p>
        </w:tc>
        <w:tc>
          <w:tcPr>
            <w:tcW w:w="100" w:type="dxa"/>
            <w:vAlign w:val="bottom"/>
          </w:tcPr>
          <w:p>
            <w:pPr>
              <w:spacing w:after="0"/>
              <w:rPr>
                <w:sz w:val="20"/>
                <w:szCs w:val="20"/>
                <w:color w:val="auto"/>
              </w:rPr>
            </w:pPr>
          </w:p>
        </w:tc>
        <w:tc>
          <w:tcPr>
            <w:tcW w:w="11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0.5%</w:t>
            </w:r>
          </w:p>
        </w:tc>
        <w:tc>
          <w:tcPr>
            <w:tcW w:w="156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rPr>
              <w:t>$40.31</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$51.28</w:t>
            </w:r>
          </w:p>
        </w:tc>
        <w:tc>
          <w:tcPr>
            <w:tcW w:w="1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361"/>
        </w:trPr>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B-3</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500" w:top="264" w:right="499" w:bottom="1440" w:gutter="0" w:footer="0" w:header="0"/>
        </w:sectPr>
      </w:pPr>
    </w:p>
    <w:bookmarkStart w:id="540" w:name="page541"/>
    <w:bookmarkEnd w:id="540"/>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2" w:lineRule="exact"/>
        <w:rPr>
          <w:sz w:val="20"/>
          <w:szCs w:val="20"/>
          <w:color w:val="auto"/>
        </w:rPr>
      </w:pPr>
    </w:p>
    <w:p>
      <w:pPr>
        <w:ind w:right="300" w:firstLine="436"/>
        <w:spacing w:after="0" w:line="255" w:lineRule="auto"/>
        <w:rPr>
          <w:sz w:val="20"/>
          <w:szCs w:val="20"/>
          <w:color w:val="auto"/>
        </w:rPr>
      </w:pPr>
      <w:r>
        <w:rPr>
          <w:rFonts w:ascii="Times New Roman" w:cs="Times New Roman" w:eastAsia="Times New Roman" w:hAnsi="Times New Roman"/>
          <w:sz w:val="18"/>
          <w:szCs w:val="18"/>
          <w:color w:val="auto"/>
        </w:rPr>
        <w:t>The purposes of this GoodRx Holdings, Inc. 2020 Employee Stock Purchase Plan (as it may be amended or restated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are to assist Eligible Employees of GoodRx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its Designated Subsidiaries in acquiring a stock ownership interest in the Company pursuant to a plan which is intended to qualify as an “employee stock purchase plan” within the meaning of Section 423(b) of the Code, and to help Eligible Employees provide for their future security and to encourage them to remain in the employment of the Company and its Designated Subsidiaries.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202" w:lineRule="exact"/>
        <w:rPr>
          <w:sz w:val="20"/>
          <w:szCs w:val="20"/>
          <w:color w:val="auto"/>
        </w:rPr>
      </w:pPr>
    </w:p>
    <w:p>
      <w:pPr>
        <w:jc w:val="both"/>
        <w:ind w:right="280" w:firstLine="436"/>
        <w:spacing w:after="0" w:line="262" w:lineRule="auto"/>
        <w:rPr>
          <w:sz w:val="20"/>
          <w:szCs w:val="20"/>
          <w:color w:val="auto"/>
        </w:rPr>
      </w:pPr>
      <w:r>
        <w:rPr>
          <w:rFonts w:ascii="Times New Roman" w:cs="Times New Roman" w:eastAsia="Times New Roman" w:hAnsi="Times New Roman"/>
          <w:sz w:val="18"/>
          <w:szCs w:val="18"/>
          <w:color w:val="auto"/>
        </w:rPr>
        <w:t>Wherever the following terms are used in the Plan they shall have the meanings specified below, unless the context clearly indicates otherwise. The singular pronoun shall include the plural where the context so indicates. Masculine, feminine and neuter pronouns are used interchangeably and each comprehends the others.</w:t>
      </w:r>
    </w:p>
    <w:p>
      <w:pPr>
        <w:spacing w:after="0" w:line="66" w:lineRule="exact"/>
        <w:rPr>
          <w:sz w:val="20"/>
          <w:szCs w:val="20"/>
          <w:color w:val="auto"/>
        </w:rPr>
      </w:pPr>
    </w:p>
    <w:p>
      <w:pPr>
        <w:ind w:right="40" w:firstLine="436"/>
        <w:spacing w:after="0" w:line="282"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shall mean the entity that conducts the general administration of the Plan as provided in Article XI. The term “Administrator” shall refer to the Committee unless the Board has assumed the authority for administration of the Plan as provided in Article XI.</w:t>
      </w:r>
    </w:p>
    <w:p>
      <w:pPr>
        <w:spacing w:after="0" w:line="48" w:lineRule="exact"/>
        <w:rPr>
          <w:sz w:val="20"/>
          <w:szCs w:val="20"/>
          <w:color w:val="auto"/>
        </w:rPr>
      </w:pPr>
    </w:p>
    <w:p>
      <w:pPr>
        <w:ind w:right="160" w:firstLine="436"/>
        <w:spacing w:after="0" w:line="287" w:lineRule="auto"/>
        <w:rPr>
          <w:sz w:val="20"/>
          <w:szCs w:val="20"/>
          <w:color w:val="auto"/>
        </w:rPr>
      </w:pPr>
      <w:r>
        <w:rPr>
          <w:rFonts w:ascii="Times New Roman" w:cs="Times New Roman" w:eastAsia="Times New Roman" w:hAnsi="Times New Roman"/>
          <w:sz w:val="17"/>
          <w:szCs w:val="17"/>
          <w:color w:val="auto"/>
        </w:rPr>
        <w:t>2.2 “</w:t>
      </w:r>
      <w:r>
        <w:rPr>
          <w:rFonts w:ascii="Times New Roman" w:cs="Times New Roman" w:eastAsia="Times New Roman" w:hAnsi="Times New Roman"/>
          <w:sz w:val="17"/>
          <w:szCs w:val="17"/>
          <w:b w:val="1"/>
          <w:bCs w:val="1"/>
          <w:i w:val="1"/>
          <w:iCs w:val="1"/>
          <w:color w:val="auto"/>
        </w:rPr>
        <w:t>Applicable Law</w:t>
      </w:r>
      <w:r>
        <w:rPr>
          <w:rFonts w:ascii="Times New Roman" w:cs="Times New Roman" w:eastAsia="Times New Roman" w:hAnsi="Times New Roman"/>
          <w:sz w:val="17"/>
          <w:szCs w:val="17"/>
          <w:color w:val="auto"/>
        </w:rPr>
        <w:t>” shall mean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rights under this Plan are granted.</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and includes each of the following:</w:t>
      </w:r>
    </w:p>
    <w:p>
      <w:pPr>
        <w:spacing w:after="0" w:line="118" w:lineRule="exact"/>
        <w:rPr>
          <w:sz w:val="20"/>
          <w:szCs w:val="20"/>
          <w:color w:val="auto"/>
        </w:rPr>
      </w:pPr>
    </w:p>
    <w:p>
      <w:pPr>
        <w:ind w:right="20" w:firstLine="430"/>
        <w:spacing w:after="0" w:line="270" w:lineRule="auto"/>
        <w:tabs>
          <w:tab w:leader="none" w:pos="678" w:val="left"/>
        </w:tabs>
        <w:numPr>
          <w:ilvl w:val="0"/>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transaction or series of transactions (other than an offering of Class A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any Permitted Holder,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ectPr>
          <w:pgSz w:w="11900" w:h="16838" w:orient="portrait"/>
          <w:cols w:equalWidth="0" w:num="1">
            <w:col w:w="10900"/>
          </w:cols>
          <w:pgMar w:left="500" w:top="117" w:right="499" w:bottom="1440" w:gutter="0" w:footer="0" w:header="0"/>
        </w:sectPr>
      </w:pPr>
    </w:p>
    <w:bookmarkStart w:id="541" w:name="page542"/>
    <w:bookmarkEnd w:id="541"/>
    <w:p>
      <w:pPr>
        <w:ind w:right="60" w:firstLine="430"/>
        <w:spacing w:after="0" w:line="255" w:lineRule="auto"/>
        <w:tabs>
          <w:tab w:leader="none" w:pos="688"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6">
                      <a:extLst>
                        <a:ext uri="{28A0092B-C50C-407E-A947-70E740481C1C}"/>
                      </a:extLst>
                    </a:blip>
                    <a:srcRect/>
                    <a:stretch>
                      <a:fillRect/>
                    </a:stretch>
                  </pic:blipFill>
                  <pic:spPr bwMode="auto">
                    <a:xfrm>
                      <a:off x="0" y="0"/>
                      <a:ext cx="7150735" cy="24765"/>
                    </a:xfrm>
                    <a:prstGeom prst="rect">
                      <a:avLst/>
                    </a:prstGeom>
                    <a:noFill/>
                  </pic:spPr>
                </pic:pic>
              </a:graphicData>
            </a:graphic>
          </wp:anchor>
        </w:drawing>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75" w:lineRule="exact"/>
        <w:rPr>
          <w:rFonts w:ascii="Times New Roman" w:cs="Times New Roman" w:eastAsia="Times New Roman" w:hAnsi="Times New Roman"/>
          <w:sz w:val="18"/>
          <w:szCs w:val="18"/>
          <w:color w:val="auto"/>
        </w:rPr>
      </w:pPr>
    </w:p>
    <w:p>
      <w:pPr>
        <w:ind w:right="160" w:firstLine="430"/>
        <w:spacing w:after="0" w:line="257" w:lineRule="auto"/>
        <w:tabs>
          <w:tab w:leader="none" w:pos="678"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75" w:lineRule="exact"/>
        <w:rPr>
          <w:rFonts w:ascii="Times New Roman" w:cs="Times New Roman" w:eastAsia="Times New Roman" w:hAnsi="Times New Roman"/>
          <w:sz w:val="18"/>
          <w:szCs w:val="18"/>
          <w:color w:val="auto"/>
        </w:rPr>
      </w:pPr>
    </w:p>
    <w:p>
      <w:pPr>
        <w:ind w:left="420" w:right="80" w:firstLine="428"/>
        <w:spacing w:after="0" w:line="255" w:lineRule="auto"/>
        <w:tabs>
          <w:tab w:leader="none" w:pos="1051"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directly or indirectly, at least a majority of the combined voting power of the Successor Entity’s outstanding voting securities immediately after the transaction, and</w:t>
      </w:r>
    </w:p>
    <w:p>
      <w:pPr>
        <w:spacing w:after="0" w:line="75" w:lineRule="exact"/>
        <w:rPr>
          <w:rFonts w:ascii="Times New Roman" w:cs="Times New Roman" w:eastAsia="Times New Roman" w:hAnsi="Times New Roman"/>
          <w:sz w:val="18"/>
          <w:szCs w:val="18"/>
          <w:color w:val="auto"/>
        </w:rPr>
      </w:pPr>
    </w:p>
    <w:p>
      <w:pPr>
        <w:ind w:left="420" w:firstLine="428"/>
        <w:spacing w:after="0" w:line="257" w:lineRule="auto"/>
        <w:tabs>
          <w:tab w:leader="none" w:pos="1101"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82" w:lineRule="exact"/>
        <w:rPr>
          <w:sz w:val="20"/>
          <w:szCs w:val="20"/>
          <w:color w:val="auto"/>
        </w:rPr>
      </w:pPr>
    </w:p>
    <w:p>
      <w:pPr>
        <w:ind w:right="60" w:firstLine="436"/>
        <w:spacing w:after="0" w:line="252"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portion of any right that constitutes “nonqualified deferred compensation,” the transaction or event constituting the Change in Control with respect to such right (or portion thereof) must also constitute a “change in control event” (as defined in Treasury Regulation §1.409A-3(i)(5)) to trigger the payment event for such right, to the extent required by Section 409A of the Code. 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78" w:lineRule="exact"/>
        <w:rPr>
          <w:sz w:val="20"/>
          <w:szCs w:val="20"/>
          <w:color w:val="auto"/>
        </w:rPr>
      </w:pPr>
    </w:p>
    <w:p>
      <w:pPr>
        <w:ind w:right="200" w:firstLine="436"/>
        <w:spacing w:after="0" w:line="282"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shall mean the Internal Revenue Code of 1986, as amended and the regulations issued thereunder.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means the Class A common stock of the Company, par value of $0.0001 per share.</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means the Class B common stock of the Company, par value of $0.0001 per share.</w:t>
      </w:r>
    </w:p>
    <w:p>
      <w:pPr>
        <w:spacing w:after="0" w:line="114" w:lineRule="exact"/>
        <w:rPr>
          <w:sz w:val="20"/>
          <w:szCs w:val="20"/>
          <w:color w:val="auto"/>
        </w:rPr>
      </w:pPr>
    </w:p>
    <w:p>
      <w:pPr>
        <w:ind w:right="260" w:firstLine="436"/>
        <w:spacing w:after="0" w:line="282"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shall mean the Class A common stock of the Company and such other securities of the Company that may be substituted therefor pursuant to Article VIII.</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mean GoodRx Holdings, Inc., a Delaware corporation.</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500" w:top="267" w:right="539" w:bottom="1440" w:gutter="0" w:footer="0" w:header="0"/>
        </w:sectPr>
      </w:pPr>
    </w:p>
    <w:bookmarkStart w:id="542" w:name="page543"/>
    <w:bookmarkEnd w:id="542"/>
    <w:p>
      <w:pPr>
        <w:ind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2.9 “</w:t>
      </w:r>
      <w:r>
        <w:rPr>
          <w:rFonts w:ascii="Times New Roman" w:cs="Times New Roman" w:eastAsia="Times New Roman" w:hAnsi="Times New Roman"/>
          <w:sz w:val="18"/>
          <w:szCs w:val="18"/>
          <w:b w:val="1"/>
          <w:bCs w:val="1"/>
          <w:i w:val="1"/>
          <w:iCs w:val="1"/>
          <w:color w:val="auto"/>
        </w:rPr>
        <w:t>Compensation</w:t>
      </w:r>
      <w:r>
        <w:rPr>
          <w:rFonts w:ascii="Times New Roman" w:cs="Times New Roman" w:eastAsia="Times New Roman" w:hAnsi="Times New Roman"/>
          <w:sz w:val="18"/>
          <w:szCs w:val="18"/>
          <w:color w:val="auto"/>
        </w:rPr>
        <w:t>” of an Eligible Employee shall mean the gross cash compensation received by such Eligible Employee as compensation for services to the Company or any Designated Subsidiary, including prior week adjustment, overtime payments, commissions and periodic bonuses but excluding vacation pay, holiday pay, jury duty pay, funeral leave pay, military leave pay, one-time bonuses (e.g., retention or sign on bonuses), education or tuition reimbursements, travel expenses, business and moving reimbursements, income received in connection with any stock options, stock appreciation rights, restricted stock, restricted stock units or other compensatory equity awards, fringe benefits, other special payments and all contributions made by the Company or any Designated Subsidiary for the Employee’s benefit under any employee benefit plan now or hereafter established.</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i w:val="1"/>
          <w:iCs w:val="1"/>
          <w:color w:val="auto"/>
        </w:rPr>
        <w:t>Designated Subsidiary</w:t>
      </w:r>
      <w:r>
        <w:rPr>
          <w:rFonts w:ascii="Times New Roman" w:cs="Times New Roman" w:eastAsia="Times New Roman" w:hAnsi="Times New Roman"/>
          <w:sz w:val="18"/>
          <w:szCs w:val="18"/>
          <w:color w:val="auto"/>
        </w:rPr>
        <w:t>” shall mean any Subsidiary designated by the Administrator in accordance with Section 11.3(b).</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shall mean the day prior to the Public Trading Date.</w:t>
      </w:r>
    </w:p>
    <w:p>
      <w:pPr>
        <w:spacing w:after="0" w:line="114" w:lineRule="exact"/>
        <w:rPr>
          <w:sz w:val="20"/>
          <w:szCs w:val="20"/>
          <w:color w:val="auto"/>
        </w:rPr>
      </w:pPr>
    </w:p>
    <w:p>
      <w:pPr>
        <w:ind w:firstLine="436"/>
        <w:spacing w:after="0" w:line="266" w:lineRule="auto"/>
        <w:rPr>
          <w:sz w:val="20"/>
          <w:szCs w:val="20"/>
          <w:color w:val="auto"/>
        </w:rPr>
      </w:pPr>
      <w:r>
        <w:rPr>
          <w:rFonts w:ascii="Times New Roman" w:cs="Times New Roman" w:eastAsia="Times New Roman" w:hAnsi="Times New Roman"/>
          <w:sz w:val="17"/>
          <w:szCs w:val="17"/>
          <w:color w:val="auto"/>
        </w:rPr>
        <w:t>2.12 “</w:t>
      </w:r>
      <w:r>
        <w:rPr>
          <w:rFonts w:ascii="Times New Roman" w:cs="Times New Roman" w:eastAsia="Times New Roman" w:hAnsi="Times New Roman"/>
          <w:sz w:val="17"/>
          <w:szCs w:val="17"/>
          <w:b w:val="1"/>
          <w:bCs w:val="1"/>
          <w:i w:val="1"/>
          <w:iCs w:val="1"/>
          <w:color w:val="auto"/>
        </w:rPr>
        <w:t>Eligible Employee</w:t>
      </w:r>
      <w:r>
        <w:rPr>
          <w:rFonts w:ascii="Times New Roman" w:cs="Times New Roman" w:eastAsia="Times New Roman" w:hAnsi="Times New Roman"/>
          <w:sz w:val="17"/>
          <w:szCs w:val="17"/>
          <w:color w:val="auto"/>
        </w:rPr>
        <w:t xml:space="preserve">” shall mean an Employee who does not, immediately after any rights under this Plan are granted, own (directly or through attribution) stock possessing 5% or more of the total combined voting power or value of all classes of Common Stock (including Class B Common Stock) and other stock of the Company, a Parent or a Subsidiary (as determined under Section 423(b)(3) of the Code). For purposes of the foregoing sentence, the rules of Section 424(d) of the Code with regard to the attribution of stock ownership shall apply in determining the stock ownership of an individual, and stock that an Employee may purchase under outstanding options shall be treated as stock owned by the Employee;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Administrator may provide in an Offering Document that an Employee shall not be eligible to participate in an Offering Period if: (a) such Employee is a highly compensated employee within the meaning of Section 423(b)(4)(D) of the Code, (b) such Employee has not met a service requirement designated by the Administrator pursuant to Section 423(b)(4)(A) of the Code (which service requirement may not exceed two years), (c) such Employee’s customary employment is for 20 hours or less per week, (d) such Employee’s customary employment is for less than five months in any calendar year and/or (e) such Employee is a citizen or resident of a foreign jurisdiction and the grant of a right to purchase Common Stock under the Plan to such Employee would be prohibited under the laws of such foreign jurisdiction or the grant of a right to purchase Common Stock under the Plan to such Employee in compliance with the laws of such foreign jurisdiction would cause the Plan to violate the requirements of Section 423 of the Code, as determined by the Administrator in its sole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any exclusion in clauses (a), (b), (c), (d) or (e) shall be applied in an identical manner under each Offering Period to all Employees, in accordance with Treasury Regulation Section 1.423-2(e).</w:t>
      </w:r>
    </w:p>
    <w:p>
      <w:pPr>
        <w:spacing w:after="0" w:line="66"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shall mean any officer or other employee (as defined in accordance with Section 3401(c) of the Code) of the Company or any Designated Subsidiary. “Employee” shall not include any director of the Company or a Designated Subsidiary who does not render services to the Company or a Designated Subsidiary as an employee within the meaning of Section 3401(c) of the Code.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months and the individual’s right to reemployment is not guaranteed either by statute or by contract, the employment relationship shall be deemed to have terminated on the first day immediately following such three-month period.</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i w:val="1"/>
          <w:iCs w:val="1"/>
          <w:color w:val="auto"/>
        </w:rPr>
        <w:t>Enrollment Date</w:t>
      </w:r>
      <w:r>
        <w:rPr>
          <w:rFonts w:ascii="Times New Roman" w:cs="Times New Roman" w:eastAsia="Times New Roman" w:hAnsi="Times New Roman"/>
          <w:sz w:val="18"/>
          <w:szCs w:val="18"/>
          <w:color w:val="auto"/>
        </w:rPr>
        <w:t>” shall mean the first Trading Day of each Offering Period.</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500" w:top="264" w:right="519" w:bottom="1440" w:gutter="0" w:footer="0" w:header="0"/>
        </w:sectPr>
      </w:pPr>
    </w:p>
    <w:bookmarkStart w:id="543" w:name="page544"/>
    <w:bookmarkEnd w:id="543"/>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8">
                      <a:extLst>
                        <a:ext uri="{28A0092B-C50C-407E-A947-70E740481C1C}"/>
                      </a:extLst>
                    </a:blip>
                    <a:srcRect/>
                    <a:stretch>
                      <a:fillRect/>
                    </a:stretch>
                  </pic:blipFill>
                  <pic:spPr bwMode="auto">
                    <a:xfrm>
                      <a:off x="0" y="0"/>
                      <a:ext cx="7150735" cy="24765"/>
                    </a:xfrm>
                    <a:prstGeom prst="rect">
                      <a:avLst/>
                    </a:prstGeom>
                    <a:noFill/>
                  </pic:spPr>
                </pic:pic>
              </a:graphicData>
            </a:graphic>
          </wp:anchor>
        </w:drawing>
        <w:t>2.15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 from time to time.</w:t>
      </w:r>
    </w:p>
    <w:p>
      <w:pPr>
        <w:spacing w:after="0" w:line="114"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xml:space="preserve">” 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another source the Administrator deems reliable; or (c) without an established market for the Common Stock, the Administrator will determine the Fair Market Value in its discretion.</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shall have the meaning given to such term in Section 4.1.</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i w:val="1"/>
          <w:iCs w:val="1"/>
          <w:color w:val="auto"/>
        </w:rPr>
        <w:t>Offering Period</w:t>
      </w:r>
      <w:r>
        <w:rPr>
          <w:rFonts w:ascii="Times New Roman" w:cs="Times New Roman" w:eastAsia="Times New Roman" w:hAnsi="Times New Roman"/>
          <w:sz w:val="18"/>
          <w:szCs w:val="18"/>
          <w:color w:val="auto"/>
        </w:rPr>
        <w:t>” shall have the meaning given to such term in Section 4.1.</w:t>
      </w:r>
    </w:p>
    <w:p>
      <w:pPr>
        <w:spacing w:after="0" w:line="114" w:lineRule="exact"/>
        <w:rPr>
          <w:sz w:val="20"/>
          <w:szCs w:val="20"/>
          <w:color w:val="auto"/>
        </w:rPr>
      </w:pPr>
    </w:p>
    <w:p>
      <w:pPr>
        <w:ind w:right="60" w:firstLine="436"/>
        <w:spacing w:after="0" w:line="265"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shall mean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spacing w:after="0" w:line="62" w:lineRule="exact"/>
        <w:rPr>
          <w:sz w:val="20"/>
          <w:szCs w:val="20"/>
          <w:color w:val="auto"/>
        </w:rPr>
      </w:pPr>
    </w:p>
    <w:p>
      <w:pPr>
        <w:ind w:right="200" w:firstLine="436"/>
        <w:spacing w:after="0" w:line="282"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shall mean any Eligible Employee who has executed a subscription agreement and been granted rights to purchase Common Stock pursuant to the Plan.</w:t>
      </w:r>
    </w:p>
    <w:p>
      <w:pPr>
        <w:spacing w:after="0" w:line="48" w:lineRule="exact"/>
        <w:rPr>
          <w:sz w:val="20"/>
          <w:szCs w:val="20"/>
          <w:color w:val="auto"/>
        </w:rPr>
      </w:pPr>
    </w:p>
    <w:p>
      <w:pPr>
        <w:ind w:right="40" w:firstLine="436"/>
        <w:spacing w:after="0" w:line="282"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b w:val="1"/>
          <w:bCs w:val="1"/>
          <w:i w:val="1"/>
          <w:iCs w:val="1"/>
          <w:color w:val="auto"/>
        </w:rPr>
        <w:t>Permitted Holder</w:t>
      </w:r>
      <w:r>
        <w:rPr>
          <w:rFonts w:ascii="Times New Roman" w:cs="Times New Roman" w:eastAsia="Times New Roman" w:hAnsi="Times New Roman"/>
          <w:sz w:val="18"/>
          <w:szCs w:val="18"/>
          <w:color w:val="auto"/>
        </w:rPr>
        <w:t>” means each of the Stockholder Group, any member of the Stockholder Group, Douglas Hirsch, Trevor Bezdek or any of their respective affiliates.</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shall mean this GoodRx Holdings, Inc. 2020 Employee Stock Purchase Plan, as it may be amended from time to time.</w:t>
      </w:r>
    </w:p>
    <w:p>
      <w:pPr>
        <w:spacing w:after="0" w:line="114" w:lineRule="exact"/>
        <w:rPr>
          <w:sz w:val="20"/>
          <w:szCs w:val="20"/>
          <w:color w:val="auto"/>
        </w:rPr>
      </w:pPr>
    </w:p>
    <w:p>
      <w:pPr>
        <w:jc w:val="both"/>
        <w:ind w:right="20" w:firstLine="436"/>
        <w:spacing w:after="0" w:line="265"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b w:val="1"/>
          <w:bCs w:val="1"/>
          <w:i w:val="1"/>
          <w:iCs w:val="1"/>
          <w:color w:val="auto"/>
        </w:rPr>
        <w:t>Public Trading Date</w:t>
      </w:r>
      <w:r>
        <w:rPr>
          <w:rFonts w:ascii="Times New Roman" w:cs="Times New Roman" w:eastAsia="Times New Roman" w:hAnsi="Times New Roman"/>
          <w:sz w:val="18"/>
          <w:szCs w:val="18"/>
          <w:color w:val="auto"/>
        </w:rPr>
        <w:t>” means the first date upon which the Class A Common Stock is listed (or approved for listing) upon notice of issuance on any securities exchange or designated (or approved for designation) upon notice of issuance as a national market security on an interdealer quotation system.</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shall mean the last Trading Day of each Purchase Period.</w:t>
      </w:r>
    </w:p>
    <w:p>
      <w:pPr>
        <w:spacing w:after="0" w:line="114" w:lineRule="exact"/>
        <w:rPr>
          <w:sz w:val="20"/>
          <w:szCs w:val="20"/>
          <w:color w:val="auto"/>
        </w:rPr>
      </w:pPr>
    </w:p>
    <w:p>
      <w:pPr>
        <w:ind w:right="180" w:firstLine="436"/>
        <w:spacing w:after="0" w:line="265" w:lineRule="auto"/>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xml:space="preserve">” shall refer to one or more periods within an Offering Period, as designated in the applicable Offering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no Purchase Period is designated by the Administrator in the applicable Offering Document, the Purchase Period for each Offering Period covered by such Offering Document shall be the same as the applicable Offering Period.</w:t>
      </w:r>
    </w:p>
    <w:p>
      <w:pPr>
        <w:spacing w:after="0" w:line="62"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xml:space="preserve">” shall mean the purchase price designated by the Administrator in the applicable Offering Document (which purchase price shall not be less than 85% of the Fair Market Value of a Share on the Enrollment Date or on the Purchase Date, whichever is lower);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Purchase Price may be adjusted by the Administrator pursuant to Article VIII and shall not be less than the par value of a Share.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500" w:top="263" w:right="539" w:bottom="1440" w:gutter="0" w:footer="0" w:header="0"/>
        </w:sectPr>
      </w:pPr>
    </w:p>
    <w:bookmarkStart w:id="544" w:name="page545"/>
    <w:bookmarkEnd w:id="544"/>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2.27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shall mean a share of Class A Common Stock.</w:t>
      </w:r>
    </w:p>
    <w:p>
      <w:pPr>
        <w:spacing w:after="0" w:line="114" w:lineRule="exact"/>
        <w:rPr>
          <w:sz w:val="20"/>
          <w:szCs w:val="20"/>
          <w:color w:val="auto"/>
        </w:rPr>
      </w:pPr>
    </w:p>
    <w:p>
      <w:pPr>
        <w:ind w:right="60" w:firstLine="436"/>
        <w:spacing w:after="0" w:line="265"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b w:val="1"/>
          <w:bCs w:val="1"/>
          <w:i w:val="1"/>
          <w:iCs w:val="1"/>
          <w:color w:val="auto"/>
        </w:rPr>
        <w:t>Stockholder Group</w:t>
      </w:r>
      <w:r>
        <w:rPr>
          <w:rFonts w:ascii="Times New Roman" w:cs="Times New Roman" w:eastAsia="Times New Roman" w:hAnsi="Times New Roman"/>
          <w:sz w:val="18"/>
          <w:szCs w:val="18"/>
          <w:color w:val="auto"/>
        </w:rPr>
        <w:t>” shall mean the “group” (as such term is used in Section 13(d) of the Exchange Act) consisting of SLP Geology Aggregator, L.P., Francisco Partners IV, L.P., Francisco Partners IV-A, L.P., Spectrum Equity VII, L.P., Spectrum VII Investment Managers’ Fund, L.P., Spectrum VII Co-Investment Fund, L.P. and Idea Men, LLC, in each case together with their affiliates.</w:t>
      </w:r>
    </w:p>
    <w:p>
      <w:pPr>
        <w:spacing w:after="0" w:line="62" w:lineRule="exact"/>
        <w:rPr>
          <w:sz w:val="20"/>
          <w:szCs w:val="20"/>
          <w:color w:val="auto"/>
        </w:rPr>
      </w:pPr>
    </w:p>
    <w:p>
      <w:pPr>
        <w:ind w:right="40" w:firstLine="436"/>
        <w:spacing w:after="0" w:line="254"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xml:space="preserve">” shall mean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 limited liability company or partnership may be treated as a Subsidiary to the extent either (a) such entity is treated as a disregarded entity under Treasury Regulation</w:t>
      </w:r>
    </w:p>
    <w:p>
      <w:pPr>
        <w:spacing w:after="0" w:line="2"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7"/>
          <w:szCs w:val="17"/>
          <w:color w:val="auto"/>
        </w:rPr>
        <w:t>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shall mean a day on which national stock exchanges in the United States are open for trading.</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202"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Article VIII, the aggregate number of Shares that may be issued pursuant to rights granted under the Plan shall be 9,000,000 Shares. In addition to the foregoing, subject to Article VIII, on the first day of each calendar year beginning on January 1, 2021 and ending on and including January 1, 2030, the number of Shares available for issuance under the Plan shall be increased by that number of Shares equal to the lesser of (a) 1% of the aggregate number of shares of Class A Common Stock and Class B Common Stock outstanding on the final day of the immediately preceding calendar year and (b) such smaller number of Shares as determined by the Board. If any right granted under the Plan shall for any reason terminate without having been exercised, the Common Stock not purchased under such right shall again become available for issuance under the Plan. Notwithstanding anything in this Section 3.1 to the contrary, the number of Shares that may be issued or transferred pursuant to the rights granted under the Plan shall not exceed an aggregate of 100,000,000 Shares, subject to Article VIII.</w:t>
      </w:r>
    </w:p>
    <w:p>
      <w:pPr>
        <w:spacing w:after="0" w:line="185" w:lineRule="exact"/>
        <w:rPr>
          <w:sz w:val="20"/>
          <w:szCs w:val="20"/>
          <w:color w:val="auto"/>
        </w:rPr>
      </w:pPr>
    </w:p>
    <w:p>
      <w:pPr>
        <w:ind w:right="80" w:firstLine="436"/>
        <w:spacing w:after="0" w:line="27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Stock Distributed</w:t>
      </w:r>
      <w:r>
        <w:rPr>
          <w:rFonts w:ascii="Times New Roman" w:cs="Times New Roman" w:eastAsia="Times New Roman" w:hAnsi="Times New Roman"/>
          <w:sz w:val="18"/>
          <w:szCs w:val="18"/>
          <w:color w:val="auto"/>
        </w:rPr>
        <w:t>. Any Common Stock distributed pursuant to the Plan may consist, in whole or in part, of authorized and unissued Common Stock, treasury stock or Common Stock purchased on the open market.</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500" w:top="263" w:right="539" w:bottom="1440" w:gutter="0" w:footer="0" w:header="0"/>
        </w:sectPr>
      </w:pPr>
    </w:p>
    <w:bookmarkStart w:id="545" w:name="page546"/>
    <w:bookmarkEnd w:id="5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IV.</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OFFERING PERIODS; OFFERING DOCUMENTS; PURCHASE DATES</w:t>
      </w:r>
    </w:p>
    <w:p>
      <w:pPr>
        <w:spacing w:after="0" w:line="202" w:lineRule="exact"/>
        <w:rPr>
          <w:sz w:val="20"/>
          <w:szCs w:val="20"/>
          <w:color w:val="auto"/>
        </w:rPr>
      </w:pPr>
    </w:p>
    <w:p>
      <w:pPr>
        <w:ind w:right="20" w:firstLine="436"/>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Offering Periods</w:t>
      </w:r>
      <w:r>
        <w:rPr>
          <w:rFonts w:ascii="Times New Roman" w:cs="Times New Roman" w:eastAsia="Times New Roman" w:hAnsi="Times New Roman"/>
          <w:sz w:val="18"/>
          <w:szCs w:val="18"/>
          <w:color w:val="auto"/>
        </w:rPr>
        <w:t>. The Administrator may from time to time grant or provide for the grant of rights to purchase Common Stock under the Plan to Eligible Employees during one or more periods (each, an “</w:t>
      </w:r>
      <w:r>
        <w:rPr>
          <w:rFonts w:ascii="Times New Roman" w:cs="Times New Roman" w:eastAsia="Times New Roman" w:hAnsi="Times New Roman"/>
          <w:sz w:val="18"/>
          <w:szCs w:val="18"/>
          <w:b w:val="1"/>
          <w:bCs w:val="1"/>
          <w:i w:val="1"/>
          <w:iCs w:val="1"/>
          <w:color w:val="auto"/>
        </w:rPr>
        <w:t>Offering Period</w:t>
      </w:r>
      <w:r>
        <w:rPr>
          <w:rFonts w:ascii="Times New Roman" w:cs="Times New Roman" w:eastAsia="Times New Roman" w:hAnsi="Times New Roman"/>
          <w:sz w:val="18"/>
          <w:szCs w:val="18"/>
          <w:color w:val="auto"/>
        </w:rPr>
        <w:t>”) selected by the Administrator. The terms and conditions applicable to each Offering Period shall be set forth in an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adopted by the Administrator, which Offering Document shall be in such form and shall contain such terms and conditions as the Administrator shall deem appropriate. The Administrator shall establish in each Offering Document one or more Purchase Periods during such Offering Period during which rights granted under the Plan shall be exercised and purchases of Shares carried out during such Offering Period in accordance with such Offering Document and the Plan. The provisions of separate Offering Periods under the Plan need not be identical.</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Offering Documents</w:t>
      </w:r>
      <w:r>
        <w:rPr>
          <w:rFonts w:ascii="Times New Roman" w:cs="Times New Roman" w:eastAsia="Times New Roman" w:hAnsi="Times New Roman"/>
          <w:sz w:val="17"/>
          <w:szCs w:val="17"/>
          <w:color w:val="auto"/>
        </w:rPr>
        <w:t>. Each Offering Document with respect to an Offering Period shall specify (through incorporation of the provisions of this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by reference or otherwise):</w:t>
      </w:r>
    </w:p>
    <w:p>
      <w:pPr>
        <w:spacing w:after="0" w:line="95" w:lineRule="exact"/>
        <w:rPr>
          <w:sz w:val="20"/>
          <w:szCs w:val="20"/>
          <w:color w:val="auto"/>
        </w:rPr>
      </w:pPr>
    </w:p>
    <w:p>
      <w:pPr>
        <w:ind w:left="680" w:hanging="250"/>
        <w:spacing w:after="0"/>
        <w:tabs>
          <w:tab w:leader="none" w:pos="68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Offering Period, which period shall not exceed 27 months;</w:t>
      </w:r>
    </w:p>
    <w:p>
      <w:pPr>
        <w:spacing w:after="0" w:line="113" w:lineRule="exact"/>
        <w:rPr>
          <w:rFonts w:ascii="Times New Roman" w:cs="Times New Roman" w:eastAsia="Times New Roman" w:hAnsi="Times New Roman"/>
          <w:sz w:val="18"/>
          <w:szCs w:val="18"/>
          <w:color w:val="auto"/>
        </w:rPr>
      </w:pPr>
    </w:p>
    <w:p>
      <w:pPr>
        <w:ind w:left="680" w:hanging="250"/>
        <w:spacing w:after="0"/>
        <w:tabs>
          <w:tab w:leader="none" w:pos="68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Purchase Period(s) within the Offering Period;</w:t>
      </w:r>
    </w:p>
    <w:p>
      <w:pPr>
        <w:spacing w:after="0" w:line="113" w:lineRule="exact"/>
        <w:rPr>
          <w:rFonts w:ascii="Times New Roman" w:cs="Times New Roman" w:eastAsia="Times New Roman" w:hAnsi="Times New Roman"/>
          <w:sz w:val="18"/>
          <w:szCs w:val="18"/>
          <w:color w:val="auto"/>
        </w:rPr>
      </w:pPr>
    </w:p>
    <w:p>
      <w:pPr>
        <w:ind w:right="20" w:firstLine="430"/>
        <w:spacing w:after="0" w:line="277" w:lineRule="auto"/>
        <w:tabs>
          <w:tab w:leader="none" w:pos="678"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each Offering Period that contains only one Purchase Period the maximum number of Shares that may be purchased by any Eligible Employee during such Offering Period, which, in the absence of a contrary designation by the Administrator, shall be 1,000 Shares;</w:t>
      </w:r>
    </w:p>
    <w:p>
      <w:pPr>
        <w:spacing w:after="0" w:line="56" w:lineRule="exact"/>
        <w:rPr>
          <w:rFonts w:ascii="Times New Roman" w:cs="Times New Roman" w:eastAsia="Times New Roman" w:hAnsi="Times New Roman"/>
          <w:sz w:val="18"/>
          <w:szCs w:val="18"/>
          <w:color w:val="auto"/>
        </w:rPr>
      </w:pPr>
    </w:p>
    <w:p>
      <w:pPr>
        <w:ind w:right="160" w:firstLine="430"/>
        <w:spacing w:after="0" w:line="262" w:lineRule="auto"/>
        <w:tabs>
          <w:tab w:leader="none" w:pos="688"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each Offering Period that contains more than one Purchase Period, the maximum aggregate number of Shares which may be purchased by any Eligible Employee during each Purchase Period, which, in the absence of a contrary designation by the Administrator, shall be 1,000 Shares; and</w:t>
      </w:r>
    </w:p>
    <w:p>
      <w:pPr>
        <w:spacing w:after="0" w:line="177" w:lineRule="exact"/>
        <w:rPr>
          <w:rFonts w:ascii="Times New Roman" w:cs="Times New Roman" w:eastAsia="Times New Roman" w:hAnsi="Times New Roman"/>
          <w:sz w:val="18"/>
          <w:szCs w:val="18"/>
          <w:color w:val="auto"/>
        </w:rPr>
      </w:pPr>
    </w:p>
    <w:p>
      <w:pPr>
        <w:ind w:left="680" w:hanging="250"/>
        <w:spacing w:after="0"/>
        <w:tabs>
          <w:tab w:leader="none" w:pos="68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provisions as the Administrator determines are appropriate, subject to the Plan.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ELIGIBILITY AND PARTICIPATION</w:t>
      </w:r>
    </w:p>
    <w:p>
      <w:pPr>
        <w:spacing w:after="0" w:line="202" w:lineRule="exact"/>
        <w:rPr>
          <w:sz w:val="20"/>
          <w:szCs w:val="20"/>
          <w:color w:val="auto"/>
        </w:rPr>
      </w:pPr>
    </w:p>
    <w:p>
      <w:pPr>
        <w:ind w:right="160" w:firstLine="436"/>
        <w:spacing w:after="0" w:line="26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Any Eligible Employee who shall be employed by the Company or a Designated Subsidiary on a given Enrollment Date for an Offering Period shall be eligible to participate in the Plan during such Offering Period, subject to the requirements of this Article V and the limitations imposed by Section 423(b) of the Code.</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Enrollment in Plan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430"/>
        <w:spacing w:after="0" w:line="262" w:lineRule="auto"/>
        <w:tabs>
          <w:tab w:leader="none" w:pos="678"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70" w:lineRule="exact"/>
        <w:rPr>
          <w:rFonts w:ascii="Times New Roman" w:cs="Times New Roman" w:eastAsia="Times New Roman" w:hAnsi="Times New Roman"/>
          <w:sz w:val="18"/>
          <w:szCs w:val="18"/>
          <w:color w:val="auto"/>
        </w:rPr>
      </w:pPr>
    </w:p>
    <w:p>
      <w:pPr>
        <w:ind w:firstLine="430"/>
        <w:spacing w:after="0" w:line="255" w:lineRule="auto"/>
        <w:tabs>
          <w:tab w:leader="none" w:pos="688"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subscription agreement shall designate a whole percentage of such Eligible Employee’s Compensation to be withheld by the Company or the Designated Subsidiary employing such Eligible Employee on each payday during the Offering Period as payroll deductions under the Plan. The designated percentage may not be less than 1% and may not be more than the maximum percentage specified by the Administrator in the applicable Offering Document (which percentage shall be 15% in the absence of any such designation). The payroll deductions made for each Participant shall be credited to an account for such Participant under the Plan and shall be deposited with the general funds of the Company.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500" w:top="264" w:right="539" w:bottom="1440" w:gutter="0" w:footer="0" w:header="0"/>
        </w:sectPr>
      </w:pPr>
    </w:p>
    <w:bookmarkStart w:id="546" w:name="page547"/>
    <w:bookmarkEnd w:id="546"/>
    <w:p>
      <w:pPr>
        <w:ind w:right="40" w:firstLine="430"/>
        <w:spacing w:after="0" w:line="251" w:lineRule="auto"/>
        <w:tabs>
          <w:tab w:leader="none" w:pos="678"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 Participant may decrease the percentage of Compensation designated in his or her subscription agreement, subject to the limits of this Section 5.2, or may suspend his or her payroll deductions, at any time during an Offering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Administrator may limit the number of changes a Participant may make to his or her payroll deduction elections during each Offering Period in the applicable Offering Document (and in the absence of any specific designation by the Administrator, a Participant shall be allowed two decreases and one suspension (but no increases) to his or her payroll deduction elections during each Offering Period with respect to such Offering Period). Any such change or suspension of payroll deductions shall be effective with the first full payroll period following ten business days after the Company’s receipt of the new subscription agreement (or such shorter or longer period as may be specified by the Administrator in the applicable Offering Document). In the event a Participant suspends his or her payroll deductions,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w:t>
      </w:r>
    </w:p>
    <w:p>
      <w:pPr>
        <w:spacing w:after="0" w:line="79" w:lineRule="exact"/>
        <w:rPr>
          <w:rFonts w:ascii="Times New Roman" w:cs="Times New Roman" w:eastAsia="Times New Roman" w:hAnsi="Times New Roman"/>
          <w:sz w:val="18"/>
          <w:szCs w:val="18"/>
          <w:color w:val="auto"/>
        </w:rPr>
      </w:pPr>
    </w:p>
    <w:p>
      <w:pPr>
        <w:ind w:right="220" w:firstLine="430"/>
        <w:spacing w:after="0" w:line="277" w:lineRule="auto"/>
        <w:tabs>
          <w:tab w:leader="none" w:pos="688"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Section 5.8 or in an Offering Document or determined by the Administrator, a Participant may participate in the Plan only by means of payroll deduction and may not make contributions by lump sum payment for any Offering Period.</w:t>
      </w:r>
    </w:p>
    <w:p>
      <w:pPr>
        <w:spacing w:after="0" w:line="57" w:lineRule="exact"/>
        <w:rPr>
          <w:sz w:val="20"/>
          <w:szCs w:val="20"/>
          <w:color w:val="auto"/>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Payroll Deductions</w:t>
      </w:r>
      <w:r>
        <w:rPr>
          <w:rFonts w:ascii="Times New Roman" w:cs="Times New Roman" w:eastAsia="Times New Roman" w:hAnsi="Times New Roman"/>
          <w:sz w:val="18"/>
          <w:szCs w:val="18"/>
          <w:color w:val="auto"/>
        </w:rPr>
        <w:t>. Except as otherwise provided in the applicable Offering Document or Section 5.8, payroll deductions for a Participant shall commence on the first payroll following the Enrollment Date and shall end on the last payroll in the Offering Period to which the Participant’s authorization is applicable, unless sooner terminated by the Participant as provided in Article VII or suspended by the Participant or the Administrator as provided in Section 5.2 and Section 5.6, respectively.</w:t>
      </w:r>
    </w:p>
    <w:p>
      <w:pPr>
        <w:spacing w:after="0" w:line="75" w:lineRule="exact"/>
        <w:rPr>
          <w:sz w:val="20"/>
          <w:szCs w:val="20"/>
          <w:color w:val="auto"/>
        </w:rPr>
      </w:pPr>
    </w:p>
    <w:p>
      <w:pPr>
        <w:ind w:right="20" w:firstLine="436"/>
        <w:spacing w:after="0" w:line="26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Effect of Enrollment</w:t>
      </w:r>
      <w:r>
        <w:rPr>
          <w:rFonts w:ascii="Times New Roman" w:cs="Times New Roman" w:eastAsia="Times New Roman" w:hAnsi="Times New Roman"/>
          <w:sz w:val="18"/>
          <w:szCs w:val="18"/>
          <w:color w:val="auto"/>
        </w:rPr>
        <w:t>. A Participant’s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w:t>
      </w:r>
    </w:p>
    <w:p>
      <w:pPr>
        <w:spacing w:after="0" w:line="70" w:lineRule="exact"/>
        <w:rPr>
          <w:sz w:val="20"/>
          <w:szCs w:val="20"/>
          <w:color w:val="auto"/>
        </w:rPr>
      </w:pPr>
    </w:p>
    <w:p>
      <w:pPr>
        <w:ind w:righ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Limitation on Purchase of Common Stock</w:t>
      </w:r>
      <w:r>
        <w:rPr>
          <w:rFonts w:ascii="Times New Roman" w:cs="Times New Roman" w:eastAsia="Times New Roman" w:hAnsi="Times New Roman"/>
          <w:sz w:val="18"/>
          <w:szCs w:val="18"/>
          <w:color w:val="auto"/>
        </w:rPr>
        <w:t>. An Eligible Employee may be granted rights under the Plan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80"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Decrease or Suspension of Payroll Deductions</w:t>
      </w:r>
      <w:r>
        <w:rPr>
          <w:rFonts w:ascii="Times New Roman" w:cs="Times New Roman" w:eastAsia="Times New Roman" w:hAnsi="Times New Roman"/>
          <w:sz w:val="18"/>
          <w:szCs w:val="18"/>
          <w:color w:val="auto"/>
        </w:rPr>
        <w:t>. Notwithstanding the foregoing, to the extent necessary to comply with Section 423(b)(8) of the Code and Section 5.5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500" w:top="268" w:right="519" w:bottom="1440" w:gutter="0" w:footer="0" w:header="0"/>
        </w:sectPr>
      </w:pPr>
    </w:p>
    <w:bookmarkStart w:id="547" w:name="page548"/>
    <w:bookmarkEnd w:id="547"/>
    <w:p>
      <w:pPr>
        <w:ind w:left="6" w:right="120" w:firstLine="43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2">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5.7 </w:t>
      </w:r>
      <w:r>
        <w:rPr>
          <w:rFonts w:ascii="Times New Roman" w:cs="Times New Roman" w:eastAsia="Times New Roman" w:hAnsi="Times New Roman"/>
          <w:sz w:val="18"/>
          <w:szCs w:val="18"/>
          <w:u w:val="single" w:color="auto"/>
          <w:color w:val="auto"/>
        </w:rPr>
        <w:t>Foreign Employees</w:t>
      </w:r>
      <w:r>
        <w:rPr>
          <w:rFonts w:ascii="Times New Roman" w:cs="Times New Roman" w:eastAsia="Times New Roman" w:hAnsi="Times New Roman"/>
          <w:sz w:val="18"/>
          <w:szCs w:val="18"/>
          <w:color w:val="auto"/>
        </w:rPr>
        <w:t>. In order to facilitate participation in the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Such special terms may not be more favorable than the terms of rights granted under the Plan to Eligible Employees who are residents of the United States. Moreover, the Administrator may approve such supplements to, or amendments, restatements or alternative versions of, this Plan as it may consider necessary or appropriate for such purposes without thereby affecting the terms of this Plan as in effect for any other purpose. No such special terms, supplements, amendments or restatements shall include any provisions that are inconsistent with the terms of this Plan as then in effect unless this Plan could have been amended to eliminate such inconsistency without further approval by the stockholders of the Company.</w:t>
      </w:r>
    </w:p>
    <w:p>
      <w:pPr>
        <w:spacing w:after="0" w:line="7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Leave of Absence</w:t>
      </w:r>
      <w:r>
        <w:rPr>
          <w:rFonts w:ascii="Times New Roman" w:cs="Times New Roman" w:eastAsia="Times New Roman" w:hAnsi="Times New Roman"/>
          <w:sz w:val="18"/>
          <w:szCs w:val="18"/>
          <w:color w:val="auto"/>
        </w:rPr>
        <w:t>. During leaves of absence approved by the Company meeting the requirements of Treasury Regulation</w:t>
      </w:r>
    </w:p>
    <w:p>
      <w:pPr>
        <w:spacing w:after="0" w:line="26" w:lineRule="exact"/>
        <w:rPr>
          <w:sz w:val="20"/>
          <w:szCs w:val="20"/>
          <w:color w:val="auto"/>
        </w:rPr>
      </w:pPr>
    </w:p>
    <w:p>
      <w:pPr>
        <w:ind w:left="6" w:right="440"/>
        <w:spacing w:after="0" w:line="255" w:lineRule="auto"/>
        <w:rPr>
          <w:sz w:val="20"/>
          <w:szCs w:val="20"/>
          <w:color w:val="auto"/>
        </w:rPr>
      </w:pPr>
      <w:r>
        <w:rPr>
          <w:rFonts w:ascii="Times New Roman" w:cs="Times New Roman" w:eastAsia="Times New Roman" w:hAnsi="Times New Roman"/>
          <w:sz w:val="18"/>
          <w:szCs w:val="18"/>
          <w:color w:val="auto"/>
        </w:rPr>
        <w:t>Section 1.421-1(h)(2) under the Code, a Participant may continue participation in the Plan by making cash payments to the Company on his or her normal payday equal to his or her authorized payroll deduction.</w:t>
      </w:r>
    </w:p>
    <w:p>
      <w:pPr>
        <w:spacing w:after="0" w:line="392"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0"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b w:val="1"/>
          <w:bCs w:val="1"/>
          <w:color w:val="auto"/>
        </w:rPr>
        <w:t>GRANT AND EXERCISE OF RIGHTS</w:t>
      </w:r>
    </w:p>
    <w:p>
      <w:pPr>
        <w:spacing w:after="0" w:line="202" w:lineRule="exact"/>
        <w:rPr>
          <w:sz w:val="20"/>
          <w:szCs w:val="20"/>
          <w:color w:val="auto"/>
        </w:rPr>
      </w:pPr>
    </w:p>
    <w:p>
      <w:pPr>
        <w:ind w:left="6" w:right="180" w:firstLine="436"/>
        <w:spacing w:after="0" w:line="270"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Grant of Rights</w:t>
      </w:r>
      <w:r>
        <w:rPr>
          <w:rFonts w:ascii="Times New Roman" w:cs="Times New Roman" w:eastAsia="Times New Roman" w:hAnsi="Times New Roman"/>
          <w:sz w:val="17"/>
          <w:szCs w:val="17"/>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w:t>
      </w:r>
    </w:p>
    <w:p>
      <w:pPr>
        <w:ind w:left="246" w:hanging="246"/>
        <w:spacing w:after="0"/>
        <w:tabs>
          <w:tab w:leader="none" w:pos="24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Participant’s payroll deductions accumulated prior to such Purchase Date and retained in the Participant’s account as of the Purchase Date, by</w:t>
      </w:r>
    </w:p>
    <w:p>
      <w:pPr>
        <w:spacing w:after="0" w:line="6" w:lineRule="exact"/>
        <w:rPr>
          <w:rFonts w:ascii="Times New Roman" w:cs="Times New Roman" w:eastAsia="Times New Roman" w:hAnsi="Times New Roman"/>
          <w:sz w:val="18"/>
          <w:szCs w:val="18"/>
          <w:color w:val="auto"/>
        </w:rPr>
      </w:pPr>
    </w:p>
    <w:p>
      <w:pPr>
        <w:ind w:left="6" w:right="60" w:hanging="6"/>
        <w:spacing w:after="0" w:line="255" w:lineRule="auto"/>
        <w:tabs>
          <w:tab w:leader="none" w:pos="258"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Purchase Price (rounded down to the nearest Share). The right shall expire on the earlier of: (x) the last Purchase Date of the Offering Period, (y) last day of the Offering Period and (z) the date on which the Participant withdraws in accordance with Section 7.1 or Section 7.3.</w:t>
      </w:r>
    </w:p>
    <w:p>
      <w:pPr>
        <w:spacing w:after="0" w:line="76" w:lineRule="exact"/>
        <w:rPr>
          <w:sz w:val="20"/>
          <w:szCs w:val="20"/>
          <w:color w:val="auto"/>
        </w:rPr>
      </w:pPr>
    </w:p>
    <w:p>
      <w:pPr>
        <w:ind w:left="6" w:right="80" w:firstLine="436"/>
        <w:spacing w:after="0" w:line="25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Exercise of Rights</w:t>
      </w:r>
      <w:r>
        <w:rPr>
          <w:rFonts w:ascii="Times New Roman" w:cs="Times New Roman" w:eastAsia="Times New Roman" w:hAnsi="Times New Roman"/>
          <w:sz w:val="18"/>
          <w:szCs w:val="18"/>
          <w:color w:val="auto"/>
        </w:rPr>
        <w:t>. On each Purchase Date, each Participant’s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carried forward and applied toward the purchase of whole Shares for the following Offering Period. Shares issued pursuant to the Plan may be evidenced in such manner as the Administrator may determine and may be issued in certificated form or issued pursuant to book-entry procedures.</w:t>
      </w:r>
    </w:p>
    <w:p>
      <w:pPr>
        <w:spacing w:after="0" w:line="82" w:lineRule="exact"/>
        <w:rPr>
          <w:sz w:val="20"/>
          <w:szCs w:val="20"/>
          <w:color w:val="auto"/>
        </w:rPr>
      </w:pPr>
    </w:p>
    <w:p>
      <w:pPr>
        <w:ind w:left="6" w:firstLine="436"/>
        <w:spacing w:after="0" w:line="250"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Pro Rata Allocation of Shares</w:t>
      </w:r>
      <w:r>
        <w:rPr>
          <w:rFonts w:ascii="Times New Roman" w:cs="Times New Roman" w:eastAsia="Times New Roman" w:hAnsi="Times New Roman"/>
          <w:sz w:val="18"/>
          <w:szCs w:val="18"/>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Common Stock are to be exercised pursuant to this Article VI on such Purchase Date, and shall either (i) continue all Offering Periods then in effect, or (ii) 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in one lump sum in cash as soon as reasonably practicable after the Purchase Date.</w:t>
      </w:r>
    </w:p>
    <w:p>
      <w:pPr>
        <w:spacing w:after="0" w:line="126"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6"/>
          </w:cols>
          <w:pgMar w:left="494" w:top="267" w:right="539" w:bottom="1440" w:gutter="0" w:footer="0" w:header="0"/>
        </w:sectPr>
      </w:pPr>
    </w:p>
    <w:bookmarkStart w:id="548" w:name="page549"/>
    <w:bookmarkEnd w:id="548"/>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3">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6.4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At the time a Participant’s rights under the Plan are exercised, in whole or in part, or at the time some or all of the Common Stock issued under the Plan is disposed of, the Participant must make adequate provision for the Company’s federal, state, or other tax withholding obligations, if any, that arise upon the exercise of the right or the disposition of the Common Stock. At any time, the Company may, but shall not be obligated to, withhold from the Participant’s compensation the amount necessary for the Company to meet applicable withholding obligations, including any withholding required to make available to the Company any tax deductions or benefits attributable to sale or early disposition of Common Stock by the Participant.</w:t>
      </w:r>
    </w:p>
    <w:p>
      <w:pPr>
        <w:spacing w:after="0" w:line="80" w:lineRule="exact"/>
        <w:rPr>
          <w:sz w:val="20"/>
          <w:szCs w:val="20"/>
          <w:color w:val="auto"/>
        </w:rPr>
      </w:pPr>
    </w:p>
    <w:p>
      <w:pPr>
        <w:ind w:firstLine="436"/>
        <w:spacing w:after="0" w:line="277"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Conditions to Issuance of Common Stock</w:t>
      </w:r>
      <w:r>
        <w:rPr>
          <w:rFonts w:ascii="Times New Roman" w:cs="Times New Roman" w:eastAsia="Times New Roman" w:hAnsi="Times New Roman"/>
          <w:sz w:val="18"/>
          <w:szCs w:val="18"/>
          <w:color w:val="auto"/>
        </w:rPr>
        <w:t>. The Company shall not be required to issue or deliver any certificate or certificates for, or make any book entries evidencing, Shares purchased upon the exercise of rights under the Plan prior to fulfillment of all of the following conditions:</w:t>
      </w:r>
    </w:p>
    <w:p>
      <w:pPr>
        <w:spacing w:after="0" w:line="57" w:lineRule="exact"/>
        <w:rPr>
          <w:sz w:val="20"/>
          <w:szCs w:val="20"/>
          <w:color w:val="auto"/>
        </w:rPr>
      </w:pPr>
    </w:p>
    <w:p>
      <w:pPr>
        <w:ind w:left="680" w:hanging="250"/>
        <w:spacing w:after="0"/>
        <w:tabs>
          <w:tab w:leader="none" w:pos="68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admission of such Shares to listing on all stock exchanges, if any, on which the Common Stock is then listed;</w:t>
      </w:r>
    </w:p>
    <w:p>
      <w:pPr>
        <w:spacing w:after="0" w:line="113" w:lineRule="exact"/>
        <w:rPr>
          <w:rFonts w:ascii="Times New Roman" w:cs="Times New Roman" w:eastAsia="Times New Roman" w:hAnsi="Times New Roman"/>
          <w:sz w:val="18"/>
          <w:szCs w:val="18"/>
          <w:color w:val="auto"/>
        </w:rPr>
      </w:pPr>
    </w:p>
    <w:p>
      <w:pPr>
        <w:jc w:val="both"/>
        <w:ind w:right="20" w:firstLine="430"/>
        <w:spacing w:after="0" w:line="262" w:lineRule="auto"/>
        <w:tabs>
          <w:tab w:leader="none" w:pos="688"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w:t>
      </w:r>
    </w:p>
    <w:p>
      <w:pPr>
        <w:spacing w:after="0" w:line="70" w:lineRule="exact"/>
        <w:rPr>
          <w:rFonts w:ascii="Times New Roman" w:cs="Times New Roman" w:eastAsia="Times New Roman" w:hAnsi="Times New Roman"/>
          <w:sz w:val="18"/>
          <w:szCs w:val="18"/>
          <w:color w:val="auto"/>
        </w:rPr>
      </w:pPr>
    </w:p>
    <w:p>
      <w:pPr>
        <w:ind w:right="300" w:firstLine="430"/>
        <w:spacing w:after="0" w:line="277" w:lineRule="auto"/>
        <w:tabs>
          <w:tab w:leader="none" w:pos="678"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any approval or other clearance from any state or federal governmental agency that the Administrator shall, in its absolute discretion, determine to be necessary or advisable;</w:t>
      </w:r>
    </w:p>
    <w:p>
      <w:pPr>
        <w:spacing w:after="0" w:line="56" w:lineRule="exact"/>
        <w:rPr>
          <w:rFonts w:ascii="Times New Roman" w:cs="Times New Roman" w:eastAsia="Times New Roman" w:hAnsi="Times New Roman"/>
          <w:sz w:val="18"/>
          <w:szCs w:val="18"/>
          <w:color w:val="auto"/>
        </w:rPr>
      </w:pPr>
    </w:p>
    <w:p>
      <w:pPr>
        <w:ind w:left="680" w:hanging="250"/>
        <w:spacing w:after="0"/>
        <w:tabs>
          <w:tab w:leader="none" w:pos="68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to the Company of all amounts that it is required to withhold under federal, state or local law upon exercise of the rights, if any;</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4" w:lineRule="exact"/>
        <w:rPr>
          <w:rFonts w:ascii="Times New Roman" w:cs="Times New Roman" w:eastAsia="Times New Roman" w:hAnsi="Times New Roman"/>
          <w:sz w:val="18"/>
          <w:szCs w:val="18"/>
          <w:color w:val="auto"/>
        </w:rPr>
      </w:pPr>
    </w:p>
    <w:p>
      <w:pPr>
        <w:ind w:right="500" w:firstLine="430"/>
        <w:spacing w:after="0" w:line="277" w:lineRule="auto"/>
        <w:tabs>
          <w:tab w:leader="none" w:pos="678"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of such reasonable period of time following the exercise of the rights as the Administrator may from time to time establish for reasons of administrative convenience.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WITHDRAWAL; CESSATION OF ELIGIBILITY</w:t>
      </w:r>
    </w:p>
    <w:p>
      <w:pPr>
        <w:spacing w:after="0" w:line="202" w:lineRule="exact"/>
        <w:rPr>
          <w:sz w:val="20"/>
          <w:szCs w:val="20"/>
          <w:color w:val="auto"/>
        </w:rPr>
      </w:pPr>
    </w:p>
    <w:p>
      <w:pPr>
        <w:ind w:right="40" w:firstLine="436"/>
        <w:spacing w:after="0" w:line="25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two weeks prior to the end of the Offering Period or, if earlier, the end of the Purchase Period (or such shorter or longer period specified by the Administrator in the Offering Document). All of the Participant’s payroll deductions credited to his or her account during an Offering Period shall be paid to such Participant as soon as reasonably practicable after receipt of notice of withdrawal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is an Eligible Employee and timely delivers to the Company a new subscription agreement.</w:t>
      </w:r>
    </w:p>
    <w:p>
      <w:pPr>
        <w:spacing w:after="0" w:line="78" w:lineRule="exact"/>
        <w:rPr>
          <w:sz w:val="20"/>
          <w:szCs w:val="20"/>
          <w:color w:val="auto"/>
        </w:rPr>
      </w:pPr>
    </w:p>
    <w:p>
      <w:pPr>
        <w:jc w:val="both"/>
        <w:ind w:right="180" w:firstLine="436"/>
        <w:spacing w:after="0" w:line="26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Future Participation</w:t>
      </w:r>
      <w:r>
        <w:rPr>
          <w:rFonts w:ascii="Times New Roman" w:cs="Times New Roman" w:eastAsia="Times New Roman" w:hAnsi="Times New Roman"/>
          <w:sz w:val="18"/>
          <w:szCs w:val="18"/>
          <w:color w:val="auto"/>
        </w:rPr>
        <w:t>.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500" w:top="267" w:right="519" w:bottom="1440" w:gutter="0" w:footer="0" w:header="0"/>
        </w:sectPr>
      </w:pPr>
    </w:p>
    <w:bookmarkStart w:id="549" w:name="page550"/>
    <w:bookmarkEnd w:id="549"/>
    <w:p>
      <w:pPr>
        <w:jc w:val="both"/>
        <w:ind w:right="40" w:firstLine="436"/>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7.3 </w:t>
      </w:r>
      <w:r>
        <w:rPr>
          <w:rFonts w:ascii="Times New Roman" w:cs="Times New Roman" w:eastAsia="Times New Roman" w:hAnsi="Times New Roman"/>
          <w:sz w:val="18"/>
          <w:szCs w:val="18"/>
          <w:u w:val="single" w:color="auto"/>
          <w:color w:val="auto"/>
        </w:rPr>
        <w:t>Cessation of Eligibility</w:t>
      </w:r>
      <w:r>
        <w:rPr>
          <w:rFonts w:ascii="Times New Roman" w:cs="Times New Roman" w:eastAsia="Times New Roman" w:hAnsi="Times New Roman"/>
          <w:sz w:val="18"/>
          <w:szCs w:val="18"/>
          <w:color w:val="auto"/>
        </w:rPr>
        <w:t>. Upon a Participant’s ceasing to be an Eligible Employee for any reason, he or she shall be deemed to have elected to withdraw from the Plan pursuant to this Article VII and the payroll deductions credited to such Participant’s account during the Offering Period shall be paid to such Participant or, in the case of his or her death, to the person or persons entitled thereto under Section 12.4, as soon as reasonably practicable, and such Participant’s rights for the Offering Period shall be automatically terminated.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ADJUSTMENTS UPON CHANGES IN STOCK</w:t>
      </w:r>
    </w:p>
    <w:p>
      <w:pPr>
        <w:spacing w:after="0" w:line="202"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Subject to Section 8.3, in the event that the Administrator determines that any dividend or other distribution (whether in the form of cash, Common Stock, other securities, or other property), Change in Control, reorganization, merger, amalgamation, consolidation, combination, repurchase, recapitalization, liquidation, dissolution, or sale, transfer, exchange or other disposition of all or substantially all of the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spacing w:after="0" w:line="86" w:lineRule="exact"/>
        <w:rPr>
          <w:sz w:val="20"/>
          <w:szCs w:val="20"/>
          <w:color w:val="auto"/>
        </w:rPr>
      </w:pPr>
    </w:p>
    <w:p>
      <w:pPr>
        <w:ind w:right="220" w:firstLine="436"/>
        <w:spacing w:after="0" w:line="25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Other Adjustments</w:t>
      </w:r>
      <w:r>
        <w:rPr>
          <w:rFonts w:ascii="Times New Roman" w:cs="Times New Roman" w:eastAsia="Times New Roman" w:hAnsi="Times New Roman"/>
          <w:sz w:val="18"/>
          <w:szCs w:val="18"/>
          <w:color w:val="auto"/>
        </w:rPr>
        <w:t>. Subject to Section 8.3, in the event of any transaction or event described in Section 8.1 or any unusual or nonrecurring transactions or events affecting the Company, any affiliate of the Company, or the financial statements of the Company or any affiliate (including without limitation any Change in Control),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82" w:lineRule="exact"/>
        <w:rPr>
          <w:sz w:val="20"/>
          <w:szCs w:val="20"/>
          <w:color w:val="auto"/>
        </w:rPr>
      </w:pPr>
    </w:p>
    <w:p>
      <w:pPr>
        <w:ind w:firstLine="430"/>
        <w:spacing w:after="0" w:line="262" w:lineRule="auto"/>
        <w:tabs>
          <w:tab w:leader="none" w:pos="678"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70" w:lineRule="exact"/>
        <w:rPr>
          <w:rFonts w:ascii="Times New Roman" w:cs="Times New Roman" w:eastAsia="Times New Roman" w:hAnsi="Times New Roman"/>
          <w:sz w:val="18"/>
          <w:szCs w:val="18"/>
          <w:color w:val="auto"/>
        </w:rPr>
      </w:pPr>
    </w:p>
    <w:p>
      <w:pPr>
        <w:ind w:right="260" w:firstLine="430"/>
        <w:spacing w:after="0" w:line="262" w:lineRule="auto"/>
        <w:tabs>
          <w:tab w:leader="none" w:pos="688"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60"/>
          </w:cols>
          <w:pgMar w:left="500" w:top="268" w:right="539" w:bottom="1440" w:gutter="0" w:footer="0" w:header="0"/>
        </w:sectPr>
      </w:pPr>
    </w:p>
    <w:bookmarkStart w:id="550" w:name="page551"/>
    <w:bookmarkEnd w:id="550"/>
    <w:p>
      <w:pPr>
        <w:ind w:left="6" w:right="220" w:firstLine="430"/>
        <w:spacing w:after="0" w:line="277" w:lineRule="auto"/>
        <w:tabs>
          <w:tab w:leader="none" w:pos="684"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make adjustments in the number and type of Shares (or other securities or property) subject to outstanding rights under the Plan and/or in the terms and conditions of outstanding rights and rights that may be granted in the future;</w:t>
      </w:r>
    </w:p>
    <w:p>
      <w:pPr>
        <w:spacing w:after="0" w:line="56" w:lineRule="exact"/>
        <w:rPr>
          <w:rFonts w:ascii="Times New Roman" w:cs="Times New Roman" w:eastAsia="Times New Roman" w:hAnsi="Times New Roman"/>
          <w:sz w:val="18"/>
          <w:szCs w:val="18"/>
          <w:color w:val="auto"/>
        </w:rPr>
      </w:pPr>
    </w:p>
    <w:p>
      <w:pPr>
        <w:ind w:left="6" w:right="320" w:firstLine="430"/>
        <w:spacing w:after="0" w:line="262" w:lineRule="auto"/>
        <w:tabs>
          <w:tab w:leader="none" w:pos="694"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Participants’ accumulated payroll deductions may be used to purchase Common Stock prior to the next occurring Purchase Date on such date as the Administrator determines in its sole discretion and the Participants’ rights under the ongoing Offering Period(s) shall be terminated; and</w:t>
      </w:r>
    </w:p>
    <w:p>
      <w:pPr>
        <w:spacing w:after="0" w:line="70" w:lineRule="exact"/>
        <w:rPr>
          <w:rFonts w:ascii="Times New Roman" w:cs="Times New Roman" w:eastAsia="Times New Roman" w:hAnsi="Times New Roman"/>
          <w:sz w:val="18"/>
          <w:szCs w:val="18"/>
          <w:color w:val="auto"/>
        </w:rPr>
      </w:pPr>
    </w:p>
    <w:p>
      <w:pPr>
        <w:ind w:left="686" w:hanging="250"/>
        <w:spacing w:after="0"/>
        <w:tabs>
          <w:tab w:leader="none" w:pos="686"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all outstanding rights shall terminate without being exercised.</w:t>
      </w:r>
    </w:p>
    <w:p>
      <w:pPr>
        <w:spacing w:after="0" w:line="114" w:lineRule="exact"/>
        <w:rPr>
          <w:sz w:val="20"/>
          <w:szCs w:val="20"/>
          <w:color w:val="auto"/>
        </w:rPr>
      </w:pPr>
    </w:p>
    <w:p>
      <w:pPr>
        <w:ind w:left="6" w:right="60" w:firstLine="436"/>
        <w:spacing w:after="0" w:line="277"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 Adjustment Under Certain Circumstances</w:t>
      </w:r>
      <w:r>
        <w:rPr>
          <w:rFonts w:ascii="Times New Roman" w:cs="Times New Roman" w:eastAsia="Times New Roman" w:hAnsi="Times New Roman"/>
          <w:sz w:val="18"/>
          <w:szCs w:val="18"/>
          <w:color w:val="auto"/>
        </w:rPr>
        <w:t>. No adjustment or action described in this Article VIII or in any other provision of the Plan shall be authorized to the extent that such adjustment or action would cause the Plan to fail to satisfy the requirements of Section 423 of the Code.</w:t>
      </w:r>
    </w:p>
    <w:p>
      <w:pPr>
        <w:spacing w:after="0" w:line="57" w:lineRule="exact"/>
        <w:rPr>
          <w:sz w:val="20"/>
          <w:szCs w:val="20"/>
          <w:color w:val="auto"/>
        </w:rPr>
      </w:pPr>
    </w:p>
    <w:p>
      <w:pPr>
        <w:ind w:left="6" w:right="140" w:firstLine="436"/>
        <w:spacing w:after="0" w:line="253"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No Other Rights</w:t>
      </w:r>
      <w:r>
        <w:rPr>
          <w:rFonts w:ascii="Times New Roman" w:cs="Times New Roman" w:eastAsia="Times New Roman" w:hAnsi="Times New Roman"/>
          <w:sz w:val="18"/>
          <w:szCs w:val="18"/>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pacing w:after="0" w:line="39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w:t>
      </w:r>
    </w:p>
    <w:p>
      <w:pPr>
        <w:spacing w:after="0" w:line="202" w:lineRule="exact"/>
        <w:rPr>
          <w:sz w:val="20"/>
          <w:szCs w:val="20"/>
          <w:color w:val="auto"/>
        </w:rPr>
      </w:pPr>
    </w:p>
    <w:p>
      <w:pPr>
        <w:ind w:left="6" w:firstLine="436"/>
        <w:spacing w:after="0" w:line="268" w:lineRule="auto"/>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u w:val="single" w:color="auto"/>
          <w:color w:val="auto"/>
        </w:rPr>
        <w:t>Amendment, Modification and Termination</w:t>
      </w:r>
      <w:r>
        <w:rPr>
          <w:rFonts w:ascii="Times New Roman" w:cs="Times New Roman" w:eastAsia="Times New Roman" w:hAnsi="Times New Roman"/>
          <w:sz w:val="17"/>
          <w:szCs w:val="17"/>
          <w:color w:val="auto"/>
        </w:rPr>
        <w:t xml:space="preserve">. The Administrator may amend, suspend or terminate the Plan at any time and from time to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approval of the Company’s stockholders shall be required to amend the Plan to: (a) increase the aggregate number, or change the type, of shares that may be sold pursuant to rights under the Plan under Section 3.1 (other than an adjustment as provided by Article VIII); (b) change the Plan in any manner that would be considered the adoption of a new plan within the meaning of Treasury regulation Section 1.423-2(c)(4); or</w:t>
      </w:r>
    </w:p>
    <w:p>
      <w:pPr>
        <w:spacing w:after="0" w:line="1" w:lineRule="exact"/>
        <w:rPr>
          <w:sz w:val="20"/>
          <w:szCs w:val="20"/>
          <w:color w:val="auto"/>
        </w:rPr>
      </w:pPr>
    </w:p>
    <w:p>
      <w:pPr>
        <w:ind w:left="6" w:right="40" w:hanging="6"/>
        <w:spacing w:after="0" w:line="255" w:lineRule="auto"/>
        <w:tabs>
          <w:tab w:leader="none" w:pos="248"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Plan in any manner that would cause the Plan to no longer be an “employee stock purchase plan” within the meaning of Section 423(b) of the Code.</w:t>
      </w:r>
    </w:p>
    <w:p>
      <w:pPr>
        <w:spacing w:after="0" w:line="76" w:lineRule="exact"/>
        <w:rPr>
          <w:sz w:val="20"/>
          <w:szCs w:val="20"/>
          <w:color w:val="auto"/>
        </w:rPr>
      </w:pPr>
    </w:p>
    <w:p>
      <w:pPr>
        <w:ind w:left="6" w:right="40" w:firstLine="436"/>
        <w:spacing w:after="0" w:line="25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Certain Changes to Plan</w:t>
      </w:r>
      <w:r>
        <w:rPr>
          <w:rFonts w:ascii="Times New Roman" w:cs="Times New Roman" w:eastAsia="Times New Roman" w:hAnsi="Times New Roman"/>
          <w:sz w:val="18"/>
          <w:szCs w:val="18"/>
          <w:color w:val="auto"/>
        </w:rPr>
        <w:t>. Without stockholder consent and without regard to whether any Participant rights may be considered to have been adversely affected, to the extent permitted by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11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6"/>
          </w:cols>
          <w:pgMar w:left="494" w:top="268" w:right="499" w:bottom="1440" w:gutter="0" w:footer="0" w:header="0"/>
        </w:sectPr>
      </w:pPr>
    </w:p>
    <w:bookmarkStart w:id="551" w:name="page552"/>
    <w:bookmarkEnd w:id="551"/>
    <w:p>
      <w:pPr>
        <w:ind w:right="120" w:firstLine="43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9.3 </w:t>
      </w:r>
      <w:r>
        <w:rPr>
          <w:rFonts w:ascii="Times New Roman" w:cs="Times New Roman" w:eastAsia="Times New Roman" w:hAnsi="Times New Roman"/>
          <w:sz w:val="18"/>
          <w:szCs w:val="18"/>
          <w:u w:val="single" w:color="auto"/>
          <w:color w:val="auto"/>
        </w:rPr>
        <w:t>Actions In the Event of Unfavorable Financial Accounting Consequences</w:t>
      </w:r>
      <w:r>
        <w:rPr>
          <w:rFonts w:ascii="Times New Roman" w:cs="Times New Roman" w:eastAsia="Times New Roman" w:hAnsi="Times New Roman"/>
          <w:sz w:val="18"/>
          <w:szCs w:val="18"/>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70" w:lineRule="exact"/>
        <w:rPr>
          <w:sz w:val="20"/>
          <w:szCs w:val="20"/>
          <w:color w:val="auto"/>
        </w:rPr>
      </w:pPr>
    </w:p>
    <w:p>
      <w:pPr>
        <w:ind w:left="680" w:hanging="250"/>
        <w:spacing w:after="0"/>
        <w:tabs>
          <w:tab w:leader="none" w:pos="68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the Purchase Price for any Offering Period including an Offering Period underway at the time of the change in Purchase Price;</w:t>
      </w:r>
    </w:p>
    <w:p>
      <w:pPr>
        <w:spacing w:after="0" w:line="113" w:lineRule="exact"/>
        <w:rPr>
          <w:rFonts w:ascii="Times New Roman" w:cs="Times New Roman" w:eastAsia="Times New Roman" w:hAnsi="Times New Roman"/>
          <w:sz w:val="18"/>
          <w:szCs w:val="18"/>
          <w:color w:val="auto"/>
        </w:rPr>
      </w:pPr>
    </w:p>
    <w:p>
      <w:pPr>
        <w:ind w:right="40" w:firstLine="430"/>
        <w:spacing w:after="0" w:line="277" w:lineRule="auto"/>
        <w:tabs>
          <w:tab w:leader="none" w:pos="688"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shortening any Offering Period so that the Offering Period ends on a new Purchase Date, including an Offering Period underway at the time of the Administrator action; and</w:t>
      </w:r>
    </w:p>
    <w:p>
      <w:pPr>
        <w:spacing w:after="0" w:line="56" w:lineRule="exact"/>
        <w:rPr>
          <w:rFonts w:ascii="Times New Roman" w:cs="Times New Roman" w:eastAsia="Times New Roman" w:hAnsi="Times New Roman"/>
          <w:sz w:val="18"/>
          <w:szCs w:val="18"/>
          <w:color w:val="auto"/>
        </w:rPr>
      </w:pPr>
    </w:p>
    <w:p>
      <w:pPr>
        <w:ind w:left="680" w:hanging="250"/>
        <w:spacing w:after="0"/>
        <w:tabs>
          <w:tab w:leader="none" w:pos="68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Shares.</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Such modifications or amendments shall not require stockholder approval or the consent of any Participant.</w:t>
      </w:r>
    </w:p>
    <w:p>
      <w:pPr>
        <w:spacing w:after="0" w:line="114" w:lineRule="exact"/>
        <w:rPr>
          <w:sz w:val="20"/>
          <w:szCs w:val="20"/>
          <w:color w:val="auto"/>
        </w:rPr>
      </w:pPr>
    </w:p>
    <w:p>
      <w:pPr>
        <w:ind w:right="40" w:firstLine="436"/>
        <w:spacing w:after="0" w:line="277"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Payments Upon Termination of Plan</w:t>
      </w:r>
      <w:r>
        <w:rPr>
          <w:rFonts w:ascii="Times New Roman" w:cs="Times New Roman" w:eastAsia="Times New Roman" w:hAnsi="Times New Roman"/>
          <w:sz w:val="18"/>
          <w:szCs w:val="18"/>
          <w:color w:val="auto"/>
        </w:rPr>
        <w:t>. Upon termination of the Plan, the balance in each Participant’s Plan account shall be refunded as soon as practicable after such termination, without any interest thereon.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OF PLAN</w:t>
      </w:r>
    </w:p>
    <w:p>
      <w:pPr>
        <w:spacing w:after="0" w:line="202" w:lineRule="exact"/>
        <w:rPr>
          <w:sz w:val="20"/>
          <w:szCs w:val="20"/>
          <w:color w:val="auto"/>
        </w:rPr>
      </w:pPr>
    </w:p>
    <w:p>
      <w:pPr>
        <w:ind w:right="60" w:firstLine="436"/>
        <w:spacing w:after="0" w:line="262" w:lineRule="auto"/>
        <w:rPr>
          <w:sz w:val="20"/>
          <w:szCs w:val="20"/>
          <w:color w:val="auto"/>
        </w:rPr>
      </w:pPr>
      <w:r>
        <w:rPr>
          <w:rFonts w:ascii="Times New Roman" w:cs="Times New Roman" w:eastAsia="Times New Roman" w:hAnsi="Times New Roman"/>
          <w:sz w:val="18"/>
          <w:szCs w:val="18"/>
          <w:color w:val="auto"/>
        </w:rPr>
        <w:t>The Plan shall be effective on the Effective Date. The effectiveness of the Plan shall be subject to approval of the Plan by the stockholders of the Company within 12 months following the date the Plan is first approved by the Board. No right may be granted under the Plan prior to such stockholder approval. No rights may be granted under the Plan during any period of suspension of the Plan or after termination of the Plan.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2"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Unless otherwise determined by the Board, the Administrator of the Plan shall be the Compensation Committee of the Board (or another committee or a subcommittee of the Board to which the Board delegates administration of the Plan) (such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The Board may at any time vest in the Board any authority or duties for administration of the Plan.</w:t>
      </w:r>
    </w:p>
    <w:p>
      <w:pPr>
        <w:spacing w:after="0" w:line="70" w:lineRule="exact"/>
        <w:rPr>
          <w:sz w:val="20"/>
          <w:szCs w:val="20"/>
          <w:color w:val="auto"/>
        </w:rPr>
      </w:pPr>
    </w:p>
    <w:p>
      <w:pPr>
        <w:ind w:right="160" w:firstLine="436"/>
        <w:spacing w:after="0" w:line="271" w:lineRule="auto"/>
        <w:rPr>
          <w:sz w:val="20"/>
          <w:szCs w:val="20"/>
          <w:color w:val="auto"/>
        </w:rPr>
      </w:pPr>
      <w:r>
        <w:rPr>
          <w:rFonts w:ascii="Times New Roman" w:cs="Times New Roman" w:eastAsia="Times New Roman" w:hAnsi="Times New Roman"/>
          <w:sz w:val="17"/>
          <w:szCs w:val="17"/>
          <w:color w:val="auto"/>
        </w:rPr>
        <w:t xml:space="preserve">11.2 </w:t>
      </w:r>
      <w:r>
        <w:rPr>
          <w:rFonts w:ascii="Times New Roman" w:cs="Times New Roman" w:eastAsia="Times New Roman" w:hAnsi="Times New Roman"/>
          <w:sz w:val="17"/>
          <w:szCs w:val="17"/>
          <w:u w:val="single" w:color="auto"/>
          <w:color w:val="auto"/>
        </w:rPr>
        <w:t>Action by the Administrator</w:t>
      </w:r>
      <w:r>
        <w:rPr>
          <w:rFonts w:ascii="Times New Roman" w:cs="Times New Roman" w:eastAsia="Times New Roman" w:hAnsi="Times New Roman"/>
          <w:sz w:val="17"/>
          <w:szCs w:val="17"/>
          <w:color w:val="auto"/>
        </w:rPr>
        <w:t>. Unless otherwise established by the Board or in any charter of the Administrator, a majority of the Administrator shall constitute a quorum. The acts of a majority of the members present at any meeting at which a quorum is present and, subject to Applicable Law and the Bylaws of the Company, acts approved in writing by a majority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Designated Subsidiary, the Company’s independent certified public accountants, or any executive compensation consultant or other professional retained by the Company to assist in the administration of the Plan.</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Authority of Administrator. The Administrator shall have the power, subject to,</w:t>
      </w:r>
      <w:r>
        <w:rPr>
          <w:rFonts w:ascii="Times New Roman" w:cs="Times New Roman" w:eastAsia="Times New Roman" w:hAnsi="Times New Roman"/>
          <w:sz w:val="18"/>
          <w:szCs w:val="18"/>
          <w:color w:val="auto"/>
        </w:rPr>
        <w:t xml:space="preserve"> and within the limitations of, the express provisions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95" w:lineRule="exact"/>
        <w:rPr>
          <w:sz w:val="20"/>
          <w:szCs w:val="20"/>
          <w:color w:val="auto"/>
        </w:rPr>
      </w:pPr>
    </w:p>
    <w:p>
      <w:pPr>
        <w:ind w:right="80" w:firstLine="430"/>
        <w:spacing w:after="0" w:line="277" w:lineRule="auto"/>
        <w:tabs>
          <w:tab w:leader="none" w:pos="678"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when and how rights to purchase Common Stock shall be granted and the provisions of each offering of such rights (which need not be identical).</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500" w:top="268" w:right="519" w:bottom="1440" w:gutter="0" w:footer="0" w:header="0"/>
        </w:sectPr>
      </w:pPr>
    </w:p>
    <w:bookmarkStart w:id="552" w:name="page553"/>
    <w:bookmarkEnd w:id="552"/>
    <w:p>
      <w:pPr>
        <w:ind w:right="80" w:firstLine="430"/>
        <w:spacing w:after="0" w:line="277" w:lineRule="auto"/>
        <w:tabs>
          <w:tab w:leader="none" w:pos="688"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designate from time to time which Subsidiaries of the Company shall be Designated Subsidiaries, which designation may be made without the approval of the stockholders of the Company.</w:t>
      </w:r>
    </w:p>
    <w:p>
      <w:pPr>
        <w:spacing w:after="0" w:line="56" w:lineRule="exact"/>
        <w:rPr>
          <w:rFonts w:ascii="Times New Roman" w:cs="Times New Roman" w:eastAsia="Times New Roman" w:hAnsi="Times New Roman"/>
          <w:sz w:val="18"/>
          <w:szCs w:val="18"/>
          <w:color w:val="auto"/>
        </w:rPr>
      </w:pPr>
    </w:p>
    <w:p>
      <w:pPr>
        <w:ind w:right="180" w:firstLine="430"/>
        <w:spacing w:after="0" w:line="262" w:lineRule="auto"/>
        <w:tabs>
          <w:tab w:leader="none" w:pos="678"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70" w:lineRule="exact"/>
        <w:rPr>
          <w:rFonts w:ascii="Times New Roman" w:cs="Times New Roman" w:eastAsia="Times New Roman" w:hAnsi="Times New Roman"/>
          <w:sz w:val="18"/>
          <w:szCs w:val="18"/>
          <w:color w:val="auto"/>
        </w:rPr>
      </w:pPr>
    </w:p>
    <w:p>
      <w:pPr>
        <w:ind w:left="680" w:hanging="250"/>
        <w:spacing w:after="0"/>
        <w:tabs>
          <w:tab w:leader="none" w:pos="68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suspend or terminate the Plan as provided in Article IX.</w:t>
      </w:r>
    </w:p>
    <w:p>
      <w:pPr>
        <w:spacing w:after="0" w:line="113" w:lineRule="exact"/>
        <w:rPr>
          <w:rFonts w:ascii="Times New Roman" w:cs="Times New Roman" w:eastAsia="Times New Roman" w:hAnsi="Times New Roman"/>
          <w:sz w:val="18"/>
          <w:szCs w:val="18"/>
          <w:color w:val="auto"/>
        </w:rPr>
      </w:pPr>
    </w:p>
    <w:p>
      <w:pPr>
        <w:ind w:right="40" w:firstLine="430"/>
        <w:spacing w:after="0" w:line="262" w:lineRule="auto"/>
        <w:tabs>
          <w:tab w:leader="none" w:pos="678"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w:t>
      </w:r>
    </w:p>
    <w:p>
      <w:pPr>
        <w:spacing w:after="0" w:line="70" w:lineRule="exact"/>
        <w:rPr>
          <w:sz w:val="20"/>
          <w:szCs w:val="20"/>
          <w:color w:val="auto"/>
        </w:rPr>
      </w:pPr>
    </w:p>
    <w:p>
      <w:pPr>
        <w:ind w:right="20" w:firstLine="436"/>
        <w:spacing w:after="0" w:line="277"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Decisions Binding</w:t>
      </w:r>
      <w:r>
        <w:rPr>
          <w:rFonts w:ascii="Times New Roman" w:cs="Times New Roman" w:eastAsia="Times New Roman" w:hAnsi="Times New Roman"/>
          <w:sz w:val="18"/>
          <w:szCs w:val="18"/>
          <w:color w:val="auto"/>
        </w:rPr>
        <w:t>. The Administrator’s interpretation of the Plan, any rights granted pursuant to the Plan, any subscription agreement and all decisions and determinations by the Administrator with respect to the Plan are final, binding, and conclusive on all parties.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2" w:lineRule="exact"/>
        <w:rPr>
          <w:sz w:val="20"/>
          <w:szCs w:val="20"/>
          <w:color w:val="auto"/>
        </w:rPr>
      </w:pPr>
    </w:p>
    <w:p>
      <w:pPr>
        <w:jc w:val="both"/>
        <w:ind w:right="40" w:firstLine="436"/>
        <w:spacing w:after="0" w:line="257"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Restriction upon Assignment</w:t>
      </w:r>
      <w:r>
        <w:rPr>
          <w:rFonts w:ascii="Times New Roman" w:cs="Times New Roman" w:eastAsia="Times New Roman" w:hAnsi="Times New Roman"/>
          <w:sz w:val="18"/>
          <w:szCs w:val="18"/>
          <w:color w:val="auto"/>
        </w:rPr>
        <w:t>.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w:t>
      </w:r>
    </w:p>
    <w:p>
      <w:pPr>
        <w:spacing w:after="0" w:line="75"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With respect to Shares subject to a right granted under the Plan, a Participant shall not be deemed to be a stockholder of the Company, and the Participant shall not have any of the rights or privileges of a stockholder, until such Shares have been issued to the Participant or his or her nominee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No interest shall accrue on the payroll deductions or contributions of a Participant under the Plan.</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430"/>
        <w:spacing w:after="0" w:line="253" w:lineRule="auto"/>
        <w:tabs>
          <w:tab w:leader="none" w:pos="678"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80"/>
          </w:cols>
          <w:pgMar w:left="500" w:top="268" w:right="519" w:bottom="1440" w:gutter="0" w:footer="0" w:header="0"/>
        </w:sectPr>
      </w:pPr>
    </w:p>
    <w:bookmarkStart w:id="553" w:name="page554"/>
    <w:bookmarkEnd w:id="553"/>
    <w:p>
      <w:pPr>
        <w:ind w:right="40" w:firstLine="430"/>
        <w:spacing w:after="0" w:line="253" w:lineRule="auto"/>
        <w:tabs>
          <w:tab w:leader="none" w:pos="688"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80" w:lineRule="exact"/>
        <w:rPr>
          <w:sz w:val="20"/>
          <w:szCs w:val="20"/>
          <w:color w:val="auto"/>
        </w:rPr>
      </w:pPr>
    </w:p>
    <w:p>
      <w:pPr>
        <w:ind w:right="120" w:firstLine="436"/>
        <w:spacing w:after="0" w:line="262"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70" w:lineRule="exact"/>
        <w:rPr>
          <w:sz w:val="20"/>
          <w:szCs w:val="20"/>
          <w:color w:val="auto"/>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Equal Rights and Privileges</w:t>
      </w:r>
      <w:r>
        <w:rPr>
          <w:rFonts w:ascii="Times New Roman" w:cs="Times New Roman" w:eastAsia="Times New Roman" w:hAnsi="Times New Roman"/>
          <w:sz w:val="18"/>
          <w:szCs w:val="18"/>
          <w:color w:val="auto"/>
        </w:rPr>
        <w:t>. Subject to Section 5.7, all Eligible Employees will have equal rights and privileges under this Plan so that this Plan qualifies as an “employee stock purchase plan” within the meaning of Section 423 of the Code. Subject to Section 5.7, any provision of this Plan that is inconsistent with Section 423 of the Code will, without further act or amendment by the Company, the Board or the Administrator, be reformed to comply with the equal rights and privileges requirement of Section 423 of the Code.</w:t>
      </w:r>
    </w:p>
    <w:p>
      <w:pPr>
        <w:spacing w:after="0" w:line="75" w:lineRule="exact"/>
        <w:rPr>
          <w:sz w:val="20"/>
          <w:szCs w:val="20"/>
          <w:color w:val="auto"/>
        </w:rPr>
      </w:pPr>
    </w:p>
    <w:p>
      <w:pPr>
        <w:ind w:right="560" w:firstLine="436"/>
        <w:spacing w:after="0" w:line="277"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Use of Funds</w:t>
      </w:r>
      <w:r>
        <w:rPr>
          <w:rFonts w:ascii="Times New Roman" w:cs="Times New Roman" w:eastAsia="Times New Roman" w:hAnsi="Times New Roman"/>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57" w:lineRule="exact"/>
        <w:rPr>
          <w:sz w:val="20"/>
          <w:szCs w:val="20"/>
          <w:color w:val="auto"/>
        </w:rPr>
      </w:pPr>
    </w:p>
    <w:p>
      <w:pPr>
        <w:ind w:right="600" w:firstLine="436"/>
        <w:spacing w:after="0" w:line="277"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57" w:lineRule="exact"/>
        <w:rPr>
          <w:sz w:val="20"/>
          <w:szCs w:val="20"/>
          <w:color w:val="auto"/>
        </w:rPr>
      </w:pPr>
    </w:p>
    <w:p>
      <w:pPr>
        <w:ind w:right="80" w:firstLine="436"/>
        <w:spacing w:after="0" w:line="262"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No Employment Rights</w:t>
      </w:r>
      <w:r>
        <w:rPr>
          <w:rFonts w:ascii="Times New Roman" w:cs="Times New Roman" w:eastAsia="Times New Roman" w:hAnsi="Times New Roman"/>
          <w:sz w:val="18"/>
          <w:szCs w:val="18"/>
          <w:color w:val="auto"/>
        </w:rPr>
        <w:t>. Nothing in the Plan shall be construed to give any person (including any Eligible Employee or Participant) the right to remain in the employ of the Company or any Parent or Subsidiary or affect the right of the Company or any Parent or Subsidiary to terminate the employment of any person (including any Eligible Employee or Participant) at any time, with or without cause.</w:t>
      </w:r>
    </w:p>
    <w:p>
      <w:pPr>
        <w:spacing w:after="0" w:line="70"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Notice of Disposition of Shares</w:t>
      </w:r>
      <w:r>
        <w:rPr>
          <w:rFonts w:ascii="Times New Roman" w:cs="Times New Roman" w:eastAsia="Times New Roman" w:hAnsi="Times New Roman"/>
          <w:sz w:val="18"/>
          <w:szCs w:val="18"/>
          <w:color w:val="auto"/>
        </w:rPr>
        <w:t>. Each Participant shall give prompt notice to the Company of any disposition or other transfer of any Shares purchased upon exercise of a right under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76" w:lineRule="exact"/>
        <w:rPr>
          <w:sz w:val="20"/>
          <w:szCs w:val="20"/>
          <w:color w:val="auto"/>
        </w:rPr>
      </w:pPr>
    </w:p>
    <w:p>
      <w:pPr>
        <w:ind w:right="40" w:firstLine="436"/>
        <w:spacing w:after="0" w:line="277"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any agreements hereunder shall be administered, interpreted and enforced under the internal laws of the State of Delaware without regard to conflicts of laws thereof or of any other jurisdiction.</w:t>
      </w:r>
    </w:p>
    <w:p>
      <w:pPr>
        <w:spacing w:after="0" w:line="57" w:lineRule="exact"/>
        <w:rPr>
          <w:sz w:val="20"/>
          <w:szCs w:val="20"/>
          <w:color w:val="auto"/>
        </w:rPr>
      </w:pPr>
    </w:p>
    <w:p>
      <w:pPr>
        <w:ind w:right="120" w:firstLine="436"/>
        <w:spacing w:after="0" w:line="257"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Electronic Forms</w:t>
      </w:r>
      <w:r>
        <w:rPr>
          <w:rFonts w:ascii="Times New Roman" w:cs="Times New Roman" w:eastAsia="Times New Roman" w:hAnsi="Times New Roman"/>
          <w:sz w:val="18"/>
          <w:szCs w:val="18"/>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80"/>
          </w:cols>
          <w:pgMar w:left="500" w:top="268" w:right="519" w:bottom="1440" w:gutter="0" w:footer="0" w:header="0"/>
        </w:sectPr>
      </w:pPr>
    </w:p>
    <w:bookmarkStart w:id="554" w:name="page555"/>
    <w:bookmarkEnd w:id="554"/>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GOODRX HOLDINGS,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PROGRAM</w:t>
      </w:r>
    </w:p>
    <w:p>
      <w:pPr>
        <w:spacing w:after="0" w:line="220" w:lineRule="exact"/>
        <w:rPr>
          <w:sz w:val="20"/>
          <w:szCs w:val="20"/>
          <w:color w:val="auto"/>
        </w:rPr>
      </w:pPr>
    </w:p>
    <w:p>
      <w:pPr>
        <w:ind w:right="180" w:firstLine="436"/>
        <w:spacing w:after="0" w:line="254" w:lineRule="auto"/>
        <w:rPr>
          <w:sz w:val="20"/>
          <w:szCs w:val="20"/>
          <w:color w:val="auto"/>
        </w:rPr>
      </w:pPr>
      <w:r>
        <w:rPr>
          <w:rFonts w:ascii="Times New Roman" w:cs="Times New Roman" w:eastAsia="Times New Roman" w:hAnsi="Times New Roman"/>
          <w:sz w:val="18"/>
          <w:szCs w:val="18"/>
          <w:color w:val="auto"/>
        </w:rPr>
        <w:t>Eligible Directors (as defined below) on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GoodRx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be eligible to receive cash and equity compensation as set forth in this Non-Employee Director Compensation Program (this “</w:t>
      </w:r>
      <w:r>
        <w:rPr>
          <w:rFonts w:ascii="Times New Roman" w:cs="Times New Roman" w:eastAsia="Times New Roman" w:hAnsi="Times New Roman"/>
          <w:sz w:val="18"/>
          <w:szCs w:val="18"/>
          <w:b w:val="1"/>
          <w:bCs w:val="1"/>
          <w:i w:val="1"/>
          <w:iCs w:val="1"/>
          <w:color w:val="auto"/>
        </w:rPr>
        <w:t>Program</w:t>
      </w:r>
      <w:r>
        <w:rPr>
          <w:rFonts w:ascii="Times New Roman" w:cs="Times New Roman" w:eastAsia="Times New Roman" w:hAnsi="Times New Roman"/>
          <w:sz w:val="18"/>
          <w:szCs w:val="18"/>
          <w:color w:val="auto"/>
        </w:rPr>
        <w:t>”). The cash and equity compensation described in this Program shall be paid or be made, as applicable, automatically as set forth herein and without further action of the Board, to each member of the Board who is not an employee of the Company or any of its parents, affiliates or subsidiaries and who is determined by the Board to be eligible to receive compensation under this Program (each, an “</w:t>
      </w:r>
      <w:r>
        <w:rPr>
          <w:rFonts w:ascii="Times New Roman" w:cs="Times New Roman" w:eastAsia="Times New Roman" w:hAnsi="Times New Roman"/>
          <w:sz w:val="18"/>
          <w:szCs w:val="18"/>
          <w:b w:val="1"/>
          <w:bCs w:val="1"/>
          <w:i w:val="1"/>
          <w:iCs w:val="1"/>
          <w:color w:val="auto"/>
        </w:rPr>
        <w:t>Eligible Director</w:t>
      </w:r>
      <w:r>
        <w:rPr>
          <w:rFonts w:ascii="Times New Roman" w:cs="Times New Roman" w:eastAsia="Times New Roman" w:hAnsi="Times New Roman"/>
          <w:sz w:val="18"/>
          <w:szCs w:val="18"/>
          <w:color w:val="auto"/>
        </w:rPr>
        <w:t>”), who may be eligible to receive such cash or equity compensation, unless such Eligible Director declines the receipt of such cash or equity compensation by written notice to the Company.</w:t>
      </w:r>
    </w:p>
    <w:p>
      <w:pPr>
        <w:spacing w:after="0" w:line="182"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color w:val="auto"/>
        </w:rPr>
        <w:t>This Program shall become effective upon the closing of the initial public offering of the Company’s common stock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and shall remain in effect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2 of this Program.</w:t>
      </w:r>
    </w:p>
    <w:p>
      <w:pPr>
        <w:spacing w:after="0" w:line="72" w:lineRule="exact"/>
        <w:rPr>
          <w:sz w:val="20"/>
          <w:szCs w:val="20"/>
          <w:color w:val="auto"/>
        </w:rPr>
      </w:pPr>
    </w:p>
    <w:p>
      <w:pPr>
        <w:ind w:left="600" w:hanging="170"/>
        <w:spacing w:after="0"/>
        <w:tabs>
          <w:tab w:leader="none" w:pos="60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Compensation</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140" w:hanging="165"/>
        <w:spacing w:after="0"/>
        <w:tabs>
          <w:tab w:leader="none" w:pos="1140"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Retainers</w:t>
      </w:r>
      <w:r>
        <w:rPr>
          <w:rFonts w:ascii="Times New Roman" w:cs="Times New Roman" w:eastAsia="Times New Roman" w:hAnsi="Times New Roman"/>
          <w:sz w:val="18"/>
          <w:szCs w:val="18"/>
          <w:color w:val="auto"/>
        </w:rPr>
        <w:t>. Each Eligible Director shall be eligible to receive an annual cash retainer of $30,000 for service on the Board.</w:t>
      </w:r>
    </w:p>
    <w:p>
      <w:pPr>
        <w:spacing w:after="0" w:line="113" w:lineRule="exact"/>
        <w:rPr>
          <w:rFonts w:ascii="Times New Roman" w:cs="Times New Roman" w:eastAsia="Times New Roman" w:hAnsi="Times New Roman"/>
          <w:sz w:val="18"/>
          <w:szCs w:val="18"/>
          <w:color w:val="auto"/>
        </w:rPr>
      </w:pPr>
    </w:p>
    <w:p>
      <w:pPr>
        <w:ind w:left="1160" w:hanging="185"/>
        <w:spacing w:after="0"/>
        <w:tabs>
          <w:tab w:leader="none" w:pos="1160"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Annual Retainers</w:t>
      </w:r>
      <w:r>
        <w:rPr>
          <w:rFonts w:ascii="Times New Roman" w:cs="Times New Roman" w:eastAsia="Times New Roman" w:hAnsi="Times New Roman"/>
          <w:sz w:val="18"/>
          <w:szCs w:val="18"/>
          <w:color w:val="auto"/>
        </w:rPr>
        <w:t>. An Eligible Director shall be eligible to receive the following additional annual retainers, as applicable:</w:t>
      </w:r>
    </w:p>
    <w:p>
      <w:pPr>
        <w:spacing w:after="0" w:line="113" w:lineRule="exact"/>
        <w:rPr>
          <w:rFonts w:ascii="Times New Roman" w:cs="Times New Roman" w:eastAsia="Times New Roman" w:hAnsi="Times New Roman"/>
          <w:sz w:val="18"/>
          <w:szCs w:val="18"/>
          <w:color w:val="auto"/>
        </w:rPr>
      </w:pPr>
    </w:p>
    <w:p>
      <w:pPr>
        <w:ind w:right="180" w:firstLine="1411"/>
        <w:spacing w:after="0" w:line="262" w:lineRule="auto"/>
        <w:tabs>
          <w:tab w:leader="none" w:pos="1630" w:val="left"/>
        </w:tabs>
        <w:numPr>
          <w:ilvl w:val="2"/>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An Eligible Director serving as Chairperson of the Audit Committee shall be eligible to receive an additional annual retainer of $20,000 for such service. An Eligible Director serving as a member of the Audit Committee (other than the Chairperson) shall be eligible to receive an additional annual retainer of $8,000 for such service.</w:t>
      </w:r>
    </w:p>
    <w:p>
      <w:pPr>
        <w:spacing w:after="0" w:line="70" w:lineRule="exact"/>
        <w:rPr>
          <w:rFonts w:ascii="Times New Roman" w:cs="Times New Roman" w:eastAsia="Times New Roman" w:hAnsi="Times New Roman"/>
          <w:sz w:val="18"/>
          <w:szCs w:val="18"/>
          <w:color w:val="auto"/>
        </w:rPr>
      </w:pPr>
    </w:p>
    <w:p>
      <w:pPr>
        <w:ind w:right="80" w:firstLine="1411"/>
        <w:spacing w:after="0" w:line="262" w:lineRule="auto"/>
        <w:tabs>
          <w:tab w:leader="none" w:pos="1679" w:val="left"/>
        </w:tabs>
        <w:numPr>
          <w:ilvl w:val="2"/>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An Eligible Director serving as Chairperson of the Compensation Committee shall be eligible to receive an additional annual retainer of $15,000 for such service. An Eligible Director serving as a member of the Compensation Committee (other than the Chairperson) shall be eligible to receive an additional annual retainer of $7,000 for such service.</w:t>
      </w:r>
    </w:p>
    <w:p>
      <w:pPr>
        <w:spacing w:after="0" w:line="70" w:lineRule="exact"/>
        <w:rPr>
          <w:rFonts w:ascii="Times New Roman" w:cs="Times New Roman" w:eastAsia="Times New Roman" w:hAnsi="Times New Roman"/>
          <w:sz w:val="18"/>
          <w:szCs w:val="18"/>
          <w:color w:val="auto"/>
        </w:rPr>
      </w:pPr>
    </w:p>
    <w:p>
      <w:pPr>
        <w:ind w:right="120" w:firstLine="1411"/>
        <w:spacing w:after="0" w:line="257" w:lineRule="auto"/>
        <w:tabs>
          <w:tab w:leader="none" w:pos="1728" w:val="left"/>
        </w:tabs>
        <w:numPr>
          <w:ilvl w:val="2"/>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Nominating and Corporate Governance Committee</w:t>
      </w:r>
      <w:r>
        <w:rPr>
          <w:rFonts w:ascii="Times New Roman" w:cs="Times New Roman" w:eastAsia="Times New Roman" w:hAnsi="Times New Roman"/>
          <w:sz w:val="18"/>
          <w:szCs w:val="18"/>
          <w:color w:val="auto"/>
        </w:rPr>
        <w:t>. An Eligible Director serving as Chairperson of the Nominating and Corporate Governance Committee shall be eligible to receive an additional annual retainer of $9,000 for such service. An Eligible Director serving as a member of the Nominating and Corporate Governance Committee (other than the Chairperson) shall be eligible to receive an additional annual retainer of $4,000 for such service.</w:t>
      </w:r>
    </w:p>
    <w:p>
      <w:pPr>
        <w:spacing w:after="0" w:line="75" w:lineRule="exact"/>
        <w:rPr>
          <w:rFonts w:ascii="Times New Roman" w:cs="Times New Roman" w:eastAsia="Times New Roman" w:hAnsi="Times New Roman"/>
          <w:sz w:val="18"/>
          <w:szCs w:val="18"/>
          <w:color w:val="auto"/>
        </w:rPr>
      </w:pPr>
    </w:p>
    <w:p>
      <w:pPr>
        <w:ind w:right="160" w:firstLine="1411"/>
        <w:spacing w:after="0" w:line="262" w:lineRule="auto"/>
        <w:tabs>
          <w:tab w:leader="none" w:pos="1718" w:val="left"/>
        </w:tabs>
        <w:numPr>
          <w:ilvl w:val="2"/>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Committee</w:t>
      </w:r>
      <w:r>
        <w:rPr>
          <w:rFonts w:ascii="Times New Roman" w:cs="Times New Roman" w:eastAsia="Times New Roman" w:hAnsi="Times New Roman"/>
          <w:sz w:val="18"/>
          <w:szCs w:val="18"/>
          <w:color w:val="auto"/>
        </w:rPr>
        <w:t>. An Eligible Director serving as Chairperson of the Compliance Committee shall be eligible to receive an additional annual retainer of $9,000 for such service. An Eligible Director serving as a member of the Compliance Committee (other than the Chairperson) shall be eligible to receive an additional annual retainer of $4,000 for such service.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500" w:top="117" w:right="499" w:bottom="1440" w:gutter="0" w:footer="0" w:header="0"/>
        </w:sectPr>
      </w:pPr>
    </w:p>
    <w:bookmarkStart w:id="555" w:name="page556"/>
    <w:bookmarkEnd w:id="555"/>
    <w:p>
      <w:pPr>
        <w:ind w:right="180" w:firstLine="98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c. </w:t>
      </w:r>
      <w:r>
        <w:rPr>
          <w:rFonts w:ascii="Times New Roman" w:cs="Times New Roman" w:eastAsia="Times New Roman" w:hAnsi="Times New Roman"/>
          <w:sz w:val="18"/>
          <w:szCs w:val="18"/>
          <w:u w:val="single" w:color="auto"/>
          <w:color w:val="auto"/>
        </w:rPr>
        <w:t>Payment of Retainers</w:t>
      </w:r>
      <w:r>
        <w:rPr>
          <w:rFonts w:ascii="Times New Roman" w:cs="Times New Roman" w:eastAsia="Times New Roman" w:hAnsi="Times New Roman"/>
          <w:sz w:val="18"/>
          <w:szCs w:val="18"/>
          <w:color w:val="auto"/>
        </w:rPr>
        <w:t>. The annual cash retainers described in Sections 1(a) and 1(b) shall be earned on a quarterly basis based on a calendar quarter and shall be paid by the Company in arrears not later than 30 days following the end of each calendar quarter. In the event an Eligible Director does not serve as a director, or in the applicable positions described in Section 1(b), for an entire calendar quarter, the retainer paid to such Eligible Director shall be prorated for the portion of such calendar quarter actually served as a director, or in such position, as applicable.</w:t>
      </w:r>
    </w:p>
    <w:p>
      <w:pPr>
        <w:spacing w:after="0" w:line="75" w:lineRule="exact"/>
        <w:rPr>
          <w:sz w:val="20"/>
          <w:szCs w:val="20"/>
          <w:color w:val="auto"/>
        </w:rPr>
      </w:pPr>
    </w:p>
    <w:p>
      <w:pPr>
        <w:ind w:left="600" w:hanging="170"/>
        <w:spacing w:after="0"/>
        <w:tabs>
          <w:tab w:leader="none" w:pos="60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Compensation</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right="40" w:firstLine="975"/>
        <w:spacing w:after="0" w:line="271" w:lineRule="auto"/>
        <w:tabs>
          <w:tab w:leader="none" w:pos="1149" w:val="left"/>
        </w:tabs>
        <w:numPr>
          <w:ilvl w:val="1"/>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Eligible Directors shall be granted the equity awards described below. The awards described below shall be granted under and shall be subject to the terms and provisions of the Company’s 2020 Incentive Award Plan or any other applicable Company equity incentive plan then-maintained by the Company (such plan, as may be amended from time to time, the “</w:t>
      </w:r>
      <w:r>
        <w:rPr>
          <w:rFonts w:ascii="Times New Roman" w:cs="Times New Roman" w:eastAsia="Times New Roman" w:hAnsi="Times New Roman"/>
          <w:sz w:val="17"/>
          <w:szCs w:val="17"/>
          <w:b w:val="1"/>
          <w:bCs w:val="1"/>
          <w:i w:val="1"/>
          <w:iCs w:val="1"/>
          <w:color w:val="auto"/>
        </w:rPr>
        <w:t>Equity Plan</w:t>
      </w:r>
      <w:r>
        <w:rPr>
          <w:rFonts w:ascii="Times New Roman" w:cs="Times New Roman" w:eastAsia="Times New Roman" w:hAnsi="Times New Roman"/>
          <w:sz w:val="17"/>
          <w:szCs w:val="17"/>
          <w:color w:val="auto"/>
        </w:rPr>
        <w:t>”) and may be granted subject to the execution and delivery of award agreements, including attached exhibits, in substantially the forms approved by the Board prior to or in connection with such grants. All applicable terms of the Equity Plan apply to this Program as if fully set forth herein, and all grants of equity awards hereby are subject in all respects to the terms of the Equity Plan. Capitalized terms not otherwise defined herein shall have the meanings ascribed to them in the Equity Plan.</w:t>
      </w:r>
    </w:p>
    <w:p>
      <w:pPr>
        <w:spacing w:after="0" w:line="64" w:lineRule="exact"/>
        <w:rPr>
          <w:rFonts w:ascii="Times New Roman" w:cs="Times New Roman" w:eastAsia="Times New Roman" w:hAnsi="Times New Roman"/>
          <w:sz w:val="17"/>
          <w:szCs w:val="17"/>
          <w:color w:val="auto"/>
        </w:rPr>
      </w:pPr>
    </w:p>
    <w:p>
      <w:pPr>
        <w:ind w:left="1160" w:hanging="185"/>
        <w:spacing w:after="0"/>
        <w:tabs>
          <w:tab w:leader="none" w:pos="1160"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Awards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980" w:firstLine="391"/>
        <w:spacing w:after="0" w:line="252" w:lineRule="auto"/>
        <w:tabs>
          <w:tab w:leader="none" w:pos="1515" w:val="left"/>
        </w:tabs>
        <w:numPr>
          <w:ilvl w:val="3"/>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Eligible Director who is initially elected or appointed to serve on the Board after the Effective Date automatically shall be granted a Restricted Stock Unit with a value of $420,000 (the “</w:t>
      </w:r>
      <w:r>
        <w:rPr>
          <w:rFonts w:ascii="Times New Roman" w:cs="Times New Roman" w:eastAsia="Times New Roman" w:hAnsi="Times New Roman"/>
          <w:sz w:val="18"/>
          <w:szCs w:val="18"/>
          <w:b w:val="1"/>
          <w:bCs w:val="1"/>
          <w:i w:val="1"/>
          <w:iCs w:val="1"/>
          <w:color w:val="auto"/>
        </w:rPr>
        <w:t>Initial Equity Award</w:t>
      </w:r>
      <w:r>
        <w:rPr>
          <w:rFonts w:ascii="Times New Roman" w:cs="Times New Roman" w:eastAsia="Times New Roman" w:hAnsi="Times New Roman"/>
          <w:sz w:val="18"/>
          <w:szCs w:val="18"/>
          <w:color w:val="auto"/>
        </w:rPr>
        <w:t>”). The number of Restricted Stock Units subject to an Initial Equity Award will be determined by dividing the value by the 30-calendar day average closing price for the Company’s common stock through and including the date prior to the applicable grant date. The Initial Equity Award shall be granted on the date on which such Eligible Director is appointed or elected to serve on the Board, and shall vest as to one-third of the shares underlying the Initial Equity Award on each of the first three anniversaries of the applicable grant date, such that the Initial Equity Award is fully vested on the third anniversary of the grant date, subject to such Eligible Director’s continued service through the applicable vesting date.</w:t>
      </w:r>
    </w:p>
    <w:p>
      <w:pPr>
        <w:spacing w:after="0" w:line="81" w:lineRule="exact"/>
        <w:rPr>
          <w:rFonts w:ascii="Times New Roman" w:cs="Times New Roman" w:eastAsia="Times New Roman" w:hAnsi="Times New Roman"/>
          <w:sz w:val="18"/>
          <w:szCs w:val="18"/>
          <w:color w:val="auto"/>
        </w:rPr>
      </w:pPr>
    </w:p>
    <w:p>
      <w:pPr>
        <w:ind w:left="1140" w:hanging="165"/>
        <w:spacing w:after="0"/>
        <w:tabs>
          <w:tab w:leader="none" w:pos="1140"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Awards</w:t>
      </w:r>
      <w:r>
        <w:rPr>
          <w:rFonts w:ascii="Times New Roman" w:cs="Times New Roman" w:eastAsia="Times New Roman" w:hAnsi="Times New Roman"/>
          <w:sz w:val="18"/>
          <w:szCs w:val="18"/>
          <w:color w:val="auto"/>
        </w:rPr>
        <w:t>.</w:t>
      </w:r>
    </w:p>
    <w:p>
      <w:pPr>
        <w:spacing w:after="0" w:line="109" w:lineRule="exact"/>
        <w:rPr>
          <w:rFonts w:ascii="Times New Roman" w:cs="Times New Roman" w:eastAsia="Times New Roman" w:hAnsi="Times New Roman"/>
          <w:sz w:val="18"/>
          <w:szCs w:val="18"/>
          <w:color w:val="auto"/>
        </w:rPr>
      </w:pPr>
    </w:p>
    <w:p>
      <w:pPr>
        <w:ind w:left="760" w:right="20" w:firstLine="402"/>
        <w:spacing w:after="0" w:line="253" w:lineRule="auto"/>
        <w:tabs>
          <w:tab w:leader="none" w:pos="1304" w:val="left"/>
        </w:tabs>
        <w:numPr>
          <w:ilvl w:val="2"/>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Director who is serving on the Board as of the date of the annual meeting of the Company’s stockholders (the “</w:t>
      </w:r>
      <w:r>
        <w:rPr>
          <w:rFonts w:ascii="Times New Roman" w:cs="Times New Roman" w:eastAsia="Times New Roman" w:hAnsi="Times New Roman"/>
          <w:sz w:val="18"/>
          <w:szCs w:val="18"/>
          <w:b w:val="1"/>
          <w:bCs w:val="1"/>
          <w:i w:val="1"/>
          <w:i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each calendar year beginning with calendar year 2021 shall be granted a Restricted Stock Unit with a value of $210,000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Annual Award</w:t>
      </w:r>
      <w:r>
        <w:rPr>
          <w:rFonts w:ascii="Times New Roman" w:cs="Times New Roman" w:eastAsia="Times New Roman" w:hAnsi="Times New Roman"/>
          <w:sz w:val="18"/>
          <w:szCs w:val="18"/>
          <w:color w:val="auto"/>
        </w:rPr>
        <w:t>” and together with the Initial Equity Award, the “</w:t>
      </w:r>
      <w:r>
        <w:rPr>
          <w:rFonts w:ascii="Times New Roman" w:cs="Times New Roman" w:eastAsia="Times New Roman" w:hAnsi="Times New Roman"/>
          <w:sz w:val="18"/>
          <w:szCs w:val="18"/>
          <w:b w:val="1"/>
          <w:bCs w:val="1"/>
          <w:i w:val="1"/>
          <w:iCs w:val="1"/>
          <w:color w:val="auto"/>
        </w:rPr>
        <w:t>Director Equity Awards</w:t>
      </w:r>
      <w:r>
        <w:rPr>
          <w:rFonts w:ascii="Times New Roman" w:cs="Times New Roman" w:eastAsia="Times New Roman" w:hAnsi="Times New Roman"/>
          <w:sz w:val="18"/>
          <w:szCs w:val="18"/>
          <w:color w:val="auto"/>
        </w:rPr>
        <w:t>”). The number of Restricted Stock Units subject to an Annual Award will be determined by dividing the value by the 30-calendar day average closing price for the Company’s common stock through and including the date prior to the applicable grant date. Each Annual Award shall vest in full on the earlier to occur of (i) the one-year anniversary of the applicable grant date and (ii) the date of the next Annual Meeting following the grant date, subject to continued service through the applicable vesting date.</w:t>
      </w:r>
    </w:p>
    <w:p>
      <w:pPr>
        <w:spacing w:after="0" w:line="79" w:lineRule="exact"/>
        <w:rPr>
          <w:rFonts w:ascii="Times New Roman" w:cs="Times New Roman" w:eastAsia="Times New Roman" w:hAnsi="Times New Roman"/>
          <w:sz w:val="18"/>
          <w:szCs w:val="18"/>
          <w:color w:val="auto"/>
        </w:rPr>
      </w:pPr>
    </w:p>
    <w:p>
      <w:pPr>
        <w:ind w:right="200" w:firstLine="975"/>
        <w:spacing w:after="0" w:line="308" w:lineRule="auto"/>
        <w:tabs>
          <w:tab w:leader="none" w:pos="1159" w:val="left"/>
        </w:tabs>
        <w:numPr>
          <w:ilvl w:val="1"/>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Accelerated Vesting Events</w:t>
      </w:r>
      <w:r>
        <w:rPr>
          <w:rFonts w:ascii="Times New Roman" w:cs="Times New Roman" w:eastAsia="Times New Roman" w:hAnsi="Times New Roman"/>
          <w:sz w:val="17"/>
          <w:szCs w:val="17"/>
          <w:color w:val="auto"/>
        </w:rPr>
        <w:t>. Notwithstanding the foregoing, an Eligible Director’s Director Equity Award(s) shall vest in full immediately prior to the occurrence of a Change in Control, other than a Non-Transactional Change in Control, to the extent outstanding at such time.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500" w:top="268" w:right="519" w:bottom="1440" w:gutter="0" w:footer="0" w:header="0"/>
        </w:sectPr>
      </w:pPr>
    </w:p>
    <w:bookmarkStart w:id="556" w:name="page557"/>
    <w:bookmarkEnd w:id="556"/>
    <w:p>
      <w:pPr>
        <w:ind w:firstLine="430"/>
        <w:spacing w:after="0" w:line="277" w:lineRule="auto"/>
        <w:tabs>
          <w:tab w:leader="none" w:pos="614"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Compensation Limits</w:t>
      </w:r>
      <w:r>
        <w:rPr>
          <w:rFonts w:ascii="Times New Roman" w:cs="Times New Roman" w:eastAsia="Times New Roman" w:hAnsi="Times New Roman"/>
          <w:sz w:val="18"/>
          <w:szCs w:val="18"/>
          <w:color w:val="auto"/>
        </w:rPr>
        <w:t>. 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500" w:top="268" w:right="519" w:bottom="1440" w:gutter="0" w:footer="0" w:header="0"/>
        </w:sectPr>
      </w:pPr>
    </w:p>
    <w:bookmarkStart w:id="557" w:name="page558"/>
    <w:bookmarkEnd w:id="557"/>
    <w:p>
      <w:pPr>
        <w:jc w:val="right"/>
        <w:spacing w:after="0"/>
        <w:rPr>
          <w:sz w:val="20"/>
          <w:szCs w:val="20"/>
          <w:color w:val="auto"/>
        </w:rPr>
      </w:pPr>
      <w:r>
        <w:rPr>
          <w:rFonts w:ascii="Times New Roman" w:cs="Times New Roman" w:eastAsia="Times New Roman" w:hAnsi="Times New Roman"/>
          <w:sz w:val="18"/>
          <w:szCs w:val="18"/>
          <w:b w:val="1"/>
          <w:bCs w:val="1"/>
          <w:color w:val="auto"/>
        </w:rPr>
        <w:t>Exhibit 10.6.1</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EMPLOYMENT AGREEMENT</w:t>
      </w:r>
    </w:p>
    <w:p>
      <w:pPr>
        <w:spacing w:after="0" w:line="220" w:lineRule="exact"/>
        <w:rPr>
          <w:sz w:val="20"/>
          <w:szCs w:val="20"/>
          <w:color w:val="auto"/>
        </w:rPr>
      </w:pPr>
    </w:p>
    <w:p>
      <w:pPr>
        <w:ind w:left="6" w:right="2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THIS AMENDED AND RESTATED EMPLOYMENT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 2020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GoodRx, Inc.,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Douglas Hirsch, an individual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36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0"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b w:val="1"/>
          <w:bCs w:val="1"/>
          <w:color w:val="auto"/>
        </w:rPr>
        <w:t xml:space="preserve">THE PARTIES ENTER THIS AGREEMENT </w:t>
      </w:r>
      <w:r>
        <w:rPr>
          <w:rFonts w:ascii="Times New Roman" w:cs="Times New Roman" w:eastAsia="Times New Roman" w:hAnsi="Times New Roman"/>
          <w:sz w:val="18"/>
          <w:szCs w:val="18"/>
          <w:color w:val="auto"/>
        </w:rPr>
        <w:t>on the basis of the following facts, understandings and intentions:</w:t>
      </w:r>
    </w:p>
    <w:p>
      <w:pPr>
        <w:spacing w:after="0" w:line="224" w:lineRule="exact"/>
        <w:rPr>
          <w:sz w:val="20"/>
          <w:szCs w:val="20"/>
          <w:color w:val="auto"/>
        </w:rPr>
      </w:pPr>
    </w:p>
    <w:p>
      <w:pPr>
        <w:ind w:left="6" w:right="340" w:firstLine="430"/>
        <w:spacing w:after="0" w:line="277" w:lineRule="auto"/>
        <w:tabs>
          <w:tab w:leader="none" w:pos="790" w:val="left"/>
        </w:tabs>
        <w:numPr>
          <w:ilvl w:val="0"/>
          <w:numId w:val="4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currently serves as the Corporation’s Co-Chief Executive Officer and the Executive currently is employed pursuant to that certain Employment Agreement, entered into as of October 7, 2015 (the “</w:t>
      </w:r>
      <w:r>
        <w:rPr>
          <w:rFonts w:ascii="Times New Roman" w:cs="Times New Roman" w:eastAsia="Times New Roman" w:hAnsi="Times New Roman"/>
          <w:sz w:val="18"/>
          <w:szCs w:val="18"/>
          <w:u w:val="single" w:color="auto"/>
          <w:color w:val="auto"/>
        </w:rPr>
        <w:t>Prior Employment Agreement</w:t>
      </w:r>
      <w:r>
        <w:rPr>
          <w:rFonts w:ascii="Times New Roman" w:cs="Times New Roman" w:eastAsia="Times New Roman" w:hAnsi="Times New Roman"/>
          <w:sz w:val="18"/>
          <w:szCs w:val="18"/>
          <w:color w:val="auto"/>
        </w:rPr>
        <w:t>”); and</w:t>
      </w:r>
    </w:p>
    <w:p>
      <w:pPr>
        <w:spacing w:after="0" w:line="163" w:lineRule="exact"/>
        <w:rPr>
          <w:rFonts w:ascii="Times New Roman" w:cs="Times New Roman" w:eastAsia="Times New Roman" w:hAnsi="Times New Roman"/>
          <w:sz w:val="18"/>
          <w:szCs w:val="18"/>
          <w:b w:val="1"/>
          <w:bCs w:val="1"/>
          <w:color w:val="auto"/>
        </w:rPr>
      </w:pPr>
    </w:p>
    <w:p>
      <w:pPr>
        <w:jc w:val="both"/>
        <w:ind w:left="6" w:right="60" w:firstLine="430"/>
        <w:spacing w:after="0" w:line="262" w:lineRule="auto"/>
        <w:tabs>
          <w:tab w:leader="none" w:pos="780" w:val="left"/>
        </w:tabs>
        <w:numPr>
          <w:ilvl w:val="0"/>
          <w:numId w:val="4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and the Executive mutually desire that the Executive continue to be employed by the Corporation to carry out the duties and responsibilities described below, all on the terms and conditions hereinafter set forth, and to replace and supersede the Prior Employment Agreement, in any case, effective as of the Effective Date (as defined below).</w:t>
      </w:r>
    </w:p>
    <w:p>
      <w:pPr>
        <w:spacing w:after="0" w:line="173" w:lineRule="exact"/>
        <w:rPr>
          <w:sz w:val="20"/>
          <w:szCs w:val="20"/>
          <w:color w:val="auto"/>
        </w:rPr>
      </w:pPr>
    </w:p>
    <w:p>
      <w:pPr>
        <w:ind w:left="6" w:right="32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above recitals incorporated herein and the mutual covenants and promises contained herein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are hereby expressly acknowledged, the parties agree as follows:</w:t>
      </w:r>
    </w:p>
    <w:p>
      <w:pPr>
        <w:spacing w:after="0" w:line="262" w:lineRule="exact"/>
        <w:rPr>
          <w:sz w:val="20"/>
          <w:szCs w:val="20"/>
          <w:color w:val="auto"/>
        </w:rPr>
      </w:pPr>
    </w:p>
    <w:p>
      <w:pPr>
        <w:ind w:left="306" w:hanging="306"/>
        <w:spacing w:after="0"/>
        <w:tabs>
          <w:tab w:leader="none" w:pos="306" w:val="left"/>
        </w:tabs>
        <w:numPr>
          <w:ilvl w:val="0"/>
          <w:numId w:val="4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Employment and Duties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right="3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Employment</w:t>
      </w:r>
      <w:r>
        <w:rPr>
          <w:rFonts w:ascii="Times New Roman" w:cs="Times New Roman" w:eastAsia="Times New Roman" w:hAnsi="Times New Roman"/>
          <w:sz w:val="18"/>
          <w:szCs w:val="18"/>
          <w:color w:val="auto"/>
        </w:rPr>
        <w:t>. The Corporation does hereby continue to employ the Executive on an at-will basis, subject to the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set forth in this Agreement, including, but not limited to, Section 5 of this Agreement. The Executive does hereby accept and agree to such continued employment on the terms and conditions expressly set forth in this Agreement.</w:t>
      </w:r>
    </w:p>
    <w:p>
      <w:pPr>
        <w:spacing w:after="0" w:line="169" w:lineRule="exact"/>
        <w:rPr>
          <w:sz w:val="20"/>
          <w:szCs w:val="20"/>
          <w:color w:val="auto"/>
        </w:rPr>
      </w:pPr>
    </w:p>
    <w:p>
      <w:pPr>
        <w:ind w:left="6" w:right="80" w:firstLine="43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Duties</w:t>
      </w:r>
      <w:r>
        <w:rPr>
          <w:rFonts w:ascii="Times New Roman" w:cs="Times New Roman" w:eastAsia="Times New Roman" w:hAnsi="Times New Roman"/>
          <w:sz w:val="18"/>
          <w:szCs w:val="18"/>
          <w:color w:val="auto"/>
        </w:rPr>
        <w:t>. The Executive shall serve the Corporation as its Co-Chief Executive Officer and shall perform and have the responsibilities,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status and authority customary for a position in an organization of the size and nature of the Corporation, subject to the corporate policies of the Corporation as in effect from time to time (including, without limitation, the Corporation’s business conduct and ethics policies, as they may be amended from time to time). In this position, the Executive shall report to the Board of Directors (“Board”) of GoodRx Holdings, Inc. (“Holdings”) and shall render such administrative, financial, and other executive and managerial services to the Corporation and its affiliates as the Board may from time to time reasonably direct.</w:t>
      </w:r>
    </w:p>
    <w:p>
      <w:pPr>
        <w:spacing w:after="0" w:line="182" w:lineRule="exact"/>
        <w:rPr>
          <w:sz w:val="20"/>
          <w:szCs w:val="20"/>
          <w:color w:val="auto"/>
        </w:rPr>
      </w:pPr>
    </w:p>
    <w:p>
      <w:pPr>
        <w:jc w:val="center"/>
        <w:ind w:right="-5"/>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u w:val="single" w:color="auto"/>
          <w:color w:val="auto"/>
        </w:rPr>
        <w:t>No Other Employment; Time Commitment</w:t>
      </w:r>
      <w:r>
        <w:rPr>
          <w:rFonts w:ascii="Times New Roman" w:cs="Times New Roman" w:eastAsia="Times New Roman" w:hAnsi="Times New Roman"/>
          <w:sz w:val="17"/>
          <w:szCs w:val="17"/>
          <w:color w:val="auto"/>
        </w:rPr>
        <w:t>. For so long as the Executive is employed with the Corporation, the Executive shall both</w:t>
      </w:r>
    </w:p>
    <w:p>
      <w:pPr>
        <w:spacing w:after="0" w:line="30" w:lineRule="exact"/>
        <w:rPr>
          <w:sz w:val="20"/>
          <w:szCs w:val="20"/>
          <w:color w:val="auto"/>
        </w:rPr>
      </w:pPr>
    </w:p>
    <w:p>
      <w:pPr>
        <w:ind w:left="6" w:right="200" w:hanging="6"/>
        <w:spacing w:after="0" w:line="251" w:lineRule="auto"/>
        <w:tabs>
          <w:tab w:leader="none" w:pos="219"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devote substantially all of his business time, energy and skill to the performance of the Executive’s duties for the Corporation and (ii) hold no other employment positions with any other entity. Further, the Executive’s service on the boards of directors (or similar bodies) of other business entities is subject to the</w:t>
      </w:r>
    </w:p>
    <w:p>
      <w:pPr>
        <w:sectPr>
          <w:pgSz w:w="11900" w:h="16838" w:orient="portrait"/>
          <w:cols w:equalWidth="0" w:num="1">
            <w:col w:w="10906"/>
          </w:cols>
          <w:pgMar w:left="494" w:top="117" w:right="499" w:bottom="1440" w:gutter="0" w:footer="0" w:header="0"/>
        </w:sectPr>
      </w:pPr>
    </w:p>
    <w:bookmarkStart w:id="558" w:name="page559"/>
    <w:bookmarkEnd w:id="558"/>
    <w:p>
      <w:pPr>
        <w:ind w:left="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prior approval of the Board not to be unreasonably withheld. The Corporation shall have the right to require the Executive to resign from any board or similar body on which the Executive may then serve if the Board reasonably determines that such service (x) creates a material conflict of interest or otherwise directly interferes with the effective discharge of the Executive’s duties and responsibilities to the Corporation in accordance with this Agreement or (y) is in respect of a business then in competition with any business of the Corporation. Subject to this Section 1.3 and the Executive’s obligations of confidentiality to the Corporation, nothing in this Agreement shall preclude Executive from maintaining and managing Executive’s ownership interest in Idea Men LLC (“</w:t>
      </w:r>
      <w:r>
        <w:rPr>
          <w:rFonts w:ascii="Times New Roman" w:cs="Times New Roman" w:eastAsia="Times New Roman" w:hAnsi="Times New Roman"/>
          <w:sz w:val="18"/>
          <w:szCs w:val="18"/>
          <w:u w:val="single" w:color="auto"/>
          <w:color w:val="auto"/>
        </w:rPr>
        <w:t>Idea Men</w:t>
      </w:r>
      <w:r>
        <w:rPr>
          <w:rFonts w:ascii="Times New Roman" w:cs="Times New Roman" w:eastAsia="Times New Roman" w:hAnsi="Times New Roman"/>
          <w:sz w:val="18"/>
          <w:szCs w:val="18"/>
          <w:color w:val="auto"/>
        </w:rPr>
        <w:t>”), or in other ownership interests in other LLC’s through which Executive owns or manages personal or real property.</w:t>
      </w:r>
    </w:p>
    <w:p>
      <w:pPr>
        <w:spacing w:after="0" w:line="185" w:lineRule="exact"/>
        <w:rPr>
          <w:sz w:val="20"/>
          <w:szCs w:val="20"/>
          <w:color w:val="auto"/>
        </w:rPr>
      </w:pPr>
    </w:p>
    <w:p>
      <w:pPr>
        <w:ind w:left="6" w:right="140" w:firstLine="43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b w:val="1"/>
          <w:bCs w:val="1"/>
          <w:u w:val="single" w:color="auto"/>
          <w:color w:val="auto"/>
        </w:rPr>
        <w:t>No Breach of Contract</w:t>
      </w:r>
      <w:r>
        <w:rPr>
          <w:rFonts w:ascii="Times New Roman" w:cs="Times New Roman" w:eastAsia="Times New Roman" w:hAnsi="Times New Roman"/>
          <w:sz w:val="18"/>
          <w:szCs w:val="18"/>
          <w:color w:val="auto"/>
        </w:rPr>
        <w:t>. The Executive hereby represents to the Corporation: (i) that the execution and delivery of this Agreement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and the Corporation and the performance by the Executive of the Executive’s duties hereunder shall not constitute a breach of, or otherwise contravene, the terms of any other agreement or policy to which the Executive is a party or otherwise bound; (ii) that the Executive has no information (including, without limitation, confidential information and trade secrets) relating to any other person or entity which would prevent, or be violated by, the Executive entering into this Agreement or carrying out the Executive’s duties hereunder; and (iii) that the Executive is not bound by any confidentiality, trade secret or similar agreement with any other person or entity which would prevent, or be violated by, the Executive (x) entering into this Agreement or (y) carrying out the Executive’s duties hereunder.</w:t>
      </w:r>
    </w:p>
    <w:p>
      <w:pPr>
        <w:spacing w:after="0" w:line="182" w:lineRule="exact"/>
        <w:rPr>
          <w:sz w:val="20"/>
          <w:szCs w:val="20"/>
          <w:color w:val="auto"/>
        </w:rPr>
      </w:pPr>
    </w:p>
    <w:p>
      <w:pPr>
        <w:ind w:left="6" w:right="4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b w:val="1"/>
          <w:bCs w:val="1"/>
          <w:u w:val="single" w:color="auto"/>
          <w:color w:val="auto"/>
        </w:rPr>
        <w:t>Location</w:t>
      </w:r>
      <w:r>
        <w:rPr>
          <w:rFonts w:ascii="Times New Roman" w:cs="Times New Roman" w:eastAsia="Times New Roman" w:hAnsi="Times New Roman"/>
          <w:sz w:val="18"/>
          <w:szCs w:val="18"/>
          <w:color w:val="auto"/>
        </w:rPr>
        <w:t>. The Executive’s principal place of employment initially shall be the offices of the Corporation’s headquarters, currently located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Santa Monica, California. The Executive acknowledges that business travel may be required from time to time in the course of performing the Executive’s duties for the Corporation. Where available for flights with a duration longer than two hours, such air travel shall be provided to the Executive in business class.</w:t>
      </w:r>
    </w:p>
    <w:p>
      <w:pPr>
        <w:spacing w:after="0" w:line="175" w:lineRule="exact"/>
        <w:rPr>
          <w:sz w:val="20"/>
          <w:szCs w:val="20"/>
          <w:color w:val="auto"/>
        </w:rPr>
      </w:pPr>
    </w:p>
    <w:p>
      <w:pPr>
        <w:ind w:left="6" w:hanging="6"/>
        <w:spacing w:after="0" w:line="256" w:lineRule="auto"/>
        <w:tabs>
          <w:tab w:leader="none" w:pos="318" w:val="left"/>
        </w:tabs>
        <w:numPr>
          <w:ilvl w:val="0"/>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The parties acknowledge that the Executive has been an employee of the Corporation prior to the date of this Agreement and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employment under this Agreement shall commence on the consummation of the initial public offering of the common stock of Holdings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which date will be hereinafter referred to as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period from the Effective Date until the termination of the Executive’s employment under this Agreement is hereinafter referred to as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In the event the IPO does not occur, this Agreement shall have no force or effect.</w:t>
      </w:r>
    </w:p>
    <w:p>
      <w:pPr>
        <w:spacing w:after="0" w:line="285" w:lineRule="exact"/>
        <w:rPr>
          <w:rFonts w:ascii="Times New Roman" w:cs="Times New Roman" w:eastAsia="Times New Roman" w:hAnsi="Times New Roman"/>
          <w:sz w:val="18"/>
          <w:szCs w:val="18"/>
          <w:b w:val="1"/>
          <w:bCs w:val="1"/>
          <w:color w:val="auto"/>
        </w:rPr>
      </w:pPr>
    </w:p>
    <w:p>
      <w:pPr>
        <w:ind w:left="306" w:hanging="306"/>
        <w:spacing w:after="0"/>
        <w:tabs>
          <w:tab w:leader="none" w:pos="306" w:val="left"/>
        </w:tabs>
        <w:numPr>
          <w:ilvl w:val="0"/>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right="2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Base Salary</w:t>
      </w:r>
      <w:r>
        <w:rPr>
          <w:rFonts w:ascii="Times New Roman" w:cs="Times New Roman" w:eastAsia="Times New Roman" w:hAnsi="Times New Roman"/>
          <w:sz w:val="18"/>
          <w:szCs w:val="18"/>
          <w:color w:val="auto"/>
        </w:rPr>
        <w:t>. During the Term, the Executive’s annual base salary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shall be paid in accordance with the Corporation’s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regular payroll practices in effect from time to time, but not less frequently than in monthly installments. As of the Effective Date, the Executive’s Base Salary shall be at an annualized rate of $500,000. During the Term, subject to Section 5, the Board (or a subcommittee thereof) will annually review, and may adjust in its discretion, the Executive’s rate of Base Salary. The term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as utilized in this Agreement shall refer to the Base Salary as so adjusted.</w:t>
      </w:r>
    </w:p>
    <w:p>
      <w:pPr>
        <w:spacing w:after="0" w:line="11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6"/>
          </w:cols>
          <w:pgMar w:left="494" w:top="268" w:right="499" w:bottom="1440" w:gutter="0" w:footer="0" w:header="0"/>
        </w:sectPr>
      </w:pPr>
    </w:p>
    <w:bookmarkStart w:id="559" w:name="page560"/>
    <w:bookmarkEnd w:id="559"/>
    <w:p>
      <w:pPr>
        <w:ind w:left="6" w:right="60" w:firstLine="436"/>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3.2 </w:t>
      </w:r>
      <w:r>
        <w:rPr>
          <w:rFonts w:ascii="Times New Roman" w:cs="Times New Roman" w:eastAsia="Times New Roman" w:hAnsi="Times New Roman"/>
          <w:sz w:val="18"/>
          <w:szCs w:val="18"/>
          <w:b w:val="1"/>
          <w:bCs w:val="1"/>
          <w:u w:val="single" w:color="auto"/>
          <w:color w:val="auto"/>
        </w:rPr>
        <w:t>Incentive Bonus</w:t>
      </w:r>
      <w:r>
        <w:rPr>
          <w:rFonts w:ascii="Times New Roman" w:cs="Times New Roman" w:eastAsia="Times New Roman" w:hAnsi="Times New Roman"/>
          <w:sz w:val="18"/>
          <w:szCs w:val="18"/>
          <w:color w:val="auto"/>
        </w:rPr>
        <w:t>. The Executive will be eligible each year during the Term for an incentive bonus (the “</w:t>
      </w:r>
      <w:r>
        <w:rPr>
          <w:rFonts w:ascii="Times New Roman" w:cs="Times New Roman" w:eastAsia="Times New Roman" w:hAnsi="Times New Roman"/>
          <w:sz w:val="18"/>
          <w:szCs w:val="18"/>
          <w:u w:val="single" w:color="auto"/>
          <w:color w:val="auto"/>
        </w:rPr>
        <w:t>Incentive Bonus</w:t>
      </w:r>
      <w:r>
        <w:rPr>
          <w:rFonts w:ascii="Times New Roman" w:cs="Times New Roman" w:eastAsia="Times New Roman" w:hAnsi="Times New Roman"/>
          <w:sz w:val="18"/>
          <w:szCs w:val="18"/>
          <w:color w:val="auto"/>
        </w:rPr>
        <w:t>”) targeted at 100%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Executive’s annual Base Salary, payable if the Corporation meets applicable performance goals determined by the Board (or a subcommittee thereof) in its discretion following consultation with Executive. The actual Incentive Bonus earned for each fiscal year (which, for clarity, may exceed or be less than the target Incentive Bonus), shall be paid as soon as practicable following the Board’s (or its subcommittee’s) approval of the amount of the Incentive Bonus, but no later than March 15 of the calendar year following the year in which the bonus is earned, subject to the Executive’s continued employment by the Corporation or its affiliates through the end of the calendar year covered by the Incentive Bonus.</w:t>
      </w:r>
    </w:p>
    <w:p>
      <w:pPr>
        <w:spacing w:after="0" w:line="289" w:lineRule="exact"/>
        <w:rPr>
          <w:sz w:val="20"/>
          <w:szCs w:val="20"/>
          <w:color w:val="auto"/>
        </w:rPr>
      </w:pPr>
    </w:p>
    <w:p>
      <w:pPr>
        <w:ind w:left="306" w:hanging="306"/>
        <w:spacing w:after="0"/>
        <w:tabs>
          <w:tab w:leader="none" w:pos="306" w:val="left"/>
        </w:tabs>
        <w:numPr>
          <w:ilvl w:val="0"/>
          <w:numId w:val="4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Benefits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right="22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Health, Retirement, Welfare and Fringe Benefits</w:t>
      </w:r>
      <w:r>
        <w:rPr>
          <w:rFonts w:ascii="Times New Roman" w:cs="Times New Roman" w:eastAsia="Times New Roman" w:hAnsi="Times New Roman"/>
          <w:sz w:val="18"/>
          <w:szCs w:val="18"/>
          <w:color w:val="auto"/>
        </w:rPr>
        <w:t>. During the Term, the Executive shall be eligible to participate in all employee health,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life and other insurance, retirement and welfare benefit plans and programs, bonus, and fringe benefit plans and programs, made available by the Corporation to the Corporation’s executive employees generally, in accordance with the terms of such plans and as such plans or programs may be in effect from time to time.</w:t>
      </w:r>
    </w:p>
    <w:p>
      <w:pPr>
        <w:spacing w:after="0" w:line="175" w:lineRule="exact"/>
        <w:rPr>
          <w:sz w:val="20"/>
          <w:szCs w:val="20"/>
          <w:color w:val="auto"/>
        </w:rPr>
      </w:pPr>
    </w:p>
    <w:p>
      <w:pPr>
        <w:ind w:left="6" w:right="5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Reimbursement of Expenses</w:t>
      </w:r>
      <w:r>
        <w:rPr>
          <w:rFonts w:ascii="Times New Roman" w:cs="Times New Roman" w:eastAsia="Times New Roman" w:hAnsi="Times New Roman"/>
          <w:sz w:val="18"/>
          <w:szCs w:val="18"/>
          <w:color w:val="auto"/>
        </w:rPr>
        <w:t>. During the Term, the Corporation shall reimburse Executive for all customary and reasonable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incurred in the performance of his duties under this Agreement and as an officer or director pursuant to the Corporation’s expense reimbursement policies.</w:t>
      </w:r>
    </w:p>
    <w:p>
      <w:pPr>
        <w:spacing w:after="0" w:line="169" w:lineRule="exact"/>
        <w:rPr>
          <w:sz w:val="20"/>
          <w:szCs w:val="20"/>
          <w:color w:val="auto"/>
        </w:rPr>
      </w:pPr>
    </w:p>
    <w:p>
      <w:pPr>
        <w:ind w:left="6" w:right="8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Vacation and Other Leave</w:t>
      </w:r>
      <w:r>
        <w:rPr>
          <w:rFonts w:ascii="Times New Roman" w:cs="Times New Roman" w:eastAsia="Times New Roman" w:hAnsi="Times New Roman"/>
          <w:sz w:val="18"/>
          <w:szCs w:val="18"/>
          <w:color w:val="auto"/>
        </w:rPr>
        <w:t>. During the Term, the Executive’s annual rate of Paid Time Off (“</w:t>
      </w:r>
      <w:r>
        <w:rPr>
          <w:rFonts w:ascii="Times New Roman" w:cs="Times New Roman" w:eastAsia="Times New Roman" w:hAnsi="Times New Roman"/>
          <w:sz w:val="18"/>
          <w:szCs w:val="18"/>
          <w:u w:val="single" w:color="auto"/>
          <w:color w:val="auto"/>
        </w:rPr>
        <w:t>PTO</w:t>
      </w:r>
      <w:r>
        <w:rPr>
          <w:rFonts w:ascii="Times New Roman" w:cs="Times New Roman" w:eastAsia="Times New Roman" w:hAnsi="Times New Roman"/>
          <w:sz w:val="18"/>
          <w:szCs w:val="18"/>
          <w:color w:val="auto"/>
        </w:rPr>
        <w:t>”) accrual shall be as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Corporation’s PTO policies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vacation shall accrue and be subject to the Corporation’s vacation policies as in effect from time to time. The Executive shall also be eligible for all other holiday and leave pay generally available to other executives of the Corporation.</w:t>
      </w:r>
    </w:p>
    <w:p>
      <w:pPr>
        <w:spacing w:after="0" w:line="175" w:lineRule="exact"/>
        <w:rPr>
          <w:sz w:val="20"/>
          <w:szCs w:val="20"/>
          <w:color w:val="auto"/>
        </w:rPr>
      </w:pPr>
    </w:p>
    <w:p>
      <w:pPr>
        <w:ind w:left="6" w:right="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The Executive shall be provided indemnification, and coverage under the Corporation’s D&amp;O and EPL liability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w:t>
      </w:r>
    </w:p>
    <w:p>
      <w:pPr>
        <w:spacing w:after="0" w:line="262" w:lineRule="exact"/>
        <w:rPr>
          <w:sz w:val="20"/>
          <w:szCs w:val="20"/>
          <w:color w:val="auto"/>
        </w:rPr>
      </w:pPr>
    </w:p>
    <w:p>
      <w:pPr>
        <w:ind w:left="306" w:hanging="306"/>
        <w:spacing w:after="0"/>
        <w:tabs>
          <w:tab w:leader="none" w:pos="306" w:val="left"/>
        </w:tabs>
        <w:numPr>
          <w:ilvl w:val="0"/>
          <w:numId w:val="4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Employment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left="6" w:right="3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Generally</w:t>
      </w:r>
      <w:r>
        <w:rPr>
          <w:rFonts w:ascii="Times New Roman" w:cs="Times New Roman" w:eastAsia="Times New Roman" w:hAnsi="Times New Roman"/>
          <w:sz w:val="18"/>
          <w:szCs w:val="18"/>
          <w:color w:val="auto"/>
        </w:rPr>
        <w:t>. The Executive’s employment by the Corporation, and the Term, may be terminated at any time (i) by the Corporation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Cause (as defined in Section 5.5), (ii) by the Corporation in the event that the Executive has incurred a Disability (as defined in Section 5.5), (iii) by the Executive for any reason, or (iv) due to the Executive’s death.</w:t>
      </w:r>
    </w:p>
    <w:p>
      <w:pPr>
        <w:spacing w:after="0" w:line="169" w:lineRule="exact"/>
        <w:rPr>
          <w:sz w:val="20"/>
          <w:szCs w:val="20"/>
          <w:color w:val="auto"/>
        </w:rPr>
      </w:pPr>
    </w:p>
    <w:p>
      <w:pPr>
        <w:ind w:left="6" w:firstLine="43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Notice of Termination</w:t>
      </w:r>
      <w:r>
        <w:rPr>
          <w:rFonts w:ascii="Times New Roman" w:cs="Times New Roman" w:eastAsia="Times New Roman" w:hAnsi="Times New Roman"/>
          <w:sz w:val="18"/>
          <w:szCs w:val="18"/>
          <w:color w:val="auto"/>
        </w:rPr>
        <w:t>. Any termination of the Executive’s employment under this Agreement (other than because of the Executive’s death)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communicated by written notice of termination from the terminating party to the other party, which termination shall be effective (i) no less than thirty (30) days following delivery of such notice in the event of a termination by the Executive for any reason or (ii) immediately in the event of a termination by the Corporation for Cause, subject to any applicable notice and cure provisions set forth in Section 5.5. The notice of termination shall indicate the specific provision(s) of this Agreement relied upon in effecting the termination. The effective date of termination shall be referenced herein as the “Separation Date”.</w:t>
      </w:r>
    </w:p>
    <w:p>
      <w:pPr>
        <w:spacing w:after="0" w:line="119"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6"/>
          </w:cols>
          <w:pgMar w:left="494" w:top="264" w:right="519" w:bottom="1440" w:gutter="0" w:footer="0" w:header="0"/>
        </w:sectPr>
      </w:pPr>
    </w:p>
    <w:bookmarkStart w:id="560" w:name="page561"/>
    <w:bookmarkEnd w:id="560"/>
    <w:p>
      <w:pPr>
        <w:ind w:left="42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3">
                      <a:extLst>
                        <a:ext uri="{28A0092B-C50C-407E-A947-70E740481C1C}"/>
                      </a:extLst>
                    </a:blip>
                    <a:srcRect/>
                    <a:stretch>
                      <a:fillRect/>
                    </a:stretch>
                  </pic:blipFill>
                  <pic:spPr bwMode="auto">
                    <a:xfrm>
                      <a:off x="0" y="0"/>
                      <a:ext cx="7150735" cy="24765"/>
                    </a:xfrm>
                    <a:prstGeom prst="rect">
                      <a:avLst/>
                    </a:prstGeom>
                    <a:noFill/>
                  </pic:spPr>
                </pic:pic>
              </a:graphicData>
            </a:graphic>
          </wp:anchor>
        </w:drawing>
        <w:t>5.3</w:t>
      </w:r>
      <w:r>
        <w:rPr>
          <w:sz w:val="20"/>
          <w:szCs w:val="20"/>
          <w:color w:val="auto"/>
        </w:rPr>
        <w:tab/>
      </w:r>
      <w:r>
        <w:rPr>
          <w:rFonts w:ascii="Times New Roman" w:cs="Times New Roman" w:eastAsia="Times New Roman" w:hAnsi="Times New Roman"/>
          <w:sz w:val="17"/>
          <w:szCs w:val="17"/>
          <w:b w:val="1"/>
          <w:bCs w:val="1"/>
          <w:u w:val="single" w:color="auto"/>
          <w:color w:val="auto"/>
        </w:rPr>
        <w:t>Benefits Upon Termination</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right="100" w:firstLine="975"/>
        <w:spacing w:after="0" w:line="252" w:lineRule="auto"/>
        <w:tabs>
          <w:tab w:leader="none" w:pos="1357"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Executive’s employment for any reason, the Corporation shall pay (i) on the Corporation’s first regularly scheduled payroll date following the Separation Date (or earlier if required by applicable law), any Base Salary, PTO, and any other amounts required under applicable law that had accrued or been earned but had not been paid on or before the Separation Date; (ii) any accrued but unpaid Incentive Bonus for a performance period ending on or preceding the Separation Date (payable in accordance with Section 3.2), and (iii) within thirty (30) days following the Separation Date, any reimbursement due to the Executive pursuant to Section 4.2 for expenses incurred by the Executive on or before the Separation Date. If the Executive’s employment by the Corporation is terminated during the Term by the Corporation for Cause or by the Executive without Good Reason, then following the payment of the foregoing, the Corporation shall have no further obligation to make or provide to the Executive, and the Executive shall have no further right to receive or obtain from the Corporation any other payments or benefits.</w:t>
      </w:r>
    </w:p>
    <w:p>
      <w:pPr>
        <w:spacing w:after="0" w:line="184" w:lineRule="exact"/>
        <w:rPr>
          <w:rFonts w:ascii="Times New Roman" w:cs="Times New Roman" w:eastAsia="Times New Roman" w:hAnsi="Times New Roman"/>
          <w:sz w:val="18"/>
          <w:szCs w:val="18"/>
          <w:color w:val="auto"/>
        </w:rPr>
      </w:pPr>
    </w:p>
    <w:p>
      <w:pPr>
        <w:ind w:firstLine="975"/>
        <w:spacing w:after="0" w:line="250" w:lineRule="auto"/>
        <w:tabs>
          <w:tab w:leader="none" w:pos="1367"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Term, the Executive’s employment is terminated by the Corporation (or its successor or assignee) without Cause, or due to the Executive’s death or Disability, or by the Executive with Good Reason (an “</w:t>
      </w:r>
      <w:r>
        <w:rPr>
          <w:rFonts w:ascii="Times New Roman" w:cs="Times New Roman" w:eastAsia="Times New Roman" w:hAnsi="Times New Roman"/>
          <w:sz w:val="18"/>
          <w:szCs w:val="18"/>
          <w:u w:val="single" w:color="auto"/>
          <w:color w:val="auto"/>
        </w:rPr>
        <w:t>Involuntary Termination</w:t>
      </w:r>
      <w:r>
        <w:rPr>
          <w:rFonts w:ascii="Times New Roman" w:cs="Times New Roman" w:eastAsia="Times New Roman" w:hAnsi="Times New Roman"/>
          <w:sz w:val="18"/>
          <w:szCs w:val="18"/>
          <w:color w:val="auto"/>
        </w:rPr>
        <w:t>”), the Corporation shall pay the Executive (or the Executive’s estate in the case of death) an amount equal to twelve (12) months of the Executive’s Base Salary at the rate in effect on the Separation Date (the “Salary Severance”) plus reimbursement of COBRA medical continuation premiums (if the Executive is eligible for, timely elects and pays for such COBRA medical continuation) for twelve (12) months (collectively, the “</w:t>
      </w:r>
      <w:r>
        <w:rPr>
          <w:rFonts w:ascii="Times New Roman" w:cs="Times New Roman" w:eastAsia="Times New Roman" w:hAnsi="Times New Roman"/>
          <w:sz w:val="18"/>
          <w:szCs w:val="18"/>
          <w:u w:val="single" w:color="auto"/>
          <w:color w:val="auto"/>
        </w:rPr>
        <w:t>Severance Benefit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Corporation shall have no obligation to reimburse the Executive for such COBRA premiums if the Corporation determines that reimbursement of such COBRA premiums would reasonably be expected to result in the imposition of excise taxes on the Corporation or any of its affiliates for any failure to comply with the nondiscrimination requirements of the Patient Protection and Affordable Care Act of 2010, as amended, and the Health Care and Education Reconciliation Act of 2010, as amended;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plan pursuant to which such benefits are provided is not, or ceases prior to the expiration of the 12-month period of continuation coverage to be, exempt from the application of Section 409A under Treasury Regulation</w:t>
      </w:r>
    </w:p>
    <w:p>
      <w:pPr>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1.409A-1(a)(5), an amount equal to each remaining Corporation payment shall thereafter be paid to the Executive in substantially equal monthly installments over the continuation coverage period (or the remaining portion thereof). The Corporation shall pay (or provide, as applicable) the Salary Severance to the Executive (or the Executive’s estate in the case of death) in substantially equal installments during the twelve (12) month period commencing on the Separation Date in accordance with the Corporation’s payroll cycle;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amounts that otherwise would be scheduled to be paid during the Release Period (as defined in Section 5.4(a)) shall accrue and shall be paid on the first payroll date following the expiration of the Release Period.</w:t>
      </w:r>
    </w:p>
    <w:p>
      <w:pPr>
        <w:spacing w:after="0" w:line="188" w:lineRule="exact"/>
        <w:rPr>
          <w:rFonts w:ascii="Times New Roman" w:cs="Times New Roman" w:eastAsia="Times New Roman" w:hAnsi="Times New Roman"/>
          <w:sz w:val="18"/>
          <w:szCs w:val="18"/>
          <w:color w:val="auto"/>
        </w:rPr>
      </w:pPr>
    </w:p>
    <w:p>
      <w:pPr>
        <w:ind w:left="1340" w:hanging="365"/>
        <w:spacing w:after="0"/>
        <w:tabs>
          <w:tab w:leader="none" w:pos="134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Severance Benefit shall be subject to Section 18.</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63" w:right="519" w:bottom="1440" w:gutter="0" w:footer="0" w:header="0"/>
        </w:sectPr>
      </w:pPr>
    </w:p>
    <w:bookmarkStart w:id="561" w:name="page562"/>
    <w:bookmarkEnd w:id="561"/>
    <w:p>
      <w:pPr>
        <w:ind w:right="140" w:firstLine="975"/>
        <w:spacing w:after="0" w:line="255" w:lineRule="auto"/>
        <w:tabs>
          <w:tab w:leader="none" w:pos="1363"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4">
                      <a:extLst>
                        <a:ext uri="{28A0092B-C50C-407E-A947-70E740481C1C}"/>
                      </a:extLst>
                    </a:blip>
                    <a:srcRect/>
                    <a:stretch>
                      <a:fillRect/>
                    </a:stretch>
                  </pic:blipFill>
                  <pic:spPr bwMode="auto">
                    <a:xfrm>
                      <a:off x="0" y="0"/>
                      <a:ext cx="7150735" cy="24765"/>
                    </a:xfrm>
                    <a:prstGeom prst="rect">
                      <a:avLst/>
                    </a:prstGeom>
                    <a:noFill/>
                  </pic:spPr>
                </pic:pic>
              </a:graphicData>
            </a:graphic>
          </wp:anchor>
        </w:drawing>
        <w:t>The foregoing provisions of this Section 5.3 shall not affect: (i) payment of the amounts set forth in Section 5.3(a), (ii) the Executive’s receipt of benefits otherwise due terminated employees under group insurance coverage consistent with the terms of the applicable Corporation welfare benefit plan; (iii) the Executive’s rights under COBRA to continue participation in medical, dental, hospitalization and such other benefit plans covered by COBRA; or (iv) the Executive’s receipt of any vested payments or benefits otherwise due in accordance with the terms of an applicable equity compensation plan maintained by the Corporation or Holdings and the Corporation’s 401(k) plan (if any).</w:t>
      </w:r>
    </w:p>
    <w:p>
      <w:pPr>
        <w:spacing w:after="0" w:line="286"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u w:val="single" w:color="auto"/>
          <w:color w:val="auto"/>
        </w:rPr>
        <w:t>Release; Exclusive Remedy</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firstLine="975"/>
        <w:spacing w:after="0" w:line="257" w:lineRule="auto"/>
        <w:tabs>
          <w:tab w:leader="none" w:pos="1347"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precedent to any Corporation obligation to the Executive pursuant to Section 5.3(b), the Executive shall, upon or within sixty (60) days following termination of employment with the Corporation (such sixty (60)-day period being referred to as the “</w:t>
      </w:r>
      <w:r>
        <w:rPr>
          <w:rFonts w:ascii="Times New Roman" w:cs="Times New Roman" w:eastAsia="Times New Roman" w:hAnsi="Times New Roman"/>
          <w:sz w:val="18"/>
          <w:szCs w:val="18"/>
          <w:u w:val="single" w:color="auto"/>
          <w:color w:val="auto"/>
        </w:rPr>
        <w:t>Release Period</w:t>
      </w:r>
      <w:r>
        <w:rPr>
          <w:rFonts w:ascii="Times New Roman" w:cs="Times New Roman" w:eastAsia="Times New Roman" w:hAnsi="Times New Roman"/>
          <w:sz w:val="18"/>
          <w:szCs w:val="18"/>
          <w:color w:val="auto"/>
        </w:rPr>
        <w:t xml:space="preserve">”), provide the Corporation with an executed general release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such release shall have not been revoked by the Executive, and shall have become non-revocable, pursuant to, or in accordance with, any revocation rights afforded by applicable law.</w:t>
      </w:r>
    </w:p>
    <w:p>
      <w:pPr>
        <w:spacing w:after="0" w:line="182" w:lineRule="exact"/>
        <w:rPr>
          <w:rFonts w:ascii="Times New Roman" w:cs="Times New Roman" w:eastAsia="Times New Roman" w:hAnsi="Times New Roman"/>
          <w:sz w:val="18"/>
          <w:szCs w:val="18"/>
          <w:color w:val="auto"/>
        </w:rPr>
      </w:pPr>
    </w:p>
    <w:p>
      <w:pPr>
        <w:ind w:right="140" w:firstLine="975"/>
        <w:spacing w:after="0" w:line="262" w:lineRule="auto"/>
        <w:tabs>
          <w:tab w:leader="none" w:pos="1363"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Executive agrees that, upon the parties’ signing and the Executive’s not revoking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payments and benefits contemplated by Section 5.3 shall constitute the exclusive and sole remedy for any termination of employment during the Term of this Agreement and the Executive covenants not to assert or pursue any other remedies, at law or in equity, with respect to any termination of employment.</w:t>
      </w:r>
    </w:p>
    <w:p>
      <w:pPr>
        <w:spacing w:after="0" w:line="173" w:lineRule="exact"/>
        <w:rPr>
          <w:sz w:val="20"/>
          <w:szCs w:val="20"/>
          <w:color w:val="auto"/>
        </w:rPr>
      </w:pPr>
    </w:p>
    <w:p>
      <w:pPr>
        <w:ind w:right="72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b w:val="1"/>
          <w:bCs w:val="1"/>
          <w:u w:val="single" w:color="auto"/>
          <w:color w:val="auto"/>
        </w:rPr>
        <w:t>Certain Defined Terms</w:t>
      </w:r>
      <w:r>
        <w:rPr>
          <w:rFonts w:ascii="Times New Roman" w:cs="Times New Roman" w:eastAsia="Times New Roman" w:hAnsi="Times New Roman"/>
          <w:sz w:val="18"/>
          <w:szCs w:val="18"/>
          <w:color w:val="auto"/>
        </w:rPr>
        <w:t>. The definitions of Cause and Good Reason contained in this Agreement shall govern for purposes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9" w:lineRule="exact"/>
        <w:rPr>
          <w:sz w:val="20"/>
          <w:szCs w:val="20"/>
          <w:color w:val="auto"/>
        </w:rPr>
      </w:pPr>
    </w:p>
    <w:p>
      <w:pPr>
        <w:ind w:left="1340" w:hanging="365"/>
        <w:spacing w:after="0"/>
        <w:tabs>
          <w:tab w:leader="none" w:pos="134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that one or more of the following has occurred:</w:t>
      </w:r>
    </w:p>
    <w:p>
      <w:pPr>
        <w:spacing w:after="0" w:line="113" w:lineRule="exact"/>
        <w:rPr>
          <w:rFonts w:ascii="Times New Roman" w:cs="Times New Roman" w:eastAsia="Times New Roman" w:hAnsi="Times New Roman"/>
          <w:sz w:val="18"/>
          <w:szCs w:val="18"/>
          <w:color w:val="auto"/>
        </w:rPr>
      </w:pPr>
    </w:p>
    <w:p>
      <w:pPr>
        <w:ind w:left="420" w:right="180" w:firstLine="951"/>
        <w:spacing w:after="0" w:line="257" w:lineRule="auto"/>
        <w:tabs>
          <w:tab w:leader="none" w:pos="1708"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(x) been convicted of, pled guilty or no contest to, or entered into a plea agreement on charges constituting, any felony (under the laws of the United States, any relevant state, or the equivalent of a felony in any international jurisdiction in which the Corporation does business), other than a traffic violation or (y) been convicted of, or pled guilty or no contest to, any misdemeanor crime involving dishonesty or moral turpitude;</w:t>
      </w:r>
    </w:p>
    <w:p>
      <w:pPr>
        <w:spacing w:after="0" w:line="75" w:lineRule="exact"/>
        <w:rPr>
          <w:rFonts w:ascii="Times New Roman" w:cs="Times New Roman" w:eastAsia="Times New Roman" w:hAnsi="Times New Roman"/>
          <w:sz w:val="18"/>
          <w:szCs w:val="18"/>
          <w:color w:val="auto"/>
        </w:rPr>
      </w:pPr>
    </w:p>
    <w:p>
      <w:pPr>
        <w:jc w:val="both"/>
        <w:ind w:left="420" w:right="80" w:firstLine="951"/>
        <w:spacing w:after="0" w:line="262" w:lineRule="auto"/>
        <w:tabs>
          <w:tab w:leader="none" w:pos="1757"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engaged in any willful misconduct (including any willful violation of federal securities laws), gross neglect of Executive’s job duties, willful act of dishonesty, violence or threat of violence in the workplace, in each case, that either has materially injured or is reasonably expected to substantially injure the Corporation;</w:t>
      </w:r>
    </w:p>
    <w:p>
      <w:pPr>
        <w:spacing w:after="0" w:line="70" w:lineRule="exact"/>
        <w:rPr>
          <w:rFonts w:ascii="Times New Roman" w:cs="Times New Roman" w:eastAsia="Times New Roman" w:hAnsi="Times New Roman"/>
          <w:sz w:val="18"/>
          <w:szCs w:val="18"/>
          <w:color w:val="auto"/>
        </w:rPr>
      </w:pPr>
    </w:p>
    <w:p>
      <w:pPr>
        <w:ind w:left="420" w:right="40" w:firstLine="951"/>
        <w:spacing w:after="0" w:line="277" w:lineRule="auto"/>
        <w:tabs>
          <w:tab w:leader="none" w:pos="1807"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willfully breached the written laws of any governmental or regulatory body applicable to the Corporation in each case, that either has materially injured or is reasonably expected to substantially injure the Corporation;</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40"/>
          </w:cols>
          <w:pgMar w:left="500" w:top="267" w:right="559" w:bottom="1440" w:gutter="0" w:footer="0" w:header="0"/>
        </w:sectPr>
      </w:pPr>
    </w:p>
    <w:bookmarkStart w:id="562" w:name="page563"/>
    <w:bookmarkEnd w:id="562"/>
    <w:p>
      <w:pPr>
        <w:ind w:left="426" w:right="60" w:firstLine="951"/>
        <w:spacing w:after="0" w:line="262" w:lineRule="auto"/>
        <w:tabs>
          <w:tab w:leader="none" w:pos="1803"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5">
                      <a:extLst>
                        <a:ext uri="{28A0092B-C50C-407E-A947-70E740481C1C}"/>
                      </a:extLst>
                    </a:blip>
                    <a:srcRect/>
                    <a:stretch>
                      <a:fillRect/>
                    </a:stretch>
                  </pic:blipFill>
                  <pic:spPr bwMode="auto">
                    <a:xfrm>
                      <a:off x="0" y="0"/>
                      <a:ext cx="7150735" cy="24765"/>
                    </a:xfrm>
                    <a:prstGeom prst="rect">
                      <a:avLst/>
                    </a:prstGeom>
                    <a:noFill/>
                  </pic:spPr>
                </pic:pic>
              </a:graphicData>
            </a:graphic>
          </wp:anchor>
        </w:drawing>
        <w:t>the Executive has (other than any such failure resulting from the Executive’s Disability or incapacity due to bodily injury or physical or mental illness) willfully failed to comply with lawful material directives of the Board regarding his employment with the Corporation; or</w:t>
      </w:r>
    </w:p>
    <w:p>
      <w:pPr>
        <w:spacing w:after="0" w:line="70" w:lineRule="exact"/>
        <w:rPr>
          <w:rFonts w:ascii="Times New Roman" w:cs="Times New Roman" w:eastAsia="Times New Roman" w:hAnsi="Times New Roman"/>
          <w:sz w:val="18"/>
          <w:szCs w:val="18"/>
          <w:color w:val="auto"/>
        </w:rPr>
      </w:pPr>
    </w:p>
    <w:p>
      <w:pPr>
        <w:ind w:left="426" w:right="240" w:firstLine="951"/>
        <w:spacing w:after="0" w:line="257" w:lineRule="auto"/>
        <w:tabs>
          <w:tab w:leader="none" w:pos="1754"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(other than any such failure resulting from the Executive’s Disability or incapacity due to bodily injury or physical or mental illness) materially breached this Agreement or any other material contract regarding employment with the Corporation to which the Executive and the Corporation are parties, in each case, that either has substantially injured or is reasonably expected to substantially injure the Corporation;</w:t>
      </w:r>
    </w:p>
    <w:p>
      <w:pPr>
        <w:spacing w:after="0" w:line="182" w:lineRule="exact"/>
        <w:rPr>
          <w:sz w:val="20"/>
          <w:szCs w:val="20"/>
          <w:color w:val="auto"/>
        </w:rPr>
      </w:pPr>
    </w:p>
    <w:p>
      <w:pPr>
        <w:ind w:left="6" w:right="320"/>
        <w:spacing w:after="0" w:line="274"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Sections 5.5(a)(ii), 5.5(a)(iii), 5.5(a)(iv), and 5.5(a)(v), and if the event giving rise to the claim of Cause is curable, the Corporation provides written notice to the Executive of the details of the event and the subsection(s) of Section 5.5 to which it pertains, within thirty</w:t>
      </w:r>
    </w:p>
    <w:p>
      <w:pPr>
        <w:ind w:left="6" w:right="100" w:hanging="6"/>
        <w:spacing w:after="0" w:line="262" w:lineRule="auto"/>
        <w:tabs>
          <w:tab w:leader="none" w:pos="347" w:val="left"/>
        </w:tabs>
        <w:numPr>
          <w:ilvl w:val="0"/>
          <w:numId w:val="4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days of the Corporation learning of the occurrence of such event, that Executive is provided a reasonable opportunity to cure such Cause, and such Cause event remains uncured thirty (30) days after the Corporation has provided such written notice;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any termination by the Corporation of the Executive’s employment for “Cause” with respect to Sections 5.5(a)(ii), 5.5(a)(iii), 5.5(a)(iv) or 5.5(a)(v) shall occur no later than thirty (30) days following the expiration of such cure period. In addition, the Corporation may only terminate the Executive’s employment for Cause if</w:t>
      </w:r>
    </w:p>
    <w:p>
      <w:pPr>
        <w:spacing w:after="0" w:line="1" w:lineRule="exact"/>
        <w:rPr>
          <w:rFonts w:ascii="Times New Roman" w:cs="Times New Roman" w:eastAsia="Times New Roman" w:hAnsi="Times New Roman"/>
          <w:sz w:val="17"/>
          <w:szCs w:val="17"/>
          <w:color w:val="auto"/>
        </w:rPr>
      </w:pPr>
    </w:p>
    <w:p>
      <w:pPr>
        <w:ind w:left="6"/>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a determination that Cause exists is made and approved by not less than three-quarters of the then sitting members of the Corporation’s Board (other than the Executive, if the Executive is then a member of the Board, and also other than (i) Trevor Bezdek (if Mr. Bezdek is then a member of the Board) and/or (ii) any other member of the Board designated by Idea Men who is not an “independent director” under the rules of the applicable stock exchange listing rules applicable to the Company), (B) the Executive is given at least ten (10) days’ written notice of the Board meeting called to make such determination, and (C) the Executive and his legal counsel are given the opportunity to address such meeting. In the event that the Board has so determined in good faith that Cause exists, the Board shall have no obligation to terminate the Executive’s employment if the Board determines in its sole discretion that such a decision not to terminate the Executive’s employment is in the best interest of the Corporation.</w:t>
      </w:r>
    </w:p>
    <w:p>
      <w:pPr>
        <w:spacing w:after="0" w:line="187" w:lineRule="exact"/>
        <w:rPr>
          <w:rFonts w:ascii="Times New Roman" w:cs="Times New Roman" w:eastAsia="Times New Roman" w:hAnsi="Times New Roman"/>
          <w:sz w:val="17"/>
          <w:szCs w:val="17"/>
          <w:color w:val="auto"/>
        </w:rPr>
      </w:pPr>
    </w:p>
    <w:p>
      <w:pPr>
        <w:ind w:left="6" w:right="100" w:firstLine="975"/>
        <w:spacing w:after="0" w:line="255" w:lineRule="auto"/>
        <w:tabs>
          <w:tab w:leader="none" w:pos="1363"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a disability for which the Executive is deemed qualified for benefits under the Corporation’s long-term disability plan or, if the Corporation does not maintain a long-term disability plan or the Executive does not apply for such benefits, any medically determinable physical or mental impairment (as determined by a physician designated by the Corporation in good faith) resulting in Executive’s inability to perform the duties of his position, where such impairment can be expected to result in death or can be expected to last for a continuous period of not less than six months.</w:t>
      </w:r>
    </w:p>
    <w:p>
      <w:pPr>
        <w:spacing w:after="0" w:line="182" w:lineRule="exact"/>
        <w:rPr>
          <w:rFonts w:ascii="Times New Roman" w:cs="Times New Roman" w:eastAsia="Times New Roman" w:hAnsi="Times New Roman"/>
          <w:sz w:val="18"/>
          <w:szCs w:val="18"/>
          <w:color w:val="auto"/>
        </w:rPr>
      </w:pPr>
    </w:p>
    <w:p>
      <w:pPr>
        <w:ind w:left="1346" w:hanging="365"/>
        <w:spacing w:after="0"/>
        <w:tabs>
          <w:tab w:leader="none" w:pos="1346"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that one or more of the following has occurred without the Executive’s prior written</w:t>
      </w:r>
    </w:p>
    <w:p>
      <w:pPr>
        <w:spacing w:after="0" w:line="25" w:lineRule="exact"/>
        <w:rPr>
          <w:rFonts w:ascii="Times New Roman" w:cs="Times New Roman" w:eastAsia="Times New Roman" w:hAnsi="Times New Roman"/>
          <w:sz w:val="18"/>
          <w:szCs w:val="18"/>
          <w:color w:val="auto"/>
        </w:rPr>
      </w:pPr>
    </w:p>
    <w:p>
      <w:pPr>
        <w:ind w:left="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w:t>
      </w:r>
    </w:p>
    <w:p>
      <w:pPr>
        <w:spacing w:after="0" w:line="95" w:lineRule="exact"/>
        <w:rPr>
          <w:sz w:val="20"/>
          <w:szCs w:val="20"/>
          <w:color w:val="auto"/>
        </w:rPr>
      </w:pPr>
    </w:p>
    <w:p>
      <w:pPr>
        <w:ind w:left="426" w:right="480" w:firstLine="951"/>
        <w:spacing w:after="0" w:line="277" w:lineRule="auto"/>
        <w:tabs>
          <w:tab w:leader="none" w:pos="1714"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nature or scope of the Executive’s responsibilities, duties or authority as set forth in Section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w:t>
      </w:r>
    </w:p>
    <w:p>
      <w:pPr>
        <w:spacing w:after="0" w:line="9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6"/>
          </w:cols>
          <w:pgMar w:left="494" w:top="267" w:right="519" w:bottom="1440" w:gutter="0" w:footer="0" w:header="0"/>
        </w:sectPr>
      </w:pPr>
    </w:p>
    <w:bookmarkStart w:id="563" w:name="page564"/>
    <w:bookmarkEnd w:id="563"/>
    <w:p>
      <w:pPr>
        <w:ind w:left="426" w:right="2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6">
                      <a:extLst>
                        <a:ext uri="{28A0092B-C50C-407E-A947-70E740481C1C}"/>
                      </a:extLst>
                    </a:blip>
                    <a:srcRect/>
                    <a:stretch>
                      <a:fillRect/>
                    </a:stretch>
                  </pic:blipFill>
                  <pic:spPr bwMode="auto">
                    <a:xfrm>
                      <a:off x="0" y="0"/>
                      <a:ext cx="7150735" cy="24765"/>
                    </a:xfrm>
                    <a:prstGeom prst="rect">
                      <a:avLst/>
                    </a:prstGeom>
                    <a:noFill/>
                  </pic:spPr>
                </pic:pic>
              </a:graphicData>
            </a:graphic>
          </wp:anchor>
        </w:drawing>
        <w:t>Executive continuing in the same role on a divisional or business unit basis following the acquisition of the Corporation by a larger entity shall not be treated as a material diminution in title, responsibilities, duties, or authority);</w:t>
      </w:r>
    </w:p>
    <w:p>
      <w:pPr>
        <w:spacing w:after="0" w:line="57" w:lineRule="exact"/>
        <w:rPr>
          <w:sz w:val="20"/>
          <w:szCs w:val="20"/>
          <w:color w:val="auto"/>
        </w:rPr>
      </w:pPr>
    </w:p>
    <w:p>
      <w:pPr>
        <w:ind w:left="1766" w:hanging="389"/>
        <w:spacing w:after="0"/>
        <w:tabs>
          <w:tab w:leader="none" w:pos="176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material breach of this Agreement;</w:t>
      </w:r>
    </w:p>
    <w:p>
      <w:pPr>
        <w:spacing w:after="0" w:line="113" w:lineRule="exact"/>
        <w:rPr>
          <w:rFonts w:ascii="Times New Roman" w:cs="Times New Roman" w:eastAsia="Times New Roman" w:hAnsi="Times New Roman"/>
          <w:sz w:val="18"/>
          <w:szCs w:val="18"/>
          <w:color w:val="auto"/>
        </w:rPr>
      </w:pPr>
    </w:p>
    <w:p>
      <w:pPr>
        <w:ind w:left="426" w:right="580" w:firstLine="951"/>
        <w:spacing w:after="0" w:line="277" w:lineRule="auto"/>
        <w:tabs>
          <w:tab w:leader="none" w:pos="1813"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relocation of its principal offices more than ten (10) miles from the prior location or its requiring that Executive relocate more than ten (10) miles from his then-current office location; or</w:t>
      </w:r>
    </w:p>
    <w:p>
      <w:pPr>
        <w:spacing w:after="0" w:line="56" w:lineRule="exact"/>
        <w:rPr>
          <w:rFonts w:ascii="Times New Roman" w:cs="Times New Roman" w:eastAsia="Times New Roman" w:hAnsi="Times New Roman"/>
          <w:sz w:val="18"/>
          <w:szCs w:val="18"/>
          <w:color w:val="auto"/>
        </w:rPr>
      </w:pPr>
    </w:p>
    <w:p>
      <w:pPr>
        <w:ind w:left="426" w:right="220" w:firstLine="951"/>
        <w:spacing w:after="0" w:line="262" w:lineRule="auto"/>
        <w:tabs>
          <w:tab w:leader="none" w:pos="1803"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the Executive’s Base Salary or Incentive Bonus other than, for both Base Salary and target Incentive Bonus individually, a one-time reduction of not more than ten percent (10%) that also is applied to substantially all other executive officers of the Corporation;</w:t>
      </w:r>
    </w:p>
    <w:p>
      <w:pPr>
        <w:spacing w:after="0" w:line="177" w:lineRule="exact"/>
        <w:rPr>
          <w:sz w:val="20"/>
          <w:szCs w:val="20"/>
          <w:color w:val="auto"/>
        </w:rPr>
      </w:pPr>
    </w:p>
    <w:p>
      <w:pPr>
        <w:ind w:left="6" w:right="120"/>
        <w:spacing w:after="0" w:line="257"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such case, the Executive provides written notice to the Corporation of the event giving rise to such claim of Good Reason within thirty (30) days after the Executive learns of the occurrence of such event in writing from the Corporation, and such Good Reason event remains uncured thirty (30) days after the Executive has provided such written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resignation of the Executive’s employment for “Good Reason” occurs no later than sixty (60) days following the expiration of such cure period.</w:t>
      </w:r>
    </w:p>
    <w:p>
      <w:pPr>
        <w:spacing w:after="0" w:line="178" w:lineRule="exact"/>
        <w:rPr>
          <w:sz w:val="20"/>
          <w:szCs w:val="20"/>
          <w:color w:val="auto"/>
        </w:rPr>
      </w:pPr>
    </w:p>
    <w:p>
      <w:pPr>
        <w:ind w:left="6" w:right="320" w:firstLine="436"/>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5.6 </w:t>
      </w:r>
      <w:r>
        <w:rPr>
          <w:rFonts w:ascii="Times New Roman" w:cs="Times New Roman" w:eastAsia="Times New Roman" w:hAnsi="Times New Roman"/>
          <w:sz w:val="17"/>
          <w:szCs w:val="17"/>
          <w:b w:val="1"/>
          <w:bCs w:val="1"/>
          <w:u w:val="single" w:color="auto"/>
          <w:color w:val="auto"/>
        </w:rPr>
        <w:t>Resignation from Directorships and Officerships</w:t>
      </w:r>
      <w:r>
        <w:rPr>
          <w:rFonts w:ascii="Times New Roman" w:cs="Times New Roman" w:eastAsia="Times New Roman" w:hAnsi="Times New Roman"/>
          <w:sz w:val="17"/>
          <w:szCs w:val="17"/>
          <w:color w:val="auto"/>
        </w:rPr>
        <w:t>. Unless the parties agree otherwise in writing, and subject to the last sentence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 5.6, the termination of the Executive’s employment with the Corporation for any reason shall be treated as the Executive’s resignation from</w:t>
      </w:r>
    </w:p>
    <w:p>
      <w:pPr>
        <w:spacing w:after="0" w:line="1" w:lineRule="exact"/>
        <w:rPr>
          <w:sz w:val="20"/>
          <w:szCs w:val="20"/>
          <w:color w:val="auto"/>
        </w:rPr>
      </w:pPr>
    </w:p>
    <w:p>
      <w:pPr>
        <w:ind w:left="6" w:right="100" w:hanging="6"/>
        <w:spacing w:after="0" w:line="266" w:lineRule="auto"/>
        <w:tabs>
          <w:tab w:leader="none" w:pos="258" w:val="left"/>
        </w:tabs>
        <w:numPr>
          <w:ilvl w:val="0"/>
          <w:numId w:val="4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officer or employee position the Executive has with the Corporation, any parent entity (including Holdings) and any of their respective affiliates, and (y) all fiduciary positions (including as a trustee) the Executive holds with respect to any employee benefit plans or trusts established by the Corporation, any parent entity and any other subsidiaries of such parent entity, or any of their respective affiliates. The Executive agrees that this Agreement shall, unless the parties agree otherwise in writing, serve as written notice of such resignation in this circumstance. Furthermore, the Executive agrees to execute any documents evidencing such resignations that the Corporation reasonably requests. Notwithstanding the foregoing, the termination of Executive’s employment shall not affect any position then-held by the Executive with Idea Men, or any director position the Executive has with the Corporation as a director designee pursuant to the terms of any stockholders agreement to be entered into in connection with the IPO.</w:t>
      </w:r>
    </w:p>
    <w:p>
      <w:pPr>
        <w:spacing w:after="0" w:line="277" w:lineRule="exact"/>
        <w:rPr>
          <w:sz w:val="20"/>
          <w:szCs w:val="20"/>
          <w:color w:val="auto"/>
        </w:rPr>
      </w:pPr>
    </w:p>
    <w:p>
      <w:pPr>
        <w:ind w:left="426"/>
        <w:spacing w:after="0"/>
        <w:tabs>
          <w:tab w:leader="none" w:pos="826"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7"/>
          <w:szCs w:val="17"/>
          <w:b w:val="1"/>
          <w:bCs w:val="1"/>
          <w:u w:val="single" w:color="auto"/>
          <w:color w:val="auto"/>
        </w:rPr>
        <w:t>280G Implications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6" w:firstLine="975"/>
        <w:spacing w:after="0" w:line="255" w:lineRule="auto"/>
        <w:tabs>
          <w:tab w:leader="none" w:pos="1363"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in the event that any payment or benefit received or to be received by the Executive (including any payment or benefit received in connection with a termination of the Executive’s employment, whether pursuant to the terms of this Agreement or any other plan, arrangement or agreement) (all such payments and benefits, including the payments and benefits under Section 5.3, being hereinafter referred to as the “</w:t>
      </w:r>
      <w:r>
        <w:rPr>
          <w:rFonts w:ascii="Times New Roman" w:cs="Times New Roman" w:eastAsia="Times New Roman" w:hAnsi="Times New Roman"/>
          <w:sz w:val="18"/>
          <w:szCs w:val="18"/>
          <w:u w:val="single" w:color="auto"/>
          <w:color w:val="auto"/>
        </w:rPr>
        <w:t>Total Payments</w:t>
      </w:r>
      <w:r>
        <w:rPr>
          <w:rFonts w:ascii="Times New Roman" w:cs="Times New Roman" w:eastAsia="Times New Roman" w:hAnsi="Times New Roman"/>
          <w:sz w:val="18"/>
          <w:szCs w:val="18"/>
          <w:color w:val="auto"/>
        </w:rPr>
        <w:t>”) would be subject (in whole or part), to the excise tax imposed under Section 4999 of the Code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after taking into account any</w:t>
      </w:r>
    </w:p>
    <w:p>
      <w:pPr>
        <w:spacing w:after="0" w:line="116"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6"/>
          </w:cols>
          <w:pgMar w:left="494" w:top="267" w:right="519" w:bottom="1440" w:gutter="0" w:footer="0" w:header="0"/>
        </w:sectPr>
      </w:pPr>
    </w:p>
    <w:bookmarkStart w:id="564" w:name="page565"/>
    <w:bookmarkEnd w:id="564"/>
    <w:p>
      <w:pPr>
        <w:ind w:left="6"/>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7">
                      <a:extLst>
                        <a:ext uri="{28A0092B-C50C-407E-A947-70E740481C1C}"/>
                      </a:extLst>
                    </a:blip>
                    <a:srcRect/>
                    <a:stretch>
                      <a:fillRect/>
                    </a:stretch>
                  </pic:blipFill>
                  <pic:spPr bwMode="auto">
                    <a:xfrm>
                      <a:off x="0" y="0"/>
                      <a:ext cx="7150735" cy="24765"/>
                    </a:xfrm>
                    <a:prstGeom prst="rect">
                      <a:avLst/>
                    </a:prstGeom>
                    <a:noFill/>
                  </pic:spPr>
                </pic:pic>
              </a:graphicData>
            </a:graphic>
          </wp:anchor>
        </w:drawing>
        <w:t>reduction in the Total Payments provided by reason of Section 280G of the Code in such other plan, arrangement or agreement, the cash severance payments under this Agreement shall first be reduced, and the noncash severance payments hereunder shall thereafter be reduced, to the extent necessary so that no portion of the Total Payments is subject to the Excise Tax but only if (i)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the Executive would be subject in respect of such unreduced Total Payments and after taking into account the phase out of itemized deductions and personal exemptions attributable to such unreduced Total Payments). In all cases, if there are any reductions to the Total Payments under this paragraph, the reduction shall be performed in a manner which results in the greatest after-tax amount being retained by the Executive and in manner which comports with Section 409A.</w:t>
      </w:r>
    </w:p>
    <w:p>
      <w:pPr>
        <w:spacing w:after="0" w:line="186" w:lineRule="exact"/>
        <w:rPr>
          <w:sz w:val="20"/>
          <w:szCs w:val="20"/>
          <w:color w:val="auto"/>
        </w:rPr>
      </w:pPr>
    </w:p>
    <w:p>
      <w:pPr>
        <w:ind w:left="6" w:firstLine="975"/>
        <w:spacing w:after="0" w:line="250" w:lineRule="auto"/>
        <w:tabs>
          <w:tab w:leader="none" w:pos="1373"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whether and the extent to which the Total Payments will be subject to the Excise Tax, (i) no portion of the Total Payments the receipt or enjoyment of which the Executive shall have waived at such time and in such manner as not to constitute a “payment” within the meaning of Section 280G(b) of the Code shall be taken into account; (ii) no portion of the Total Payments shall be taken into account which, in the written opinion of an independent, nationally recognized accounting firm (the “</w:t>
      </w:r>
      <w:r>
        <w:rPr>
          <w:rFonts w:ascii="Times New Roman" w:cs="Times New Roman" w:eastAsia="Times New Roman" w:hAnsi="Times New Roman"/>
          <w:sz w:val="18"/>
          <w:szCs w:val="18"/>
          <w:u w:val="single" w:color="auto"/>
          <w:color w:val="auto"/>
        </w:rPr>
        <w:t>Independent Advisors</w:t>
      </w:r>
      <w:r>
        <w:rPr>
          <w:rFonts w:ascii="Times New Roman" w:cs="Times New Roman" w:eastAsia="Times New Roman" w:hAnsi="Times New Roman"/>
          <w:sz w:val="18"/>
          <w:szCs w:val="18"/>
          <w:color w:val="auto"/>
        </w:rPr>
        <w:t>”) selected by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Independent Advisors may not without the Executive’s written consent be the firm which serves as the auditor for the ultimate parent of the entity acquiring the Corporation) does not constitute a “parachute payment” within the meaning of Section 280G(b)(2) of the Code (including by reason of Section 280G(b)(4)(A) of the Code) and, in calculating the Excise Tax, no portion of such Total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Total Payments shall be determined by the Independent Advisors in accordance with the principles of Sections 280G(d)(3) and (4) of the Code.</w:t>
      </w:r>
    </w:p>
    <w:p>
      <w:pPr>
        <w:spacing w:after="0" w:line="189" w:lineRule="exact"/>
        <w:rPr>
          <w:rFonts w:ascii="Times New Roman" w:cs="Times New Roman" w:eastAsia="Times New Roman" w:hAnsi="Times New Roman"/>
          <w:sz w:val="18"/>
          <w:szCs w:val="18"/>
          <w:color w:val="auto"/>
        </w:rPr>
      </w:pPr>
    </w:p>
    <w:p>
      <w:pPr>
        <w:ind w:left="6" w:right="60" w:hanging="6"/>
        <w:spacing w:after="0" w:line="252" w:lineRule="auto"/>
        <w:tabs>
          <w:tab w:leader="none" w:pos="318" w:val="left"/>
        </w:tabs>
        <w:numPr>
          <w:ilvl w:val="0"/>
          <w:numId w:val="4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Defense of Claims</w:t>
      </w:r>
      <w:r>
        <w:rPr>
          <w:rFonts w:ascii="Times New Roman" w:cs="Times New Roman" w:eastAsia="Times New Roman" w:hAnsi="Times New Roman"/>
          <w:sz w:val="18"/>
          <w:szCs w:val="18"/>
          <w:color w:val="auto"/>
        </w:rPr>
        <w:t>. The Executive agrees that, during the Term hereof, and for a period of five (5) years after termination of the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employment, upon reasonable notice from the Corporation, the Executive will reasonably cooperate with providing information to the Corporation necessary in the defense of any claims or actions that may be made by or against the Corporation that affect the Executive’s prior areas of responsibility, except if the Executive’s interests are adverse to the Corporation in such claim or action. The Corporation agrees that it shall promptly pay or reimburse the reasonable cost of the time of the Executive (at $75 per hour) and any reasonable, out-of-pocket costs and attorneys’ fees that the Executive actually incurs in connection with the Executive providing such assistance or cooperation to the Corporation, in accordance with the Corporation’s standard policies and procedures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Executive shall have obtained prior written approval from the Corporation for any travel costs incurred by the Executive in connection with the Executive’s obligations under this Section 6.</w:t>
      </w:r>
    </w:p>
    <w:p>
      <w:pPr>
        <w:spacing w:after="0" w:line="1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6"/>
          </w:cols>
          <w:pgMar w:left="494" w:top="267" w:right="499" w:bottom="1440" w:gutter="0" w:footer="0" w:header="0"/>
        </w:sectPr>
      </w:pPr>
    </w:p>
    <w:bookmarkStart w:id="565" w:name="page566"/>
    <w:bookmarkEnd w:id="565"/>
    <w:p>
      <w:pPr>
        <w:ind w:left="6" w:hanging="6"/>
        <w:spacing w:after="0" w:line="256" w:lineRule="auto"/>
        <w:tabs>
          <w:tab w:leader="none" w:pos="318" w:val="left"/>
        </w:tabs>
        <w:numPr>
          <w:ilvl w:val="0"/>
          <w:numId w:val="4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Source of Payments</w:t>
      </w:r>
      <w:r>
        <w:rPr>
          <w:rFonts w:ascii="Times New Roman" w:cs="Times New Roman" w:eastAsia="Times New Roman" w:hAnsi="Times New Roman"/>
          <w:sz w:val="18"/>
          <w:szCs w:val="18"/>
          <w:color w:val="auto"/>
        </w:rPr>
        <w:t>. All payments provided under this Agreement, other than payments made pursuant to a plan which provides otherwise,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in cash from the general funds of the Corporation, and no special or separate fund shall be established, and no other segregation of assets shall be made, to assure payment. The Executive shall have no right, title or interest whatsoever in or to any investments which the Corporation may make to aid the Corporation in meeting its obligations hereunder. Any payments provided under this Agreement shall be treated as amounts owed to an unsecured creditor of the Corporation.</w:t>
      </w:r>
    </w:p>
    <w:p>
      <w:pPr>
        <w:spacing w:after="0" w:line="178" w:lineRule="exact"/>
        <w:rPr>
          <w:rFonts w:ascii="Times New Roman" w:cs="Times New Roman" w:eastAsia="Times New Roman" w:hAnsi="Times New Roman"/>
          <w:sz w:val="18"/>
          <w:szCs w:val="18"/>
          <w:b w:val="1"/>
          <w:bCs w:val="1"/>
          <w:color w:val="auto"/>
        </w:rPr>
      </w:pPr>
    </w:p>
    <w:p>
      <w:pPr>
        <w:ind w:left="6" w:right="120" w:hanging="6"/>
        <w:spacing w:after="0" w:line="265" w:lineRule="auto"/>
        <w:tabs>
          <w:tab w:leader="none" w:pos="318" w:val="left"/>
        </w:tabs>
        <w:numPr>
          <w:ilvl w:val="0"/>
          <w:numId w:val="4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Notwithstanding anything else herein to the contrary, the Corporation and its affiliates may withhold (or cause there to be withheld,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case may be) from any amounts otherwise due or payable under or pursuant to this Agreement such federal, state and local income, employment, or other taxes or other amounts as may be required to be withheld pursuant to any applicable law or regulation.</w:t>
      </w:r>
    </w:p>
    <w:p>
      <w:pPr>
        <w:spacing w:after="0" w:line="276" w:lineRule="exact"/>
        <w:rPr>
          <w:rFonts w:ascii="Times New Roman" w:cs="Times New Roman" w:eastAsia="Times New Roman" w:hAnsi="Times New Roman"/>
          <w:sz w:val="18"/>
          <w:szCs w:val="18"/>
          <w:b w:val="1"/>
          <w:bCs w:val="1"/>
          <w:color w:val="auto"/>
        </w:rPr>
      </w:pPr>
    </w:p>
    <w:p>
      <w:pPr>
        <w:ind w:left="306" w:hanging="306"/>
        <w:spacing w:after="0"/>
        <w:tabs>
          <w:tab w:leader="none" w:pos="306" w:val="left"/>
        </w:tabs>
        <w:numPr>
          <w:ilvl w:val="0"/>
          <w:numId w:val="4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 Binding Effect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right="20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b w:val="1"/>
          <w:bCs w:val="1"/>
          <w:u w:val="single" w:color="auto"/>
          <w:color w:val="auto"/>
        </w:rPr>
        <w:t>By the Executive</w:t>
      </w:r>
      <w:r>
        <w:rPr>
          <w:rFonts w:ascii="Times New Roman" w:cs="Times New Roman" w:eastAsia="Times New Roman" w:hAnsi="Times New Roman"/>
          <w:sz w:val="18"/>
          <w:szCs w:val="18"/>
          <w:color w:val="auto"/>
        </w:rPr>
        <w:t>. This Agreement and any and all rights, duties, obligations or interests hereunder shall not be assignable or delegable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w:t>
      </w:r>
    </w:p>
    <w:p>
      <w:pPr>
        <w:spacing w:after="0" w:line="155" w:lineRule="exact"/>
        <w:rPr>
          <w:sz w:val="20"/>
          <w:szCs w:val="20"/>
          <w:color w:val="auto"/>
        </w:rPr>
      </w:pPr>
    </w:p>
    <w:p>
      <w:pPr>
        <w:ind w:left="6" w:right="3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9.2 </w:t>
      </w:r>
      <w:r>
        <w:rPr>
          <w:rFonts w:ascii="Times New Roman" w:cs="Times New Roman" w:eastAsia="Times New Roman" w:hAnsi="Times New Roman"/>
          <w:sz w:val="18"/>
          <w:szCs w:val="18"/>
          <w:b w:val="1"/>
          <w:bCs w:val="1"/>
          <w:u w:val="single" w:color="auto"/>
          <w:color w:val="auto"/>
        </w:rPr>
        <w:t>By the Corporation</w:t>
      </w:r>
      <w:r>
        <w:rPr>
          <w:rFonts w:ascii="Times New Roman" w:cs="Times New Roman" w:eastAsia="Times New Roman" w:hAnsi="Times New Roman"/>
          <w:sz w:val="18"/>
          <w:szCs w:val="18"/>
          <w:color w:val="auto"/>
        </w:rPr>
        <w:t>. This Agreement and all of the Corporation’s rights and obligations hereunder shall not be assignable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except as incident to a reorganization, merger or consolidation, or transfer of all or substantially all of the Corporation’s assets; provided that the assignee in such reorganization, merger, consolidation or transfer assumes all of the Corporation’s obligations hereunder.</w:t>
      </w:r>
    </w:p>
    <w:p>
      <w:pPr>
        <w:spacing w:after="0" w:line="169" w:lineRule="exact"/>
        <w:rPr>
          <w:sz w:val="20"/>
          <w:szCs w:val="20"/>
          <w:color w:val="auto"/>
        </w:rPr>
      </w:pPr>
    </w:p>
    <w:p>
      <w:pPr>
        <w:ind w:left="6" w:right="36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9.3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parties hereto, any successors to or assigns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and the Executive’s heirs and the personal representatives of the Executive’s estate.</w:t>
      </w:r>
    </w:p>
    <w:p>
      <w:pPr>
        <w:spacing w:after="0" w:line="155" w:lineRule="exact"/>
        <w:rPr>
          <w:sz w:val="20"/>
          <w:szCs w:val="20"/>
          <w:color w:val="auto"/>
        </w:rPr>
      </w:pPr>
    </w:p>
    <w:p>
      <w:pPr>
        <w:ind w:left="6" w:right="160" w:hanging="6"/>
        <w:spacing w:after="0" w:line="282" w:lineRule="auto"/>
        <w:tabs>
          <w:tab w:leader="none" w:pos="407"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Number and Gender</w:t>
      </w:r>
      <w:r>
        <w:rPr>
          <w:rFonts w:ascii="Times New Roman" w:cs="Times New Roman" w:eastAsia="Times New Roman" w:hAnsi="Times New Roman"/>
          <w:sz w:val="18"/>
          <w:szCs w:val="18"/>
          <w:color w:val="auto"/>
        </w:rPr>
        <w:t>. Where the context requires, the singular shall include the plural, the plural shall include the singular, and any gender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all other genders.</w:t>
      </w:r>
    </w:p>
    <w:p>
      <w:pPr>
        <w:spacing w:after="0" w:line="154" w:lineRule="exact"/>
        <w:rPr>
          <w:rFonts w:ascii="Times New Roman" w:cs="Times New Roman" w:eastAsia="Times New Roman" w:hAnsi="Times New Roman"/>
          <w:sz w:val="18"/>
          <w:szCs w:val="18"/>
          <w:b w:val="1"/>
          <w:bCs w:val="1"/>
          <w:color w:val="auto"/>
        </w:rPr>
      </w:pPr>
    </w:p>
    <w:p>
      <w:pPr>
        <w:ind w:left="6" w:right="620" w:hanging="6"/>
        <w:spacing w:after="0" w:line="282" w:lineRule="auto"/>
        <w:tabs>
          <w:tab w:leader="none" w:pos="397"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Headings</w:t>
      </w:r>
      <w:r>
        <w:rPr>
          <w:rFonts w:ascii="Times New Roman" w:cs="Times New Roman" w:eastAsia="Times New Roman" w:hAnsi="Times New Roman"/>
          <w:sz w:val="18"/>
          <w:szCs w:val="18"/>
          <w:color w:val="auto"/>
        </w:rPr>
        <w:t>. The section headings of, and titles of paragraphs and subparagraphs contained in, this Agreement are for the purpose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convenience only, and they neither form a part of this Agreement nor are they to be used in the construction or interpretation thereof.</w:t>
      </w:r>
    </w:p>
    <w:p>
      <w:pPr>
        <w:spacing w:after="0" w:line="154" w:lineRule="exact"/>
        <w:rPr>
          <w:rFonts w:ascii="Times New Roman" w:cs="Times New Roman" w:eastAsia="Times New Roman" w:hAnsi="Times New Roman"/>
          <w:sz w:val="18"/>
          <w:szCs w:val="18"/>
          <w:b w:val="1"/>
          <w:bCs w:val="1"/>
          <w:color w:val="auto"/>
        </w:rPr>
      </w:pPr>
    </w:p>
    <w:p>
      <w:pPr>
        <w:ind w:left="6" w:right="60" w:hanging="6"/>
        <w:spacing w:after="0" w:line="265" w:lineRule="auto"/>
        <w:tabs>
          <w:tab w:leader="none" w:pos="407"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all questions relating to its validity, interpretation, performance and enforcement, as well as the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 hereby created between the parties hereto, shall be governed by and construed under, and interpreted and enforced in accordance with, the laws of the State of California and adjudicated within Los Angeles, California.</w:t>
      </w:r>
    </w:p>
    <w:p>
      <w:pPr>
        <w:spacing w:after="0" w:line="169" w:lineRule="exact"/>
        <w:rPr>
          <w:rFonts w:ascii="Times New Roman" w:cs="Times New Roman" w:eastAsia="Times New Roman" w:hAnsi="Times New Roman"/>
          <w:sz w:val="18"/>
          <w:szCs w:val="18"/>
          <w:b w:val="1"/>
          <w:bCs w:val="1"/>
          <w:color w:val="auto"/>
        </w:rPr>
      </w:pPr>
    </w:p>
    <w:p>
      <w:pPr>
        <w:ind w:left="406" w:hanging="406"/>
        <w:spacing w:after="0"/>
        <w:tabs>
          <w:tab w:leader="none" w:pos="406"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Survival of Certain Provisions</w:t>
      </w:r>
      <w:r>
        <w:rPr>
          <w:rFonts w:ascii="Times New Roman" w:cs="Times New Roman" w:eastAsia="Times New Roman" w:hAnsi="Times New Roman"/>
          <w:sz w:val="18"/>
          <w:szCs w:val="18"/>
          <w:color w:val="auto"/>
        </w:rPr>
        <w:t>. Sections 5, 6, 8, 12, 14, 15, 16, 17, 18 and 20 shall survive any termination or expiration of this Agreement.</w:t>
      </w:r>
    </w:p>
    <w:p>
      <w:pPr>
        <w:spacing w:after="0" w:line="220" w:lineRule="exact"/>
        <w:rPr>
          <w:rFonts w:ascii="Times New Roman" w:cs="Times New Roman" w:eastAsia="Times New Roman" w:hAnsi="Times New Roman"/>
          <w:sz w:val="18"/>
          <w:szCs w:val="18"/>
          <w:b w:val="1"/>
          <w:bCs w:val="1"/>
          <w:color w:val="auto"/>
        </w:rPr>
      </w:pPr>
    </w:p>
    <w:p>
      <w:pPr>
        <w:ind w:left="6" w:hanging="6"/>
        <w:spacing w:after="0" w:line="265" w:lineRule="auto"/>
        <w:tabs>
          <w:tab w:leader="none" w:pos="407" w:val="left"/>
        </w:tabs>
        <w:numPr>
          <w:ilvl w:val="0"/>
          <w:numId w:val="4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embodies the entire agreement of the parties hereto respecting the matters within its scope. As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this Agreement supersedes all prior and contemporaneous agreements of the parties hereto that directly or indirectly bear upon the subject matter hereof (including the Prior Employment Agreement), and any prior</w:t>
      </w:r>
    </w:p>
    <w:p>
      <w:pPr>
        <w:spacing w:after="0" w:line="10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6"/>
          </w:cols>
          <w:pgMar w:left="494" w:top="264" w:right="499" w:bottom="1440" w:gutter="0" w:footer="0" w:header="0"/>
        </w:sectPr>
      </w:pPr>
    </w:p>
    <w:bookmarkStart w:id="566" w:name="page567"/>
    <w:bookmarkEnd w:id="566"/>
    <w:p>
      <w:pPr>
        <w:ind w:left="6"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negotiations, correspondence, agreements, proposals or understandings relating to the subject matter hereof shall be deemed to be of no force or effect, and the parties to any such other negotiations, commitments, agreements or writings shall have no further rights or obligations thereunder. The effectiveness of this Agreement is expressly made subject to and conditioned upon the consummation of the IPO. As of the Effective Date, the Prior Employment Agreement shall terminate and be of no further force or effect. There are no representations, warranties, or agreements, whether express or implied, or oral or written, with respect to the subject matter hereof, except as expressly set forth herein.</w:t>
      </w:r>
    </w:p>
    <w:p>
      <w:pPr>
        <w:spacing w:after="0" w:line="179" w:lineRule="exact"/>
        <w:rPr>
          <w:sz w:val="20"/>
          <w:szCs w:val="20"/>
          <w:color w:val="auto"/>
        </w:rPr>
      </w:pPr>
    </w:p>
    <w:p>
      <w:pPr>
        <w:ind w:left="6" w:hanging="6"/>
        <w:spacing w:after="0" w:line="287" w:lineRule="auto"/>
        <w:tabs>
          <w:tab w:leader="none" w:pos="407" w:val="left"/>
        </w:tabs>
        <w:numPr>
          <w:ilvl w:val="0"/>
          <w:numId w:val="4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Modifications, Waivers</w:t>
      </w:r>
      <w:r>
        <w:rPr>
          <w:rFonts w:ascii="Times New Roman" w:cs="Times New Roman" w:eastAsia="Times New Roman" w:hAnsi="Times New Roman"/>
          <w:sz w:val="17"/>
          <w:szCs w:val="17"/>
          <w:color w:val="auto"/>
        </w:rPr>
        <w:t>. This Agreement may not be waived, amended, modified or changed (in whole or in part), except by an instrument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writing signed by both parties hereto.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153" w:lineRule="exact"/>
        <w:rPr>
          <w:rFonts w:ascii="Times New Roman" w:cs="Times New Roman" w:eastAsia="Times New Roman" w:hAnsi="Times New Roman"/>
          <w:sz w:val="17"/>
          <w:szCs w:val="17"/>
          <w:b w:val="1"/>
          <w:bCs w:val="1"/>
          <w:color w:val="auto"/>
        </w:rPr>
      </w:pPr>
    </w:p>
    <w:p>
      <w:pPr>
        <w:ind w:left="6" w:right="20" w:hanging="6"/>
        <w:spacing w:after="0" w:line="250" w:lineRule="auto"/>
        <w:tabs>
          <w:tab w:leader="none" w:pos="407" w:val="left"/>
        </w:tabs>
        <w:numPr>
          <w:ilvl w:val="0"/>
          <w:numId w:val="4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Arbitration</w:t>
      </w:r>
      <w:r>
        <w:rPr>
          <w:rFonts w:ascii="Times New Roman" w:cs="Times New Roman" w:eastAsia="Times New Roman" w:hAnsi="Times New Roman"/>
          <w:sz w:val="18"/>
          <w:szCs w:val="18"/>
          <w:color w:val="auto"/>
        </w:rPr>
        <w:t>. The parties hereto agree that to the extent permitted by law, any dispute or controversy arising out of, relating to, or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this Agreement, or the interpretation, validity, construction, performance, breach, or termination thereof, or the Executive’s employment by the Corporation or any termination thereof, will be settled by arbitration to be held at a location in Los Angeles, California in accordance with then applicable rules of the American Arbitration Association specifically designed for the resolution of employment disputes, which are available at </w:t>
      </w:r>
      <w:r>
        <w:rPr>
          <w:rFonts w:ascii="Times New Roman" w:cs="Times New Roman" w:eastAsia="Times New Roman" w:hAnsi="Times New Roman"/>
          <w:sz w:val="18"/>
          <w:szCs w:val="18"/>
          <w:u w:val="single" w:color="auto"/>
          <w:color w:val="auto"/>
        </w:rPr>
        <w:t>https://www.adr.org/sites/default/files/employment_arbitration_rules_and_mediation_procedures_0.pdf</w:t>
      </w:r>
      <w:r>
        <w:rPr>
          <w:rFonts w:ascii="Times New Roman" w:cs="Times New Roman" w:eastAsia="Times New Roman" w:hAnsi="Times New Roman"/>
          <w:sz w:val="18"/>
          <w:szCs w:val="18"/>
          <w:color w:val="auto"/>
        </w:rPr>
        <w:t xml:space="preserve">. The arbitrator may grant injunctions or other relief in such dispute or controversy. The decision of the arbitrator will be final, conclusive and binding on the parties to the arbitration. Judgment may be entered on the arbitrator’s decision in any court having jurisdiction. The Corporation shall pay the costs associated with arbitration (arbitration fee and location fee,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party shall bear its own legal fees and expenses. THE EXECUTIVE AND THE CORPORATION UNDERSTAND THAT BY AGREEING TO ARBITRATE ANY ARBITRATION CLAIM, THEY WILL NOT HAVE THE RIGHT TO HAVE ANY ARBITRATION CLAIM DECIDED BY A JURY OR A COURT, BUT SHALL INSTEAD HAVE ANY ARBITRATION CLAIM DECIDED THROUGH ARBITRATION. THE EXECUTIVE AND THE CORPORATION WAIVE ANY CONSTITUTIONAL OR OTHER RIGHT TO BRING CLAIMS COVERED BY THIS AGREEMENT OTHER THAN IN THEIR INDIVIDUAL CAPACITIES. EXCEPT AS MAY BE PROHIBITED BY LAW, THIS WAIVER INCLUDES THE ABILITY TO ASSERT CLAIMS AS A PLAINTIFF OR CLASS MEMBER IN ANY PURPORTED CLASS OR REPRESENTATIVE PROCEEDING.</w:t>
      </w:r>
    </w:p>
    <w:p>
      <w:pPr>
        <w:spacing w:after="0" w:line="187" w:lineRule="exact"/>
        <w:rPr>
          <w:rFonts w:ascii="Times New Roman" w:cs="Times New Roman" w:eastAsia="Times New Roman" w:hAnsi="Times New Roman"/>
          <w:sz w:val="18"/>
          <w:szCs w:val="18"/>
          <w:b w:val="1"/>
          <w:bCs w:val="1"/>
          <w:color w:val="auto"/>
        </w:rPr>
      </w:pPr>
    </w:p>
    <w:p>
      <w:pPr>
        <w:ind w:left="6" w:right="20" w:hanging="6"/>
        <w:spacing w:after="0" w:line="265" w:lineRule="auto"/>
        <w:tabs>
          <w:tab w:leader="none" w:pos="407" w:val="left"/>
        </w:tabs>
        <w:numPr>
          <w:ilvl w:val="0"/>
          <w:numId w:val="4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demands and other communications required or permitted under this Agreement shall be in writing (including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electronic formats) and shall be deemed to have been duly given and made if (i) on delivery if delivered by hand, (ii) one (1) business day after if sent to an email address of record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receipt is confirmed, or (iii) three business</w:t>
      </w:r>
    </w:p>
    <w:p>
      <w:pPr>
        <w:spacing w:after="0" w:line="10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6"/>
          </w:cols>
          <w:pgMar w:left="494" w:top="267" w:right="519" w:bottom="1440" w:gutter="0" w:footer="0" w:header="0"/>
        </w:sectPr>
      </w:pPr>
    </w:p>
    <w:bookmarkStart w:id="567" w:name="page568"/>
    <w:bookmarkEnd w:id="567"/>
    <w:p>
      <w:pPr>
        <w:ind w:left="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days after sent by registered or certified mail, postage prepaid, return receipt requested. Any notice shall be duly addressed to the parties as follows:</w:t>
      </w:r>
    </w:p>
    <w:p>
      <w:pPr>
        <w:spacing w:after="0" w:line="220"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if to the Corporation:</w:t>
      </w:r>
    </w:p>
    <w:p>
      <w:pPr>
        <w:spacing w:after="0" w:line="220"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GoodRx, Inc.</w:t>
      </w:r>
    </w:p>
    <w:p>
      <w:pPr>
        <w:spacing w:after="0" w:line="26"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233 Wilshire Boulevard, Ste. 990</w:t>
      </w:r>
    </w:p>
    <w:p>
      <w:pPr>
        <w:spacing w:after="0" w:line="7"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Santa Monica, CA 90401</w:t>
      </w:r>
    </w:p>
    <w:p>
      <w:pPr>
        <w:spacing w:after="0" w:line="7"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2"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if to the Executive, to the address (or e-mail address) most recently on file in the personnel records of the Corporation.</w:t>
      </w:r>
    </w:p>
    <w:p>
      <w:pPr>
        <w:spacing w:after="0" w:line="323" w:lineRule="exact"/>
        <w:rPr>
          <w:sz w:val="20"/>
          <w:szCs w:val="20"/>
          <w:color w:val="auto"/>
        </w:rPr>
      </w:pPr>
    </w:p>
    <w:p>
      <w:pPr>
        <w:ind w:left="406" w:hanging="406"/>
        <w:spacing w:after="0"/>
        <w:tabs>
          <w:tab w:leader="none" w:pos="406" w:val="left"/>
        </w:tabs>
        <w:numPr>
          <w:ilvl w:val="0"/>
          <w:numId w:val="4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Code Section 409A</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6" w:firstLine="436"/>
        <w:spacing w:after="0" w:line="255" w:lineRule="auto"/>
        <w:rPr>
          <w:sz w:val="20"/>
          <w:szCs w:val="20"/>
          <w:color w:val="auto"/>
        </w:rPr>
      </w:pPr>
      <w:r>
        <w:rPr>
          <w:rFonts w:ascii="Times New Roman" w:cs="Times New Roman" w:eastAsia="Times New Roman" w:hAnsi="Times New Roman"/>
          <w:sz w:val="18"/>
          <w:szCs w:val="18"/>
          <w:color w:val="auto"/>
        </w:rPr>
        <w:t>This Agreement is intended to meet the requirements of Section 409A of the Code, and shall be interpreted and construed consistent with that intent. Each payment provided hereunder, whether part of the Severance Benefit or otherwise, is intended to be a separate payment for purposes of Section 409A of the Code, including Treasury Regulation 1.409A-2(b)(2). All payments of nonqualified deferred compensation subject to Section 409A to be made upon a termination of employment under this Agreement may only be made upon the Executive’s “separation from service” (within the meaning of Section 409A of the Code) (a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 w:firstLine="436"/>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no compensation or benefits, including without limitation any severance payments or benefits payable under Section 5.3, shall be paid to the Executive during the six-month period following the Executive’s Separation from Service if the Corporation determines that paying such amounts at the time or times indicated in this Agreement would be a prohibited distribution under</w:t>
      </w:r>
    </w:p>
    <w:p>
      <w:pPr>
        <w:ind w:left="6" w:right="120"/>
        <w:spacing w:after="0" w:line="250" w:lineRule="auto"/>
        <w:rPr>
          <w:sz w:val="20"/>
          <w:szCs w:val="20"/>
          <w:color w:val="auto"/>
        </w:rPr>
      </w:pPr>
      <w:r>
        <w:rPr>
          <w:rFonts w:ascii="Times New Roman" w:cs="Times New Roman" w:eastAsia="Times New Roman" w:hAnsi="Times New Roman"/>
          <w:sz w:val="18"/>
          <w:szCs w:val="18"/>
          <w:color w:val="auto"/>
        </w:rPr>
        <w:t>Section 409A(a)(2)(B)(i) of the Code. If the payment of any such amounts is delayed as a result of the previous sentence, then on the first day of the seventh month following the date of Separation from Service (or such earlier date upon which such amount can be paid under Section 409A without resulting in a prohibited distribution, including as a result of the Executive’s death), the Corporation shall pay the Executive a lump-sum amount equal to the cumulative amount that would have otherwise been payable to the Executive during such period.</w:t>
      </w:r>
    </w:p>
    <w:p>
      <w:pPr>
        <w:spacing w:after="0" w:line="187" w:lineRule="exact"/>
        <w:rPr>
          <w:sz w:val="20"/>
          <w:szCs w:val="20"/>
          <w:color w:val="auto"/>
        </w:rPr>
      </w:pPr>
    </w:p>
    <w:p>
      <w:pPr>
        <w:ind w:left="6" w:right="40" w:firstLine="436"/>
        <w:spacing w:after="0" w:line="255" w:lineRule="auto"/>
        <w:rPr>
          <w:sz w:val="20"/>
          <w:szCs w:val="20"/>
          <w:color w:val="auto"/>
        </w:rPr>
      </w:pPr>
      <w:r>
        <w:rPr>
          <w:rFonts w:ascii="Times New Roman" w:cs="Times New Roman" w:eastAsia="Times New Roman" w:hAnsi="Times New Roman"/>
          <w:sz w:val="18"/>
          <w:szCs w:val="18"/>
          <w:color w:val="auto"/>
        </w:rPr>
        <w:t>To the extent that any payments or reimbursements provided to the Executive under this Agreement are deemed to constitute compensation to the Executive to which Treasury Regulation Section 1.409A-3(i)(1)(iv) would apply, such amounts shall be made on or before the last day of the calendar year following the calendar year in which the relevant expense or benefit is incurred. The amount of expenses or benefits eligible for reimbursement, payment or provision during a calendar year shall not affect the expenses or benefits eligible for reimbursement, payment or provision in any other calendar year.</w:t>
      </w:r>
    </w:p>
    <w:p>
      <w:pPr>
        <w:spacing w:after="0" w:line="179" w:lineRule="exact"/>
        <w:rPr>
          <w:sz w:val="20"/>
          <w:szCs w:val="20"/>
          <w:color w:val="auto"/>
        </w:rPr>
      </w:pPr>
    </w:p>
    <w:p>
      <w:pPr>
        <w:jc w:val="both"/>
        <w:ind w:left="6" w:right="20" w:hanging="6"/>
        <w:spacing w:after="0" w:line="259" w:lineRule="auto"/>
        <w:tabs>
          <w:tab w:leader="none" w:pos="407" w:val="left"/>
        </w:tabs>
        <w:numPr>
          <w:ilvl w:val="0"/>
          <w:numId w:val="4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Sarbanes-Oxley Act of 2002</w:t>
      </w:r>
      <w:r>
        <w:rPr>
          <w:rFonts w:ascii="Times New Roman" w:cs="Times New Roman" w:eastAsia="Times New Roman" w:hAnsi="Times New Roman"/>
          <w:sz w:val="18"/>
          <w:szCs w:val="18"/>
          <w:color w:val="auto"/>
        </w:rPr>
        <w:t>. Notwithstanding anything herein to the contrary, if the Corporation determines, in its good faith judgment, that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or deemed transfer of funds hereunder is likely to be construed as a personal loan prohibited by Section 13(k) of the Securities Exchange Act of 1934, as amended, and the rules and regulations promulgated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then such transfer or deemed transfer shall be provided to the Executive as compensation (and not as a loan) to the Executive (and as such shall be subject to tax withholding obligations).</w:t>
      </w:r>
    </w:p>
    <w:p>
      <w:pPr>
        <w:spacing w:after="0" w:line="112"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46"/>
          </w:cols>
          <w:pgMar w:left="494" w:top="267" w:right="559" w:bottom="1440" w:gutter="0" w:footer="0" w:header="0"/>
        </w:sectPr>
      </w:pPr>
    </w:p>
    <w:bookmarkStart w:id="568" w:name="page569"/>
    <w:bookmarkEnd w:id="568"/>
    <w:p>
      <w:pPr>
        <w:ind w:left="6" w:hanging="6"/>
        <w:spacing w:after="0" w:line="249" w:lineRule="auto"/>
        <w:tabs>
          <w:tab w:leader="none" w:pos="407" w:val="left"/>
        </w:tabs>
        <w:numPr>
          <w:ilvl w:val="0"/>
          <w:numId w:val="4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Exceptions</w:t>
      </w:r>
      <w:r>
        <w:rPr>
          <w:rFonts w:ascii="Times New Roman" w:cs="Times New Roman" w:eastAsia="Times New Roman" w:hAnsi="Times New Roman"/>
          <w:sz w:val="18"/>
          <w:szCs w:val="18"/>
          <w:color w:val="auto"/>
        </w:rPr>
        <w:t>. Notwithstanding anything in this Agreement to the contrary, nothing contained in this Agreement shall prohibit either party (or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party’s attorney(s)) from (i) filing a charge with, reporting possible violations of federal law or regulation to, participating in any investigation by, or cooperating with the U.S. Securities and Exchange Commission, the Financial Industry Regulatory Authority, the Equal Employment Opportunity Commission, the National Labor Relations Board, the Occupational Safety and Health Administration, the U.S. Commodity Futures Trading Commission, the U.S. Department of Justice or any other securities regulatory agency, self-regulatory authority or federal, state or local regulatory authority (collectively, “</w:t>
      </w:r>
      <w:r>
        <w:rPr>
          <w:rFonts w:ascii="Times New Roman" w:cs="Times New Roman" w:eastAsia="Times New Roman" w:hAnsi="Times New Roman"/>
          <w:sz w:val="18"/>
          <w:szCs w:val="18"/>
          <w:u w:val="single" w:color="auto"/>
          <w:color w:val="auto"/>
        </w:rPr>
        <w:t>Government Agencies</w:t>
      </w:r>
      <w:r>
        <w:rPr>
          <w:rFonts w:ascii="Times New Roman" w:cs="Times New Roman" w:eastAsia="Times New Roman" w:hAnsi="Times New Roman"/>
          <w:sz w:val="18"/>
          <w:szCs w:val="18"/>
          <w:color w:val="auto"/>
        </w:rPr>
        <w:t>”),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and/or (iii) receiving an award for information provided to any Government Agency. Pursuant to 18 USC Section 1833(b), the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Agreement is intended to or shall preclude either party from providing truthful testimony in response to a valid subpoena, court order, regulatory request or other judicial, administrative or legal process or otherwise as required by law. If the Executive is required to provide testimony, then unless otherwise directed or requested by a Government Agency or law enforcement, the Executive shall notify the Corporation as soon as reasonably practicable after receiving any such request of the anticipated testimony.</w:t>
      </w:r>
    </w:p>
    <w:p>
      <w:pPr>
        <w:spacing w:after="0" w:line="196" w:lineRule="exact"/>
        <w:rPr>
          <w:rFonts w:ascii="Times New Roman" w:cs="Times New Roman" w:eastAsia="Times New Roman" w:hAnsi="Times New Roman"/>
          <w:sz w:val="18"/>
          <w:szCs w:val="18"/>
          <w:b w:val="1"/>
          <w:bCs w:val="1"/>
          <w:color w:val="auto"/>
        </w:rPr>
      </w:pPr>
    </w:p>
    <w:p>
      <w:pPr>
        <w:jc w:val="both"/>
        <w:ind w:left="6" w:right="220" w:hanging="6"/>
        <w:spacing w:after="0" w:line="287" w:lineRule="auto"/>
        <w:tabs>
          <w:tab w:leader="none" w:pos="407" w:val="left"/>
        </w:tabs>
        <w:numPr>
          <w:ilvl w:val="0"/>
          <w:numId w:val="4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color w:val="auto"/>
        </w:rPr>
        <w:t>. This Agreement may be executed in any number of counterparts, each of which shall be deemed an original as against any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whose signature appears thereon, and all of which together shall constitute one and the same instrument. This Agreement shall become binding when one or more counterparts hereof, individually or taken together, shall bear the signatures of all of the parties reflected hereon as the signatories.</w:t>
      </w:r>
    </w:p>
    <w:p>
      <w:pPr>
        <w:spacing w:after="0" w:line="153" w:lineRule="exact"/>
        <w:rPr>
          <w:rFonts w:ascii="Times New Roman" w:cs="Times New Roman" w:eastAsia="Times New Roman" w:hAnsi="Times New Roman"/>
          <w:sz w:val="17"/>
          <w:szCs w:val="17"/>
          <w:b w:val="1"/>
          <w:bCs w:val="1"/>
          <w:color w:val="auto"/>
        </w:rPr>
      </w:pPr>
    </w:p>
    <w:p>
      <w:pPr>
        <w:ind w:left="6" w:right="80" w:hanging="6"/>
        <w:spacing w:after="0" w:line="254" w:lineRule="auto"/>
        <w:tabs>
          <w:tab w:leader="none" w:pos="407" w:val="left"/>
        </w:tabs>
        <w:numPr>
          <w:ilvl w:val="0"/>
          <w:numId w:val="4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Legal Counsel</w:t>
      </w:r>
      <w:r>
        <w:rPr>
          <w:rFonts w:ascii="Times New Roman" w:cs="Times New Roman" w:eastAsia="Times New Roman" w:hAnsi="Times New Roman"/>
          <w:sz w:val="18"/>
          <w:szCs w:val="18"/>
          <w:color w:val="auto"/>
        </w:rPr>
        <w:t>. Each party recognizes that this is a legally binding contract and acknowledges and agrees that they have had the opportunity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 with legal counsel of their choice. The Executive agrees and acknowledges that he has read and understands this Agreement, is entering into it freely and voluntarily, and has been advised to seek counsel prior to entering into this Agreement and has had ample opportunity to do so. This Agreement has resulted from negotiations and discussions between the parties and no one party shall be treated as drafting this Agreement for purposes of interpreting any provision hereof. The Corporation shall reimburse the Executive for reasonable, documented legal fees incurred in drafting and negotiating the terms of this Agreement in an aggregate amount not to exceed $30,000.</w:t>
      </w:r>
    </w:p>
    <w:p>
      <w:pPr>
        <w:spacing w:after="0" w:line="184"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intentionally been left blank</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66"/>
          </w:cols>
          <w:pgMar w:left="494" w:top="264" w:right="539" w:bottom="1440" w:gutter="0" w:footer="0" w:header="0"/>
        </w:sectPr>
      </w:pPr>
    </w:p>
    <w:bookmarkStart w:id="569" w:name="page570"/>
    <w:bookmarkEnd w:id="569"/>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Corporation and the Executive have executed this Agreement as of the date set forth above.</w:t>
      </w:r>
    </w:p>
    <w:p>
      <w:pPr>
        <w:spacing w:after="0" w:line="25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2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15875</wp:posOffset>
            </wp:positionV>
            <wp:extent cx="240030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15875</wp:posOffset>
            </wp:positionV>
            <wp:extent cx="240030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15875</wp:posOffset>
            </wp:positionV>
            <wp:extent cx="240030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290195</wp:posOffset>
            </wp:positionV>
            <wp:extent cx="276542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6">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[SIGNATURE PAGE TO EMPLOYMENT AGREEMENT]</w:t>
      </w:r>
    </w:p>
    <w:p>
      <w:pPr>
        <w:sectPr>
          <w:pgSz w:w="11900" w:h="16838" w:orient="portrait"/>
          <w:cols w:equalWidth="0" w:num="1">
            <w:col w:w="9539"/>
          </w:cols>
          <w:pgMar w:left="920" w:top="264" w:right="1440" w:bottom="1440" w:gutter="0" w:footer="0" w:header="0"/>
        </w:sectPr>
      </w:pPr>
    </w:p>
    <w:bookmarkStart w:id="570" w:name="page571"/>
    <w:bookmarkEnd w:id="570"/>
    <w:tbl>
      <w:tblPr>
        <w:tblLayout w:type="fixed"/>
        <w:tblInd w:w="0" w:type="dxa"/>
        <w:tblCellMar>
          <w:top w:w="0" w:type="dxa"/>
          <w:left w:w="0" w:type="dxa"/>
          <w:bottom w:w="0" w:type="dxa"/>
          <w:right w:w="0" w:type="dxa"/>
        </w:tblCellMar>
      </w:tblPr>
      <w:tr>
        <w:trPr>
          <w:trHeight w:val="237"/>
        </w:trPr>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80" w:type="dxa"/>
            <w:vAlign w:val="bottom"/>
          </w:tcPr>
          <w:p>
            <w:pPr>
              <w:ind w:left="2340"/>
              <w:spacing w:after="0"/>
              <w:rPr>
                <w:sz w:val="20"/>
                <w:szCs w:val="20"/>
                <w:color w:val="auto"/>
              </w:rPr>
            </w:pPr>
            <w:r>
              <w:rPr>
                <w:rFonts w:ascii="Times New Roman" w:cs="Times New Roman" w:eastAsia="Times New Roman" w:hAnsi="Times New Roman"/>
                <w:sz w:val="18"/>
                <w:szCs w:val="18"/>
                <w:b w:val="1"/>
                <w:bCs w:val="1"/>
                <w:color w:val="auto"/>
                <w:w w:val="96"/>
              </w:rPr>
              <w:t>Exhibit A</w:t>
            </w:r>
          </w:p>
        </w:tc>
      </w:tr>
      <w:tr>
        <w:trPr>
          <w:trHeight w:val="427"/>
        </w:trPr>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GENERAL RELEASE OF ALL CLAIMS</w:t>
            </w:r>
          </w:p>
        </w:tc>
      </w:tr>
      <w:tr>
        <w:trPr>
          <w:trHeight w:val="387"/>
        </w:trPr>
        <w:tc>
          <w:tcPr>
            <w:tcW w:w="630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This General Release of all Claims (this “Agreement”) is entered into by [</w:t>
            </w:r>
          </w:p>
        </w:tc>
        <w:tc>
          <w:tcPr>
            <w:tcW w:w="4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(the “Executive”) and GoodRx, Inc., a Delaware</w:t>
            </w:r>
          </w:p>
        </w:tc>
      </w:tr>
      <w:tr>
        <w:trPr>
          <w:trHeight w:val="20"/>
        </w:trPr>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4"/>
        </w:trPr>
        <w:tc>
          <w:tcPr>
            <w:tcW w:w="36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corporation (the “Corporation”), effective as of [</w:t>
            </w:r>
          </w:p>
        </w:tc>
        <w:tc>
          <w:tcPr>
            <w:tcW w:w="560" w:type="dxa"/>
            <w:vAlign w:val="bottom"/>
          </w:tcPr>
          <w:p>
            <w:pPr>
              <w:spacing w:after="0"/>
              <w:rPr>
                <w:sz w:val="16"/>
                <w:szCs w:val="16"/>
                <w:color w:val="auto"/>
              </w:rPr>
            </w:pPr>
          </w:p>
        </w:tc>
        <w:tc>
          <w:tcPr>
            <w:tcW w:w="6700" w:type="dxa"/>
            <w:vAlign w:val="bottom"/>
            <w:gridSpan w:val="4"/>
          </w:tcPr>
          <w:p>
            <w:pPr>
              <w:ind w:left="140"/>
              <w:spacing w:after="0" w:line="194" w:lineRule="exact"/>
              <w:rPr>
                <w:sz w:val="20"/>
                <w:szCs w:val="20"/>
                <w:color w:val="auto"/>
              </w:rPr>
            </w:pPr>
            <w:r>
              <w:rPr>
                <w:rFonts w:ascii="Times New Roman" w:cs="Times New Roman" w:eastAsia="Times New Roman" w:hAnsi="Times New Roman"/>
                <w:sz w:val="18"/>
                <w:szCs w:val="18"/>
                <w:color w:val="auto"/>
                <w:w w:val="99"/>
              </w:rPr>
              <w:t>], but subject to the Executive’s right to revoke as set forth in Section 3(c). In consideration</w:t>
            </w:r>
          </w:p>
        </w:tc>
      </w:tr>
      <w:tr>
        <w:trPr>
          <w:trHeight w:val="20"/>
        </w:trPr>
        <w:tc>
          <w:tcPr>
            <w:tcW w:w="1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34"/>
        </w:trPr>
        <w:tc>
          <w:tcPr>
            <w:tcW w:w="6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the promises set forth herein, the Executive and the Corporation agree as follows:</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80" w:type="dxa"/>
            <w:vAlign w:val="bottom"/>
          </w:tcPr>
          <w:p>
            <w:pPr>
              <w:spacing w:after="0"/>
              <w:rPr>
                <w:sz w:val="20"/>
                <w:szCs w:val="20"/>
                <w:color w:val="auto"/>
              </w:rPr>
            </w:pPr>
          </w:p>
        </w:tc>
      </w:tr>
    </w:tbl>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ind w:right="40" w:firstLine="430"/>
        <w:spacing w:after="0" w:line="259" w:lineRule="auto"/>
        <w:tabs>
          <w:tab w:leader="none" w:pos="747" w:val="left"/>
        </w:tabs>
        <w:numPr>
          <w:ilvl w:val="0"/>
          <w:numId w:val="4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and Return of Property</w:t>
      </w:r>
      <w:r>
        <w:rPr>
          <w:rFonts w:ascii="Times New Roman" w:cs="Times New Roman" w:eastAsia="Times New Roman" w:hAnsi="Times New Roman"/>
          <w:sz w:val="18"/>
          <w:szCs w:val="18"/>
          <w:color w:val="auto"/>
        </w:rPr>
        <w:t>. The Executive’s employment with the Corporation in any capacity has terminated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[Separation Date]. All files, access keys and codes, desk keys, ID badges, computers, records, manuals, electronic devices, computer programs, papers, electronically stored information or documents, telephones and credit cards, and any other property of the Corporation or any affiliate thereof previously in the Employee’s possession or control has been returned to the Corporation [or will be returned on or before the Separation Date].</w:t>
      </w:r>
    </w:p>
    <w:p>
      <w:pPr>
        <w:spacing w:after="0" w:line="175" w:lineRule="exact"/>
        <w:rPr>
          <w:rFonts w:ascii="Times New Roman" w:cs="Times New Roman" w:eastAsia="Times New Roman" w:hAnsi="Times New Roman"/>
          <w:sz w:val="18"/>
          <w:szCs w:val="18"/>
          <w:b w:val="1"/>
          <w:bCs w:val="1"/>
          <w:color w:val="auto"/>
        </w:rPr>
      </w:pPr>
    </w:p>
    <w:p>
      <w:pPr>
        <w:ind w:left="740" w:hanging="310"/>
        <w:spacing w:after="0"/>
        <w:tabs>
          <w:tab w:leader="none" w:pos="740" w:val="left"/>
        </w:tabs>
        <w:numPr>
          <w:ilvl w:val="0"/>
          <w:numId w:val="4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Severance</w:t>
      </w:r>
      <w:r>
        <w:rPr>
          <w:rFonts w:ascii="Times New Roman" w:cs="Times New Roman" w:eastAsia="Times New Roman" w:hAnsi="Times New Roman"/>
          <w:sz w:val="18"/>
          <w:szCs w:val="18"/>
          <w:color w:val="auto"/>
        </w:rPr>
        <w:t>. The Corporation shall pay to the Executive the Severance Benefit (as defined in that certain Amended and Restated Employment</w:t>
      </w: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Agreement between the Corporation and the Executive dated as of [</w:t>
            </w:r>
          </w:p>
        </w:tc>
        <w:tc>
          <w:tcPr>
            <w:tcW w:w="5080" w:type="dxa"/>
            <w:vAlign w:val="bottom"/>
            <w:gridSpan w:val="3"/>
          </w:tcPr>
          <w:p>
            <w:pPr>
              <w:ind w:left="440"/>
              <w:spacing w:after="0" w:line="203" w:lineRule="exact"/>
              <w:rPr>
                <w:sz w:val="20"/>
                <w:szCs w:val="20"/>
                <w:color w:val="auto"/>
              </w:rPr>
            </w:pPr>
            <w:r>
              <w:rPr>
                <w:rFonts w:ascii="Times New Roman" w:cs="Times New Roman" w:eastAsia="Times New Roman" w:hAnsi="Times New Roman"/>
                <w:sz w:val="18"/>
                <w:szCs w:val="18"/>
                <w:color w:val="auto"/>
                <w:w w:val="98"/>
              </w:rPr>
              <w:t>], 2020 (the “Employment Agreement”)) in accordance with, and</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subject to, the provisions of the Employment Agreement.</w:t>
            </w:r>
          </w:p>
        </w:tc>
        <w:tc>
          <w:tcPr>
            <w:tcW w:w="138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940" w:type="dxa"/>
            <w:vAlign w:val="bottom"/>
          </w:tcPr>
          <w:p>
            <w:pPr>
              <w:spacing w:after="0"/>
              <w:rPr>
                <w:sz w:val="20"/>
                <w:szCs w:val="20"/>
                <w:color w:val="auto"/>
              </w:rPr>
            </w:pPr>
          </w:p>
        </w:tc>
      </w:tr>
    </w:tbl>
    <w:p>
      <w:pPr>
        <w:spacing w:after="0" w:line="298" w:lineRule="exact"/>
        <w:rPr>
          <w:sz w:val="20"/>
          <w:szCs w:val="20"/>
          <w:color w:val="auto"/>
        </w:rPr>
      </w:pPr>
    </w:p>
    <w:p>
      <w:pPr>
        <w:ind w:left="740" w:hanging="310"/>
        <w:spacing w:after="0"/>
        <w:tabs>
          <w:tab w:leader="none" w:pos="740" w:val="left"/>
        </w:tabs>
        <w:numPr>
          <w:ilvl w:val="0"/>
          <w:numId w:val="4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Release and Waiver of Claims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b w:val="1"/>
          <w:bCs w:val="1"/>
          <w:color w:val="auto"/>
        </w:rPr>
      </w:pPr>
    </w:p>
    <w:p>
      <w:pPr>
        <w:ind w:right="60" w:firstLine="975"/>
        <w:spacing w:after="0" w:line="250" w:lineRule="auto"/>
        <w:tabs>
          <w:tab w:leader="none" w:pos="1357"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 By Executive</w:t>
      </w:r>
      <w:r>
        <w:rPr>
          <w:rFonts w:ascii="Times New Roman" w:cs="Times New Roman" w:eastAsia="Times New Roman" w:hAnsi="Times New Roman"/>
          <w:sz w:val="18"/>
          <w:szCs w:val="18"/>
          <w:color w:val="auto"/>
        </w:rPr>
        <w:t>. Having consulted with counsel, the Executive, on behalf of himself and each of his respective heirs,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executors, administrators, representatives, agents, insurers, successors and assigns (collectively, and including the Executive, the “</w:t>
      </w:r>
      <w:r>
        <w:rPr>
          <w:rFonts w:ascii="Times New Roman" w:cs="Times New Roman" w:eastAsia="Times New Roman" w:hAnsi="Times New Roman"/>
          <w:sz w:val="18"/>
          <w:szCs w:val="18"/>
          <w:u w:val="single" w:color="auto"/>
          <w:color w:val="auto"/>
        </w:rPr>
        <w:t>Releasors</w:t>
      </w:r>
      <w:r>
        <w:rPr>
          <w:rFonts w:ascii="Times New Roman" w:cs="Times New Roman" w:eastAsia="Times New Roman" w:hAnsi="Times New Roman"/>
          <w:sz w:val="18"/>
          <w:szCs w:val="18"/>
          <w:color w:val="auto"/>
        </w:rPr>
        <w:t>”) hereby irrevocably and unconditionally releases and forever discharges the Corporation, its parents (including GoodRx Holdings, Inc.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subsidiaries and affiliates and each of their respective officers, employees, directors, members, shareholders, parents, subsidiaries and agents (collectively,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from any and all claims, actions, causes of action, rights, judgments, obligations, damages, demands, accountings or liabilities of whatever kind or character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which the Executive now has or may hereafter have against the Releasees, or any of them, by reason of any matter, cause, or thing whatsoever from the beginning of time to the date hereof (including, without limitation, any Claims under any federal, state, local or foreign law that they may have, or in the future may possess, arising out of the Executive’s employment relationship with and service as an employee, officer or director of the Corporation, its parent entity (including Holdings) or any other subsidiaries of such parent entity, and the termination of such relationship or service);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Executive does not release, discharge or waive any rights to (i) payments and benefits provided under this Agreement or under any other agreement between Executive and any of the Releasees that would, by their nature, survive the termination of employment, (ii) equity and other securities of Holdings or rights under agreements with any of the Releasees related to the Executive’s equity securities of Holdings, (iii) benefit claims under any employee benefit plans in which Executive is a participant by virtue of his employment with the Corporation arising after the execution of this Agreement by Executive, (iv) any indemnification,</w:t>
      </w:r>
    </w:p>
    <w:p>
      <w:pPr>
        <w:sectPr>
          <w:pgSz w:w="11900" w:h="16838" w:orient="portrait"/>
          <w:cols w:equalWidth="0" w:num="1">
            <w:col w:w="10900"/>
          </w:cols>
          <w:pgMar w:left="500" w:top="264" w:right="499" w:bottom="1440" w:gutter="0" w:footer="0" w:header="0"/>
        </w:sectPr>
      </w:pPr>
    </w:p>
    <w:bookmarkStart w:id="571" w:name="page572"/>
    <w:bookmarkEnd w:id="571"/>
    <w:p>
      <w:pPr>
        <w:ind w:left="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advance or reimbursement rights the Executive may have in accordance with applicable law, indemnification agreements, certificate of incorporation or bylaws of Corporation, or under any director and officer liability insurance or other insurance maintained by the Corporation or a parent entity with respect to liabilities arising as a result of the Executive’s service as an officer and employee of such entities, and (v) claims that cannot be waived by an employee under applicable law. This Paragraph 3(a) does not apply to any Claims that the Executive may have as of the date the Executive signs this Agreement arising under the Federal Age Discrimination in Employment Act of 1967, as amended, and the applicable rules and regulations promulgated thereunder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or any other claims that may not be released as a matter of law. Claims arising under ADEA are addressed in Paragraph 3(c) of this Agreement.</w:t>
      </w:r>
    </w:p>
    <w:p>
      <w:pPr>
        <w:spacing w:after="0" w:line="185" w:lineRule="exact"/>
        <w:rPr>
          <w:sz w:val="20"/>
          <w:szCs w:val="20"/>
          <w:color w:val="auto"/>
        </w:rPr>
      </w:pPr>
    </w:p>
    <w:p>
      <w:pPr>
        <w:ind w:left="6" w:right="20" w:firstLine="975"/>
        <w:spacing w:after="0" w:line="254" w:lineRule="auto"/>
        <w:tabs>
          <w:tab w:leader="none" w:pos="1373"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Unknown Claim</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The Executive acknowledges that he may hereafter discover Claims or facts in addition to or different from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Executive now knows or believes to exist with respect to the subject matter of this release and which, if known or suspected at the time of executing this release, may have materially affected this release or the Executive’s decision to enter into it. Nevertheless, the Executive hereby waives any right or Claim that might arise as a result of such different or additional Claims or facts. In addition, the Executive, on behalf of himself and the other Releasors, hereby waives any and all rights and benefits conferred upon him and the other Releasors by the provisions of Section 1542 of the Civil Code of the State of California, which provides as follows:</w:t>
      </w:r>
    </w:p>
    <w:p>
      <w:pPr>
        <w:spacing w:after="0" w:line="79" w:lineRule="exact"/>
        <w:rPr>
          <w:sz w:val="20"/>
          <w:szCs w:val="20"/>
          <w:color w:val="auto"/>
        </w:rPr>
      </w:pPr>
    </w:p>
    <w:p>
      <w:pPr>
        <w:ind w:left="986" w:right="140"/>
        <w:spacing w:after="0" w:line="257"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8" w:lineRule="exact"/>
        <w:rPr>
          <w:sz w:val="20"/>
          <w:szCs w:val="20"/>
          <w:color w:val="auto"/>
        </w:rPr>
      </w:pPr>
    </w:p>
    <w:p>
      <w:pPr>
        <w:ind w:left="6" w:right="100" w:firstLine="975"/>
        <w:spacing w:after="0" w:line="266" w:lineRule="auto"/>
        <w:tabs>
          <w:tab w:leader="none" w:pos="1363" w:val="left"/>
        </w:tabs>
        <w:numPr>
          <w:ilvl w:val="1"/>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Specific Release of ADEA Claims</w:t>
      </w:r>
      <w:r>
        <w:rPr>
          <w:rFonts w:ascii="Times New Roman" w:cs="Times New Roman" w:eastAsia="Times New Roman" w:hAnsi="Times New Roman"/>
          <w:sz w:val="17"/>
          <w:szCs w:val="17"/>
          <w:color w:val="auto"/>
        </w:rPr>
        <w:t>. In further consideration of the payments and benefits provided to the Executive under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the Executive, on behalf of himself and the other Releasors, hereby unconditionally releases and forever discharges the Releasees from any and all Claims arising under ADEA that the Releasors may have as of the date the Executive signs this Agreement. By signing this Agreement, the Executive hereby acknowledges and confirms the following: (i) the Executive was advised by the Corporation in connection with his termination to consult with an attorney of his choice prior to signing this Agreement and to have such attorney explain to the Executive the terms of this Agreement, including, without limitation, the terms relating to the Executive’s release of claims arising under ADEA; (ii) the Executive was given a period of not fewer than [twenty-one (21)] days to consider the terms of this Agreement and to consult with an attorney of his/her choosing with respect thereto;</w:t>
      </w:r>
    </w:p>
    <w:p>
      <w:pPr>
        <w:spacing w:after="0" w:line="2" w:lineRule="exact"/>
        <w:rPr>
          <w:rFonts w:ascii="Times New Roman" w:cs="Times New Roman" w:eastAsia="Times New Roman" w:hAnsi="Times New Roman"/>
          <w:sz w:val="17"/>
          <w:szCs w:val="17"/>
          <w:color w:val="auto"/>
        </w:rPr>
      </w:pPr>
    </w:p>
    <w:p>
      <w:pPr>
        <w:ind w:left="6" w:right="80" w:hanging="6"/>
        <w:spacing w:after="0" w:line="249" w:lineRule="auto"/>
        <w:tabs>
          <w:tab w:leader="none" w:pos="318"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read the terms of this Agreement, the Executive understands its terms and effects, and the Executive knowingly and voluntarily accepts the terms of this Agreement; and (iv) the Executive is providing this release and discharge only in exchange for consideration in addition to anything of value to which the Executive is already entitled, and acknowledges such consideration is adequate and satisfactory to the Executive. The Executive also understands that he has seven days following the date on which he signs this Agreement within which to revoke the release contained in this paragraph, by providing the Corporation with a written notice of his revocation of the release and waiver contained in this paragraph. Any revocation must be in writing and sent to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via electronic mail at [</w:t>
      </w:r>
      <w:r>
        <w:rPr>
          <w:rFonts w:ascii="Times New Roman" w:cs="Times New Roman" w:eastAsia="Times New Roman" w:hAnsi="Times New Roman"/>
          <w:sz w:val="18"/>
          <w:szCs w:val="18"/>
          <w:i w:val="1"/>
          <w:iCs w:val="1"/>
          <w:color w:val="auto"/>
        </w:rPr>
        <w:t>email address</w:t>
      </w:r>
      <w:r>
        <w:rPr>
          <w:rFonts w:ascii="Times New Roman" w:cs="Times New Roman" w:eastAsia="Times New Roman" w:hAnsi="Times New Roman"/>
          <w:sz w:val="18"/>
          <w:szCs w:val="18"/>
          <w:color w:val="auto"/>
        </w:rPr>
        <w:t>], on or before [5:00 p.m. Pacific time] on the seventh day after this Agreement is executed by the Executive.</w:t>
      </w:r>
    </w:p>
    <w:p>
      <w:pPr>
        <w:spacing w:after="0" w:line="12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6"/>
          </w:cols>
          <w:pgMar w:left="494" w:top="268" w:right="519" w:bottom="1440" w:gutter="0" w:footer="0" w:header="0"/>
        </w:sectPr>
      </w:pPr>
    </w:p>
    <w:bookmarkStart w:id="572" w:name="page573"/>
    <w:bookmarkEnd w:id="572"/>
    <w:p>
      <w:pPr>
        <w:jc w:val="both"/>
        <w:ind w:left="6" w:right="240" w:firstLine="975"/>
        <w:spacing w:after="0" w:line="265" w:lineRule="auto"/>
        <w:tabs>
          <w:tab w:leader="none" w:pos="1373" w:val="left"/>
        </w:tabs>
        <w:numPr>
          <w:ilvl w:val="2"/>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 Assignment</w:t>
      </w:r>
      <w:r>
        <w:rPr>
          <w:rFonts w:ascii="Times New Roman" w:cs="Times New Roman" w:eastAsia="Times New Roman" w:hAnsi="Times New Roman"/>
          <w:sz w:val="18"/>
          <w:szCs w:val="18"/>
          <w:color w:val="auto"/>
        </w:rPr>
        <w:t>. The Executive represents and warrants that he has not assigned or otherwise transferred any of the Claims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released under this Agreement. The Corporation may assign this Agreement, in whole or in part, to any affiliated entity, including subsidiaries of the Corporation, or any successor in interest to the Corporation.</w:t>
      </w:r>
    </w:p>
    <w:p>
      <w:pPr>
        <w:spacing w:after="0" w:line="276" w:lineRule="exact"/>
        <w:rPr>
          <w:rFonts w:ascii="Times New Roman" w:cs="Times New Roman" w:eastAsia="Times New Roman" w:hAnsi="Times New Roman"/>
          <w:sz w:val="18"/>
          <w:szCs w:val="18"/>
          <w:color w:val="auto"/>
        </w:rPr>
      </w:pPr>
    </w:p>
    <w:p>
      <w:pPr>
        <w:ind w:left="746" w:hanging="310"/>
        <w:spacing w:after="0"/>
        <w:tabs>
          <w:tab w:leader="none" w:pos="746" w:val="left"/>
        </w:tabs>
        <w:numPr>
          <w:ilvl w:val="1"/>
          <w:numId w:val="4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Proceedings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b w:val="1"/>
          <w:bCs w:val="1"/>
          <w:color w:val="auto"/>
        </w:rPr>
      </w:pPr>
    </w:p>
    <w:p>
      <w:pPr>
        <w:ind w:left="6" w:right="20" w:firstLine="975"/>
        <w:spacing w:after="0" w:line="254" w:lineRule="auto"/>
        <w:tabs>
          <w:tab w:leader="none" w:pos="1363" w:val="left"/>
        </w:tabs>
        <w:numPr>
          <w:ilvl w:val="2"/>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 Agreement Relating to Proceedings</w:t>
      </w:r>
      <w:r>
        <w:rPr>
          <w:rFonts w:ascii="Times New Roman" w:cs="Times New Roman" w:eastAsia="Times New Roman" w:hAnsi="Times New Roman"/>
          <w:sz w:val="18"/>
          <w:szCs w:val="18"/>
          <w:color w:val="auto"/>
        </w:rPr>
        <w:t>. The Executive has not filed, and except as provided in Paragraphs 4(b) and 4(c),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agrees not to initiate or cause to be initiated on his behalf, any complaint, charge, claim or proceeding that is released hereunder against any party released herein before any local, state or federal agency, court or other body, other than with respect to the obligations of the Corporation or any other party released herein to the Executive under this Agreement or any indemnification or other rights the Executive may have as listed in Paragraph 3(a) (each, individually,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and agrees not to participate voluntarily in any Proceeding. The Executive waives any right he may have to benefit in any manner from any relief (whether monetary or otherwise) arising out of any Proceeding.</w:t>
      </w:r>
    </w:p>
    <w:p>
      <w:pPr>
        <w:spacing w:after="0" w:line="181" w:lineRule="exact"/>
        <w:rPr>
          <w:rFonts w:ascii="Times New Roman" w:cs="Times New Roman" w:eastAsia="Times New Roman" w:hAnsi="Times New Roman"/>
          <w:sz w:val="18"/>
          <w:szCs w:val="18"/>
          <w:color w:val="auto"/>
        </w:rPr>
      </w:pPr>
    </w:p>
    <w:p>
      <w:pPr>
        <w:jc w:val="both"/>
        <w:ind w:left="6" w:firstLine="975"/>
        <w:spacing w:after="0" w:line="259" w:lineRule="auto"/>
        <w:tabs>
          <w:tab w:leader="none" w:pos="1373" w:val="left"/>
        </w:tabs>
        <w:numPr>
          <w:ilvl w:val="2"/>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Proceedings Under ADEA</w:t>
      </w:r>
      <w:r>
        <w:rPr>
          <w:rFonts w:ascii="Times New Roman" w:cs="Times New Roman" w:eastAsia="Times New Roman" w:hAnsi="Times New Roman"/>
          <w:sz w:val="18"/>
          <w:szCs w:val="18"/>
          <w:color w:val="auto"/>
        </w:rPr>
        <w:t>. Paragraph 4(a) shall not preclude the Executive from filing any complaint, charge, claim or proceeding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challenging the validity of the Executive waiver of Claims arising under ADEA (which is set forth in Paragraph 3(c) of this Agreement). However, both the Executive and the Corporation confirm their belief that the Executive’s waiver of claims under ADEA is valid and enforceable, and that their intention is that all claims under ADEA will be waived.</w:t>
      </w:r>
    </w:p>
    <w:p>
      <w:pPr>
        <w:spacing w:after="0" w:line="175" w:lineRule="exact"/>
        <w:rPr>
          <w:rFonts w:ascii="Times New Roman" w:cs="Times New Roman" w:eastAsia="Times New Roman" w:hAnsi="Times New Roman"/>
          <w:sz w:val="18"/>
          <w:szCs w:val="18"/>
          <w:color w:val="auto"/>
        </w:rPr>
      </w:pPr>
    </w:p>
    <w:p>
      <w:pPr>
        <w:ind w:left="6" w:right="160" w:firstLine="975"/>
        <w:spacing w:after="0" w:line="256" w:lineRule="auto"/>
        <w:tabs>
          <w:tab w:leader="none" w:pos="1363" w:val="left"/>
        </w:tabs>
        <w:numPr>
          <w:ilvl w:val="2"/>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Administrative Proceedings</w:t>
      </w:r>
      <w:r>
        <w:rPr>
          <w:rFonts w:ascii="Times New Roman" w:cs="Times New Roman" w:eastAsia="Times New Roman" w:hAnsi="Times New Roman"/>
          <w:sz w:val="18"/>
          <w:szCs w:val="18"/>
          <w:color w:val="auto"/>
        </w:rPr>
        <w:t>. In addition, Paragraph 4(a) shall not preclude the Executive from filing a charge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participating in any administrative investigation or proceeding by, the Equal Employment Opportunity Commission or another fair employment practices agency. The Executive is, however, waiving his right to recover money in connection with any such charge or investigation to the extent released hereunder. The Executive is also waiving his right to recover money in connection with a charge filed by any other entity or individual, or by any federal, state or local agency to the extent released hereunder.</w:t>
      </w:r>
    </w:p>
    <w:p>
      <w:pPr>
        <w:spacing w:after="0" w:line="178" w:lineRule="exact"/>
        <w:rPr>
          <w:rFonts w:ascii="Times New Roman" w:cs="Times New Roman" w:eastAsia="Times New Roman" w:hAnsi="Times New Roman"/>
          <w:sz w:val="18"/>
          <w:szCs w:val="18"/>
          <w:color w:val="auto"/>
        </w:rPr>
      </w:pPr>
    </w:p>
    <w:p>
      <w:pPr>
        <w:ind w:left="6" w:right="80" w:firstLine="430"/>
        <w:spacing w:after="0" w:line="271" w:lineRule="auto"/>
        <w:tabs>
          <w:tab w:leader="none" w:pos="753" w:val="left"/>
        </w:tabs>
        <w:numPr>
          <w:ilvl w:val="1"/>
          <w:numId w:val="4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Exceptions</w:t>
      </w:r>
      <w:r>
        <w:rPr>
          <w:rFonts w:ascii="Times New Roman" w:cs="Times New Roman" w:eastAsia="Times New Roman" w:hAnsi="Times New Roman"/>
          <w:sz w:val="17"/>
          <w:szCs w:val="17"/>
          <w:color w:val="auto"/>
        </w:rPr>
        <w:t>. Notwithstanding anything in this Agreement to the contrary, nothing contained in this Agreement shall prohibit the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(i) 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and/or</w:t>
      </w:r>
    </w:p>
    <w:p>
      <w:pPr>
        <w:spacing w:after="0" w:line="1" w:lineRule="exact"/>
        <w:rPr>
          <w:rFonts w:ascii="Times New Roman" w:cs="Times New Roman" w:eastAsia="Times New Roman" w:hAnsi="Times New Roman"/>
          <w:sz w:val="17"/>
          <w:szCs w:val="17"/>
          <w:b w:val="1"/>
          <w:bCs w:val="1"/>
          <w:color w:val="auto"/>
        </w:rPr>
      </w:pPr>
    </w:p>
    <w:p>
      <w:pPr>
        <w:ind w:left="6" w:right="60" w:hanging="6"/>
        <w:spacing w:after="0" w:line="250" w:lineRule="auto"/>
        <w:tabs>
          <w:tab w:leader="none" w:pos="268"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directly with, cooperating with, or providing information (including trade secrets) in confidence to, any federal, state or local government regulator (including, but not limited to, the U.S. Securities and Exchange Commission, the U.S. Commodity Futures Trading Commission, or the U.S. Department of Justice) for the purpose of reporting or investigating a suspected violation of law, or from providing such information to the Executive’s attorney or in a sealed complaint or other document filed in a lawsuit or other governmental proceeding.</w:t>
      </w:r>
    </w:p>
    <w:p>
      <w:pPr>
        <w:spacing w:after="0" w:line="121" w:lineRule="exact"/>
        <w:rPr>
          <w:sz w:val="20"/>
          <w:szCs w:val="20"/>
          <w:color w:val="auto"/>
        </w:rPr>
      </w:pPr>
    </w:p>
    <w:p>
      <w:pPr>
        <w:jc w:val="center"/>
        <w:ind w:right="-6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26"/>
          </w:cols>
          <w:pgMar w:left="494" w:top="264" w:right="579" w:bottom="1440" w:gutter="0" w:footer="0" w:header="0"/>
        </w:sectPr>
      </w:pPr>
    </w:p>
    <w:bookmarkStart w:id="573" w:name="page574"/>
    <w:bookmarkEnd w:id="573"/>
    <w:p>
      <w:pPr>
        <w:ind w:right="1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Pursuant to 18 USC Section 1833(b), the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w:t>
      </w:r>
    </w:p>
    <w:p>
      <w:pPr>
        <w:spacing w:after="0" w:line="178" w:lineRule="exact"/>
        <w:rPr>
          <w:sz w:val="20"/>
          <w:szCs w:val="20"/>
          <w:color w:val="auto"/>
        </w:rPr>
      </w:pPr>
    </w:p>
    <w:p>
      <w:pPr>
        <w:ind w:right="300" w:firstLine="430"/>
        <w:spacing w:after="0" w:line="282" w:lineRule="auto"/>
        <w:tabs>
          <w:tab w:leader="none" w:pos="747" w:val="left"/>
        </w:tabs>
        <w:numPr>
          <w:ilvl w:val="0"/>
          <w:numId w:val="4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 Clause</w:t>
      </w:r>
      <w:r>
        <w:rPr>
          <w:rFonts w:ascii="Times New Roman" w:cs="Times New Roman" w:eastAsia="Times New Roman" w:hAnsi="Times New Roman"/>
          <w:sz w:val="18"/>
          <w:szCs w:val="18"/>
          <w:color w:val="auto"/>
        </w:rPr>
        <w:t>. In the event that any provision or part of this Agreement is found to be invalid or unenforceable, only that particular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or part so found, and not the entire Agreement, shall be inoperative.</w:t>
      </w:r>
    </w:p>
    <w:p>
      <w:pPr>
        <w:spacing w:after="0" w:line="154" w:lineRule="exact"/>
        <w:rPr>
          <w:rFonts w:ascii="Times New Roman" w:cs="Times New Roman" w:eastAsia="Times New Roman" w:hAnsi="Times New Roman"/>
          <w:sz w:val="18"/>
          <w:szCs w:val="18"/>
          <w:b w:val="1"/>
          <w:bCs w:val="1"/>
          <w:color w:val="auto"/>
        </w:rPr>
      </w:pPr>
    </w:p>
    <w:p>
      <w:pPr>
        <w:ind w:right="140" w:firstLine="430"/>
        <w:spacing w:after="0" w:line="282" w:lineRule="auto"/>
        <w:tabs>
          <w:tab w:leader="none" w:pos="747" w:val="left"/>
        </w:tabs>
        <w:numPr>
          <w:ilvl w:val="0"/>
          <w:numId w:val="4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Nonadmission</w:t>
      </w:r>
      <w:r>
        <w:rPr>
          <w:rFonts w:ascii="Times New Roman" w:cs="Times New Roman" w:eastAsia="Times New Roman" w:hAnsi="Times New Roman"/>
          <w:sz w:val="18"/>
          <w:szCs w:val="18"/>
          <w:color w:val="auto"/>
        </w:rPr>
        <w:t>. Nothing contained in this Agreement shall be deemed or construed as an admission of wrongdoing or liability on the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or Executive.</w:t>
      </w:r>
    </w:p>
    <w:p>
      <w:pPr>
        <w:spacing w:after="0" w:line="154" w:lineRule="exact"/>
        <w:rPr>
          <w:rFonts w:ascii="Times New Roman" w:cs="Times New Roman" w:eastAsia="Times New Roman" w:hAnsi="Times New Roman"/>
          <w:sz w:val="18"/>
          <w:szCs w:val="18"/>
          <w:b w:val="1"/>
          <w:bCs w:val="1"/>
          <w:color w:val="auto"/>
        </w:rPr>
      </w:pPr>
    </w:p>
    <w:p>
      <w:pPr>
        <w:ind w:firstLine="430"/>
        <w:spacing w:after="0" w:line="265" w:lineRule="auto"/>
        <w:tabs>
          <w:tab w:leader="none" w:pos="747" w:val="left"/>
        </w:tabs>
        <w:numPr>
          <w:ilvl w:val="0"/>
          <w:numId w:val="4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and Forum</w:t>
      </w:r>
      <w:r>
        <w:rPr>
          <w:rFonts w:ascii="Times New Roman" w:cs="Times New Roman" w:eastAsia="Times New Roman" w:hAnsi="Times New Roman"/>
          <w:sz w:val="18"/>
          <w:szCs w:val="18"/>
          <w:color w:val="auto"/>
        </w:rPr>
        <w:t>. This Agreement and all matters or issues arising out of or relating to this Agreement shall be governed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California applicable to contracts entered into and performed entirely therein. Any action to enforce this Agreement shall be brought solely Los Angeles, California.</w:t>
      </w:r>
    </w:p>
    <w:p>
      <w:pPr>
        <w:spacing w:after="0" w:line="169" w:lineRule="exact"/>
        <w:rPr>
          <w:rFonts w:ascii="Times New Roman" w:cs="Times New Roman" w:eastAsia="Times New Roman" w:hAnsi="Times New Roman"/>
          <w:sz w:val="18"/>
          <w:szCs w:val="18"/>
          <w:b w:val="1"/>
          <w:bCs w:val="1"/>
          <w:color w:val="auto"/>
        </w:rPr>
      </w:pPr>
    </w:p>
    <w:p>
      <w:pPr>
        <w:ind w:right="20" w:firstLine="430"/>
        <w:spacing w:after="0" w:line="265" w:lineRule="auto"/>
        <w:tabs>
          <w:tab w:leader="none" w:pos="747" w:val="left"/>
        </w:tabs>
        <w:numPr>
          <w:ilvl w:val="0"/>
          <w:numId w:val="4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Arbitration</w:t>
      </w:r>
      <w:r>
        <w:rPr>
          <w:rFonts w:ascii="Times New Roman" w:cs="Times New Roman" w:eastAsia="Times New Roman" w:hAnsi="Times New Roman"/>
          <w:sz w:val="18"/>
          <w:szCs w:val="18"/>
          <w:color w:val="auto"/>
        </w:rPr>
        <w:t>. Any dispute or controversy arising under or in connection with this Agreement or otherwise in connection with the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by the Corporation that cannot be mutually resolved by the parties to this Agreement and their respective advisors and representatives shall be settled exclusively by arbitration in accordance with the provisions of Section 16 of the Employment Agreement.</w:t>
      </w:r>
    </w:p>
    <w:p>
      <w:pPr>
        <w:spacing w:after="0" w:line="169" w:lineRule="exact"/>
        <w:rPr>
          <w:rFonts w:ascii="Times New Roman" w:cs="Times New Roman" w:eastAsia="Times New Roman" w:hAnsi="Times New Roman"/>
          <w:sz w:val="18"/>
          <w:szCs w:val="18"/>
          <w:b w:val="1"/>
          <w:bCs w:val="1"/>
          <w:color w:val="auto"/>
        </w:rPr>
      </w:pPr>
    </w:p>
    <w:p>
      <w:pPr>
        <w:ind w:left="840" w:hanging="410"/>
        <w:spacing w:after="0"/>
        <w:tabs>
          <w:tab w:leader="none" w:pos="840" w:val="left"/>
        </w:tabs>
        <w:numPr>
          <w:ilvl w:val="0"/>
          <w:numId w:val="4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Notices under this Agreement must be given as is specified in Section 17 of the Employment Agreement.</w:t>
      </w:r>
    </w:p>
    <w:p>
      <w:pPr>
        <w:spacing w:after="0" w:line="118" w:lineRule="exact"/>
        <w:rPr>
          <w:sz w:val="20"/>
          <w:szCs w:val="20"/>
          <w:color w:val="auto"/>
        </w:rPr>
      </w:pPr>
    </w:p>
    <w:p>
      <w:pPr>
        <w:ind w:left="980" w:right="160"/>
        <w:spacing w:after="0" w:line="257" w:lineRule="auto"/>
        <w:rPr>
          <w:sz w:val="20"/>
          <w:szCs w:val="20"/>
          <w:color w:val="auto"/>
        </w:rPr>
      </w:pPr>
      <w:r>
        <w:rPr>
          <w:rFonts w:ascii="Times New Roman" w:cs="Times New Roman" w:eastAsia="Times New Roman" w:hAnsi="Times New Roman"/>
          <w:sz w:val="18"/>
          <w:szCs w:val="18"/>
          <w:color w:val="auto"/>
        </w:rPr>
        <w:t>THE EXECUTIVE ACKNOWLEDGES THAT HE HAS READ THIS AGREEMENT AND THAT HE FULLY KNOWS, UNDERSTANDS AND APPRECIATES ITS CONTENTS, AND THAT HE HEREBY EXECUTES THE SAME AND MAKES THIS AGREEMENT AND THE RELEASE AND AGREEMENTS PROVIDED FOR HEREIN VOLUNTARILY AND OF HIS OWN FREE WILL.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intentionally been left blank</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500" w:top="268" w:right="539" w:bottom="1440" w:gutter="0" w:footer="0" w:header="0"/>
        </w:sectPr>
      </w:pPr>
    </w:p>
    <w:bookmarkStart w:id="574" w:name="page575"/>
    <w:bookmarkEnd w:id="57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1">
                      <a:extLst>
                        <a:ext uri="{28A0092B-C50C-407E-A947-70E740481C1C}"/>
                      </a:extLst>
                    </a:blip>
                    <a:srcRect/>
                    <a:stretch>
                      <a:fillRect/>
                    </a:stretch>
                  </pic:blipFill>
                  <pic:spPr bwMode="auto">
                    <a:xfrm>
                      <a:off x="0" y="0"/>
                      <a:ext cx="7150735" cy="2476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dates set forth below.</w:t>
      </w:r>
    </w:p>
    <w:p>
      <w:pPr>
        <w:spacing w:after="0" w:line="24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15875</wp:posOffset>
            </wp:positionV>
            <wp:extent cx="240030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15875</wp:posOffset>
            </wp:positionV>
            <wp:extent cx="240030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6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15875</wp:posOffset>
            </wp:positionV>
            <wp:extent cx="240030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6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290195</wp:posOffset>
            </wp:positionV>
            <wp:extent cx="276542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65">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15875</wp:posOffset>
            </wp:positionV>
            <wp:extent cx="240030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6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18"/>
          <w:szCs w:val="18"/>
          <w:color w:val="auto"/>
        </w:rPr>
        <w:t>[SIGNATURE PAGE TO GENERAL RELEASE OF ALL CLAIMS]</w:t>
      </w:r>
    </w:p>
    <w:p>
      <w:pPr>
        <w:sectPr>
          <w:pgSz w:w="11900" w:h="16838" w:orient="portrait"/>
          <w:cols w:equalWidth="0" w:num="1">
            <w:col w:w="9539"/>
          </w:cols>
          <w:pgMar w:left="920" w:top="263" w:right="1440" w:bottom="1440" w:gutter="0" w:footer="0" w:header="0"/>
        </w:sectPr>
      </w:pPr>
    </w:p>
    <w:bookmarkStart w:id="575" w:name="page576"/>
    <w:bookmarkEnd w:id="575"/>
    <w:p>
      <w:pPr>
        <w:jc w:val="right"/>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EMPLOYMENT AGREEMENT</w:t>
      </w:r>
    </w:p>
    <w:p>
      <w:pPr>
        <w:spacing w:after="0" w:line="220" w:lineRule="exact"/>
        <w:rPr>
          <w:sz w:val="20"/>
          <w:szCs w:val="20"/>
          <w:color w:val="auto"/>
        </w:rPr>
      </w:pPr>
    </w:p>
    <w:p>
      <w:pPr>
        <w:ind w:left="6" w:right="2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THIS AMENDED AND RESTATED EMPLOYMENT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 2020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GoodRx, Inc.,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Trevor Bezdek, an individual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36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0"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b w:val="1"/>
          <w:bCs w:val="1"/>
          <w:color w:val="auto"/>
        </w:rPr>
        <w:t xml:space="preserve">THE PARTIES ENTER THIS AGREEMENT </w:t>
      </w:r>
      <w:r>
        <w:rPr>
          <w:rFonts w:ascii="Times New Roman" w:cs="Times New Roman" w:eastAsia="Times New Roman" w:hAnsi="Times New Roman"/>
          <w:sz w:val="18"/>
          <w:szCs w:val="18"/>
          <w:color w:val="auto"/>
        </w:rPr>
        <w:t>on the basis of the following facts, understandings and intentions:</w:t>
      </w:r>
    </w:p>
    <w:p>
      <w:pPr>
        <w:spacing w:after="0" w:line="224" w:lineRule="exact"/>
        <w:rPr>
          <w:sz w:val="20"/>
          <w:szCs w:val="20"/>
          <w:color w:val="auto"/>
        </w:rPr>
      </w:pPr>
    </w:p>
    <w:p>
      <w:pPr>
        <w:ind w:left="6" w:right="340" w:firstLine="430"/>
        <w:spacing w:after="0" w:line="277" w:lineRule="auto"/>
        <w:tabs>
          <w:tab w:leader="none" w:pos="790" w:val="left"/>
        </w:tabs>
        <w:numPr>
          <w:ilvl w:val="0"/>
          <w:numId w:val="4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currently serves as the Corporation’s Co-Chief Executive Officer and the Executive currently is employed pursuant to that certain Employment Agreement, entered into as of October 7, 2015 (the “</w:t>
      </w:r>
      <w:r>
        <w:rPr>
          <w:rFonts w:ascii="Times New Roman" w:cs="Times New Roman" w:eastAsia="Times New Roman" w:hAnsi="Times New Roman"/>
          <w:sz w:val="18"/>
          <w:szCs w:val="18"/>
          <w:u w:val="single" w:color="auto"/>
          <w:color w:val="auto"/>
        </w:rPr>
        <w:t>Prior Employment Agreement</w:t>
      </w:r>
      <w:r>
        <w:rPr>
          <w:rFonts w:ascii="Times New Roman" w:cs="Times New Roman" w:eastAsia="Times New Roman" w:hAnsi="Times New Roman"/>
          <w:sz w:val="18"/>
          <w:szCs w:val="18"/>
          <w:color w:val="auto"/>
        </w:rPr>
        <w:t>”); and</w:t>
      </w:r>
    </w:p>
    <w:p>
      <w:pPr>
        <w:spacing w:after="0" w:line="163" w:lineRule="exact"/>
        <w:rPr>
          <w:rFonts w:ascii="Times New Roman" w:cs="Times New Roman" w:eastAsia="Times New Roman" w:hAnsi="Times New Roman"/>
          <w:sz w:val="18"/>
          <w:szCs w:val="18"/>
          <w:b w:val="1"/>
          <w:bCs w:val="1"/>
          <w:color w:val="auto"/>
        </w:rPr>
      </w:pPr>
    </w:p>
    <w:p>
      <w:pPr>
        <w:jc w:val="both"/>
        <w:ind w:left="6" w:right="60" w:firstLine="430"/>
        <w:spacing w:after="0" w:line="262" w:lineRule="auto"/>
        <w:tabs>
          <w:tab w:leader="none" w:pos="780" w:val="left"/>
        </w:tabs>
        <w:numPr>
          <w:ilvl w:val="0"/>
          <w:numId w:val="4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and the Executive mutually desire that the Executive continue to be employed by the Corporation to carry out the duties and responsibilities described below, all on the terms and conditions hereinafter set forth, and to replace and supersede the Prior Employment Agreement, in any case, effective as of the Effective Date (as defined below).</w:t>
      </w:r>
    </w:p>
    <w:p>
      <w:pPr>
        <w:spacing w:after="0" w:line="173" w:lineRule="exact"/>
        <w:rPr>
          <w:sz w:val="20"/>
          <w:szCs w:val="20"/>
          <w:color w:val="auto"/>
        </w:rPr>
      </w:pPr>
    </w:p>
    <w:p>
      <w:pPr>
        <w:ind w:left="6" w:right="32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above recitals incorporated herein and the mutual covenants and promises contained herein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are hereby expressly acknowledged, the parties agree as follows:</w:t>
      </w:r>
    </w:p>
    <w:p>
      <w:pPr>
        <w:spacing w:after="0" w:line="262" w:lineRule="exact"/>
        <w:rPr>
          <w:sz w:val="20"/>
          <w:szCs w:val="20"/>
          <w:color w:val="auto"/>
        </w:rPr>
      </w:pPr>
    </w:p>
    <w:p>
      <w:pPr>
        <w:ind w:left="306" w:hanging="306"/>
        <w:spacing w:after="0"/>
        <w:tabs>
          <w:tab w:leader="none" w:pos="306" w:val="left"/>
        </w:tabs>
        <w:numPr>
          <w:ilvl w:val="0"/>
          <w:numId w:val="4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Employment and Duties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right="3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Employment</w:t>
      </w:r>
      <w:r>
        <w:rPr>
          <w:rFonts w:ascii="Times New Roman" w:cs="Times New Roman" w:eastAsia="Times New Roman" w:hAnsi="Times New Roman"/>
          <w:sz w:val="18"/>
          <w:szCs w:val="18"/>
          <w:color w:val="auto"/>
        </w:rPr>
        <w:t>. The Corporation does hereby continue to employ the Executive on an at-will basis, subject to the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set forth in this Agreement, including, but not limited to, Section 5 of this Agreement. The Executive does hereby accept and agree to such continued employment on the terms and conditions expressly set forth in this Agreement.</w:t>
      </w:r>
    </w:p>
    <w:p>
      <w:pPr>
        <w:spacing w:after="0" w:line="169" w:lineRule="exact"/>
        <w:rPr>
          <w:sz w:val="20"/>
          <w:szCs w:val="20"/>
          <w:color w:val="auto"/>
        </w:rPr>
      </w:pPr>
    </w:p>
    <w:p>
      <w:pPr>
        <w:ind w:left="6" w:right="80" w:firstLine="43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Duties</w:t>
      </w:r>
      <w:r>
        <w:rPr>
          <w:rFonts w:ascii="Times New Roman" w:cs="Times New Roman" w:eastAsia="Times New Roman" w:hAnsi="Times New Roman"/>
          <w:sz w:val="18"/>
          <w:szCs w:val="18"/>
          <w:color w:val="auto"/>
        </w:rPr>
        <w:t>. The Executive shall serve the Corporation as its Co-Chief Executive Officer and shall perform and have the responsibilities,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status and authority customary for a position in an organization of the size and nature of the Corporation, subject to the corporate policies of the Corporation as in effect from time to time (including, without limitation, the Corporation’s business conduct and ethics policies, as they may be amended from time to time). In this position, the Executive shall report to the Board of Directors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GoodRx Holdings, Inc.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and shall render such administrative, financial, and other executive and managerial services to the Corporation and its affiliates as the Board may from time to time reasonably direct.</w:t>
      </w:r>
    </w:p>
    <w:p>
      <w:pPr>
        <w:spacing w:after="0" w:line="182" w:lineRule="exact"/>
        <w:rPr>
          <w:sz w:val="20"/>
          <w:szCs w:val="20"/>
          <w:color w:val="auto"/>
        </w:rPr>
      </w:pPr>
    </w:p>
    <w:p>
      <w:pPr>
        <w:jc w:val="center"/>
        <w:ind w:right="-5"/>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u w:val="single" w:color="auto"/>
          <w:color w:val="auto"/>
        </w:rPr>
        <w:t>No Other Employment; Time Commitment</w:t>
      </w:r>
      <w:r>
        <w:rPr>
          <w:rFonts w:ascii="Times New Roman" w:cs="Times New Roman" w:eastAsia="Times New Roman" w:hAnsi="Times New Roman"/>
          <w:sz w:val="17"/>
          <w:szCs w:val="17"/>
          <w:color w:val="auto"/>
        </w:rPr>
        <w:t>. For so long as the Executive is employed with the Corporation, the Executive shall both</w:t>
      </w:r>
    </w:p>
    <w:p>
      <w:pPr>
        <w:spacing w:after="0" w:line="30" w:lineRule="exact"/>
        <w:rPr>
          <w:sz w:val="20"/>
          <w:szCs w:val="20"/>
          <w:color w:val="auto"/>
        </w:rPr>
      </w:pPr>
    </w:p>
    <w:p>
      <w:pPr>
        <w:ind w:left="6" w:right="200" w:hanging="6"/>
        <w:spacing w:after="0" w:line="251" w:lineRule="auto"/>
        <w:tabs>
          <w:tab w:leader="none" w:pos="219"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devote substantially all of his business time, energy and skill to the performance of the Executive’s duties for the Corporation and (ii) hold no other employment positions with any other entity. Further, the Executive’s service on the boards of directors (or similar bodies) of other business entities is subject to the</w:t>
      </w:r>
    </w:p>
    <w:p>
      <w:pPr>
        <w:sectPr>
          <w:pgSz w:w="11900" w:h="16838" w:orient="portrait"/>
          <w:cols w:equalWidth="0" w:num="1">
            <w:col w:w="10906"/>
          </w:cols>
          <w:pgMar w:left="494" w:top="117" w:right="499" w:bottom="1440" w:gutter="0" w:footer="0" w:header="0"/>
        </w:sectPr>
      </w:pPr>
    </w:p>
    <w:bookmarkStart w:id="576" w:name="page577"/>
    <w:bookmarkEnd w:id="576"/>
    <w:p>
      <w:pPr>
        <w:ind w:left="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67">
                      <a:extLst>
                        <a:ext uri="{28A0092B-C50C-407E-A947-70E740481C1C}"/>
                      </a:extLst>
                    </a:blip>
                    <a:srcRect/>
                    <a:stretch>
                      <a:fillRect/>
                    </a:stretch>
                  </pic:blipFill>
                  <pic:spPr bwMode="auto">
                    <a:xfrm>
                      <a:off x="0" y="0"/>
                      <a:ext cx="7150735" cy="24765"/>
                    </a:xfrm>
                    <a:prstGeom prst="rect">
                      <a:avLst/>
                    </a:prstGeom>
                    <a:noFill/>
                  </pic:spPr>
                </pic:pic>
              </a:graphicData>
            </a:graphic>
          </wp:anchor>
        </w:drawing>
        <w:t>prior approval of the Board not to be unreasonably withheld. The Corporation shall have the right to require the Executive to resign from any board or similar body on which the Executive may then serve if the Board reasonably determines that such service (x) creates a material conflict of interest or otherwise directly interferes with the effective discharge of the Executive’s duties and responsibilities to the Corporation in accordance with this Agreement or (y) is in respect of a business then in competition with any business of the Corporation. Subject to this Section 1.3 and the Executive’s obligations of confidentiality to the Corporation, nothing in this Agreement shall preclude Executive from maintaining and managing Executive’s ownership interest in Idea Men LLC (“</w:t>
      </w:r>
      <w:r>
        <w:rPr>
          <w:rFonts w:ascii="Times New Roman" w:cs="Times New Roman" w:eastAsia="Times New Roman" w:hAnsi="Times New Roman"/>
          <w:sz w:val="18"/>
          <w:szCs w:val="18"/>
          <w:u w:val="single" w:color="auto"/>
          <w:color w:val="auto"/>
        </w:rPr>
        <w:t>Idea Men</w:t>
      </w:r>
      <w:r>
        <w:rPr>
          <w:rFonts w:ascii="Times New Roman" w:cs="Times New Roman" w:eastAsia="Times New Roman" w:hAnsi="Times New Roman"/>
          <w:sz w:val="18"/>
          <w:szCs w:val="18"/>
          <w:color w:val="auto"/>
        </w:rPr>
        <w:t>”), or in other ownership interests in other LLC’s through which Executive owns or manages personal or real property.</w:t>
      </w:r>
    </w:p>
    <w:p>
      <w:pPr>
        <w:spacing w:after="0" w:line="185" w:lineRule="exact"/>
        <w:rPr>
          <w:sz w:val="20"/>
          <w:szCs w:val="20"/>
          <w:color w:val="auto"/>
        </w:rPr>
      </w:pPr>
    </w:p>
    <w:p>
      <w:pPr>
        <w:ind w:left="6" w:right="140" w:firstLine="43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b w:val="1"/>
          <w:bCs w:val="1"/>
          <w:u w:val="single" w:color="auto"/>
          <w:color w:val="auto"/>
        </w:rPr>
        <w:t>No Breach of Contract</w:t>
      </w:r>
      <w:r>
        <w:rPr>
          <w:rFonts w:ascii="Times New Roman" w:cs="Times New Roman" w:eastAsia="Times New Roman" w:hAnsi="Times New Roman"/>
          <w:sz w:val="18"/>
          <w:szCs w:val="18"/>
          <w:color w:val="auto"/>
        </w:rPr>
        <w:t>. The Executive hereby represents to the Corporation: (i) that the execution and delivery of this Agreement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and the Corporation and the performance by the Executive of the Executive’s duties hereunder shall not constitute a breach of, or otherwise contravene, the terms of any other agreement or policy to which the Executive is a party or otherwise bound; (ii) that the Executive has no information (including, without limitation, confidential information and trade secrets) relating to any other person or entity which would prevent, or be violated by, the Executive entering into this Agreement or carrying out the Executive’s duties hereunder; and (iii) that the Executive is not bound by any confidentiality, trade secret or similar agreement with any other person or entity which would prevent, or be violated by, the Executive (x) entering into this Agreement or (y) carrying out the Executive’s duties hereunder.</w:t>
      </w:r>
    </w:p>
    <w:p>
      <w:pPr>
        <w:spacing w:after="0" w:line="182" w:lineRule="exact"/>
        <w:rPr>
          <w:sz w:val="20"/>
          <w:szCs w:val="20"/>
          <w:color w:val="auto"/>
        </w:rPr>
      </w:pPr>
    </w:p>
    <w:p>
      <w:pPr>
        <w:ind w:left="6" w:right="4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b w:val="1"/>
          <w:bCs w:val="1"/>
          <w:u w:val="single" w:color="auto"/>
          <w:color w:val="auto"/>
        </w:rPr>
        <w:t>Location</w:t>
      </w:r>
      <w:r>
        <w:rPr>
          <w:rFonts w:ascii="Times New Roman" w:cs="Times New Roman" w:eastAsia="Times New Roman" w:hAnsi="Times New Roman"/>
          <w:sz w:val="18"/>
          <w:szCs w:val="18"/>
          <w:color w:val="auto"/>
        </w:rPr>
        <w:t>. The Executive’s principal place of employment initially shall be the offices of the Corporation’s headquarters, currently located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Santa Monica, California. The Executive acknowledges that business travel may be required from time to time in the course of performing the Executive’s duties for the Corporation. Where available for flights with a duration longer than two hours, such air travel shall be provided to the Executive in business class.</w:t>
      </w:r>
    </w:p>
    <w:p>
      <w:pPr>
        <w:spacing w:after="0" w:line="175" w:lineRule="exact"/>
        <w:rPr>
          <w:sz w:val="20"/>
          <w:szCs w:val="20"/>
          <w:color w:val="auto"/>
        </w:rPr>
      </w:pPr>
    </w:p>
    <w:p>
      <w:pPr>
        <w:ind w:left="6" w:hanging="6"/>
        <w:spacing w:after="0" w:line="256" w:lineRule="auto"/>
        <w:tabs>
          <w:tab w:leader="none" w:pos="318" w:val="left"/>
        </w:tabs>
        <w:numPr>
          <w:ilvl w:val="0"/>
          <w:numId w:val="4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The parties acknowledge that the Executive has been an employee of the Corporation prior to the date of this Agreement and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employment under this Agreement shall commence on the consummation of the initial public offering of the common stock of Holdings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which date will be hereinafter referred to as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period from the Effective Date until the termination of the Executive’s employment under this Agreement is hereinafter referred to as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In the event the IPO does not occur, this Agreement shall have no force or effect.</w:t>
      </w:r>
    </w:p>
    <w:p>
      <w:pPr>
        <w:spacing w:after="0" w:line="285" w:lineRule="exact"/>
        <w:rPr>
          <w:rFonts w:ascii="Times New Roman" w:cs="Times New Roman" w:eastAsia="Times New Roman" w:hAnsi="Times New Roman"/>
          <w:sz w:val="18"/>
          <w:szCs w:val="18"/>
          <w:b w:val="1"/>
          <w:bCs w:val="1"/>
          <w:color w:val="auto"/>
        </w:rPr>
      </w:pPr>
    </w:p>
    <w:p>
      <w:pPr>
        <w:ind w:left="306" w:hanging="306"/>
        <w:spacing w:after="0"/>
        <w:tabs>
          <w:tab w:leader="none" w:pos="306" w:val="left"/>
        </w:tabs>
        <w:numPr>
          <w:ilvl w:val="0"/>
          <w:numId w:val="4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right="2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Base Salary</w:t>
      </w:r>
      <w:r>
        <w:rPr>
          <w:rFonts w:ascii="Times New Roman" w:cs="Times New Roman" w:eastAsia="Times New Roman" w:hAnsi="Times New Roman"/>
          <w:sz w:val="18"/>
          <w:szCs w:val="18"/>
          <w:color w:val="auto"/>
        </w:rPr>
        <w:t>. During the Term, the Executive’s annual base salary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shall be paid in accordance with the Corporation’s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regular payroll practices in effect from time to time, but not less frequently than in monthly installments. As of the Effective Date, the Executive’s Base Salary shall be at an annualized rate of $500,000. During the Term, subject to Section 5, the Board (or a subcommittee thereof) will annually review, and may adjust in its discretion, the Executive’s rate of Base Salary. The term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as utilized in this Agreement shall refer to the Base Salary as so adjusted.</w:t>
      </w:r>
    </w:p>
    <w:p>
      <w:pPr>
        <w:spacing w:after="0" w:line="11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6"/>
          </w:cols>
          <w:pgMar w:left="494" w:top="267" w:right="499" w:bottom="1440" w:gutter="0" w:footer="0" w:header="0"/>
        </w:sectPr>
      </w:pPr>
    </w:p>
    <w:bookmarkStart w:id="577" w:name="page578"/>
    <w:bookmarkEnd w:id="577"/>
    <w:p>
      <w:pPr>
        <w:ind w:left="6" w:right="60" w:firstLine="436"/>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68">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3.2 </w:t>
      </w:r>
      <w:r>
        <w:rPr>
          <w:rFonts w:ascii="Times New Roman" w:cs="Times New Roman" w:eastAsia="Times New Roman" w:hAnsi="Times New Roman"/>
          <w:sz w:val="18"/>
          <w:szCs w:val="18"/>
          <w:b w:val="1"/>
          <w:bCs w:val="1"/>
          <w:u w:val="single" w:color="auto"/>
          <w:color w:val="auto"/>
        </w:rPr>
        <w:t>Incentive Bonus</w:t>
      </w:r>
      <w:r>
        <w:rPr>
          <w:rFonts w:ascii="Times New Roman" w:cs="Times New Roman" w:eastAsia="Times New Roman" w:hAnsi="Times New Roman"/>
          <w:sz w:val="18"/>
          <w:szCs w:val="18"/>
          <w:color w:val="auto"/>
        </w:rPr>
        <w:t>. The Executive will be eligible each year during the Term for an incentive bonus (the “</w:t>
      </w:r>
      <w:r>
        <w:rPr>
          <w:rFonts w:ascii="Times New Roman" w:cs="Times New Roman" w:eastAsia="Times New Roman" w:hAnsi="Times New Roman"/>
          <w:sz w:val="18"/>
          <w:szCs w:val="18"/>
          <w:u w:val="single" w:color="auto"/>
          <w:color w:val="auto"/>
        </w:rPr>
        <w:t>Incentive Bonus</w:t>
      </w:r>
      <w:r>
        <w:rPr>
          <w:rFonts w:ascii="Times New Roman" w:cs="Times New Roman" w:eastAsia="Times New Roman" w:hAnsi="Times New Roman"/>
          <w:sz w:val="18"/>
          <w:szCs w:val="18"/>
          <w:color w:val="auto"/>
        </w:rPr>
        <w:t>”) targeted at 100%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Executive’s annual Base Salary, payable if the Corporation meets applicable performance goals determined by the Board (or a subcommittee thereof) in its discretion following consultation with Executive. The actual Incentive Bonus earned for each fiscal year (which, for clarity, may exceed or be less than the target Incentive Bonus), shall be paid as soon as practicable following the Board’s (or its subcommittee’s) approval of the amount of the Incentive Bonus, but no later than March 15 of the calendar year following the year in which the bonus is earned, subject to the Executive’s continued employment by the Corporation or its affiliates through the end of the calendar year covered by the Incentive Bonus.</w:t>
      </w:r>
    </w:p>
    <w:p>
      <w:pPr>
        <w:spacing w:after="0" w:line="289" w:lineRule="exact"/>
        <w:rPr>
          <w:sz w:val="20"/>
          <w:szCs w:val="20"/>
          <w:color w:val="auto"/>
        </w:rPr>
      </w:pPr>
    </w:p>
    <w:p>
      <w:pPr>
        <w:ind w:left="306" w:hanging="306"/>
        <w:spacing w:after="0"/>
        <w:tabs>
          <w:tab w:leader="none" w:pos="306" w:val="left"/>
        </w:tabs>
        <w:numPr>
          <w:ilvl w:val="0"/>
          <w:numId w:val="4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Benefits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right="22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Health, Retirement, Welfare and Fringe Benefits</w:t>
      </w:r>
      <w:r>
        <w:rPr>
          <w:rFonts w:ascii="Times New Roman" w:cs="Times New Roman" w:eastAsia="Times New Roman" w:hAnsi="Times New Roman"/>
          <w:sz w:val="18"/>
          <w:szCs w:val="18"/>
          <w:color w:val="auto"/>
        </w:rPr>
        <w:t>. During the Term, the Executive shall be eligible to participate in all employee health,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life and other insurance, retirement and welfare benefit plans and programs, bonus, and fringe benefit plans and programs, made available by the Corporation to the Corporation’s executive employees generally, in accordance with the terms of such plans and as such plans or programs may be in effect from time to time.</w:t>
      </w:r>
    </w:p>
    <w:p>
      <w:pPr>
        <w:spacing w:after="0" w:line="175" w:lineRule="exact"/>
        <w:rPr>
          <w:sz w:val="20"/>
          <w:szCs w:val="20"/>
          <w:color w:val="auto"/>
        </w:rPr>
      </w:pPr>
    </w:p>
    <w:p>
      <w:pPr>
        <w:ind w:left="6" w:right="5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Reimbursement of Expenses</w:t>
      </w:r>
      <w:r>
        <w:rPr>
          <w:rFonts w:ascii="Times New Roman" w:cs="Times New Roman" w:eastAsia="Times New Roman" w:hAnsi="Times New Roman"/>
          <w:sz w:val="18"/>
          <w:szCs w:val="18"/>
          <w:color w:val="auto"/>
        </w:rPr>
        <w:t>. During the Term, the Corporation shall reimburse Executive for all customary and reasonable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incurred in the performance of his duties under this Agreement and as an officer or director pursuant to the Corporation’s expense reimbursement policies.</w:t>
      </w:r>
    </w:p>
    <w:p>
      <w:pPr>
        <w:spacing w:after="0" w:line="169" w:lineRule="exact"/>
        <w:rPr>
          <w:sz w:val="20"/>
          <w:szCs w:val="20"/>
          <w:color w:val="auto"/>
        </w:rPr>
      </w:pPr>
    </w:p>
    <w:p>
      <w:pPr>
        <w:ind w:left="6" w:right="8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Vacation and Other Leave</w:t>
      </w:r>
      <w:r>
        <w:rPr>
          <w:rFonts w:ascii="Times New Roman" w:cs="Times New Roman" w:eastAsia="Times New Roman" w:hAnsi="Times New Roman"/>
          <w:sz w:val="18"/>
          <w:szCs w:val="18"/>
          <w:color w:val="auto"/>
        </w:rPr>
        <w:t>. During the Term, the Executive’s annual rate of Paid Time Off (“</w:t>
      </w:r>
      <w:r>
        <w:rPr>
          <w:rFonts w:ascii="Times New Roman" w:cs="Times New Roman" w:eastAsia="Times New Roman" w:hAnsi="Times New Roman"/>
          <w:sz w:val="18"/>
          <w:szCs w:val="18"/>
          <w:u w:val="single" w:color="auto"/>
          <w:color w:val="auto"/>
        </w:rPr>
        <w:t>PTO</w:t>
      </w:r>
      <w:r>
        <w:rPr>
          <w:rFonts w:ascii="Times New Roman" w:cs="Times New Roman" w:eastAsia="Times New Roman" w:hAnsi="Times New Roman"/>
          <w:sz w:val="18"/>
          <w:szCs w:val="18"/>
          <w:color w:val="auto"/>
        </w:rPr>
        <w:t>”) accrual shall be as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Corporation’s PTO policies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vacation shall accrue and be subject to the Corporation’s vacation policies as in effect from time to time. The Executive shall also be eligible for all other holiday and leave pay generally available to other executives of the Corporation.</w:t>
      </w:r>
    </w:p>
    <w:p>
      <w:pPr>
        <w:spacing w:after="0" w:line="175" w:lineRule="exact"/>
        <w:rPr>
          <w:sz w:val="20"/>
          <w:szCs w:val="20"/>
          <w:color w:val="auto"/>
        </w:rPr>
      </w:pPr>
    </w:p>
    <w:p>
      <w:pPr>
        <w:ind w:left="6" w:right="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The Executive shall be provided indemnification, and coverage under the Corporation’s D&amp;O and EPL liability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w:t>
      </w:r>
    </w:p>
    <w:p>
      <w:pPr>
        <w:spacing w:after="0" w:line="262" w:lineRule="exact"/>
        <w:rPr>
          <w:sz w:val="20"/>
          <w:szCs w:val="20"/>
          <w:color w:val="auto"/>
        </w:rPr>
      </w:pPr>
    </w:p>
    <w:p>
      <w:pPr>
        <w:ind w:left="306" w:hanging="306"/>
        <w:spacing w:after="0"/>
        <w:tabs>
          <w:tab w:leader="none" w:pos="306" w:val="left"/>
        </w:tabs>
        <w:numPr>
          <w:ilvl w:val="0"/>
          <w:numId w:val="4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Employment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left="6" w:right="3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Generally</w:t>
      </w:r>
      <w:r>
        <w:rPr>
          <w:rFonts w:ascii="Times New Roman" w:cs="Times New Roman" w:eastAsia="Times New Roman" w:hAnsi="Times New Roman"/>
          <w:sz w:val="18"/>
          <w:szCs w:val="18"/>
          <w:color w:val="auto"/>
        </w:rPr>
        <w:t>. The Executive’s employment by the Corporation, and the Term, may be terminated at any time (i) by the Corporation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Cause (as defined in Section 5.5), (ii) by the Corporation in the event that the Executive has incurred a Disability (as defined in Section 5.5), (iii) by the Executive for any reason, or (iv) due to the Executive’s death.</w:t>
      </w:r>
    </w:p>
    <w:p>
      <w:pPr>
        <w:spacing w:after="0" w:line="169" w:lineRule="exact"/>
        <w:rPr>
          <w:sz w:val="20"/>
          <w:szCs w:val="20"/>
          <w:color w:val="auto"/>
        </w:rPr>
      </w:pPr>
    </w:p>
    <w:p>
      <w:pPr>
        <w:ind w:left="6" w:firstLine="43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Notice of Termination</w:t>
      </w:r>
      <w:r>
        <w:rPr>
          <w:rFonts w:ascii="Times New Roman" w:cs="Times New Roman" w:eastAsia="Times New Roman" w:hAnsi="Times New Roman"/>
          <w:sz w:val="18"/>
          <w:szCs w:val="18"/>
          <w:color w:val="auto"/>
        </w:rPr>
        <w:t>. Any termination of the Executive’s employment under this Agreement (other than because of the Executive’s death)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communicated by written notice of termination from the terminating party to the other party, which termination shall be effective (i) no less than thirty (30) days following delivery of such notice in the event of a termination by the Executive for any reason or (ii) immediately in the event of a termination by the Corporation for Cause, subject to any applicable notice and cure provisions set forth in Section 5.5. The notice of termination shall indicate the specific provision(s) of this Agreement relied upon in effecting the termination. The effective date of termination shall be referenced herein as the “</w:t>
      </w:r>
      <w:r>
        <w:rPr>
          <w:rFonts w:ascii="Times New Roman" w:cs="Times New Roman" w:eastAsia="Times New Roman" w:hAnsi="Times New Roman"/>
          <w:sz w:val="18"/>
          <w:szCs w:val="18"/>
          <w:u w:val="single" w:color="auto"/>
          <w:color w:val="auto"/>
        </w:rPr>
        <w:t>Separation Date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6"/>
          </w:cols>
          <w:pgMar w:left="494" w:top="263" w:right="519" w:bottom="1440" w:gutter="0" w:footer="0" w:header="0"/>
        </w:sectPr>
      </w:pPr>
    </w:p>
    <w:bookmarkStart w:id="578" w:name="page579"/>
    <w:bookmarkEnd w:id="578"/>
    <w:p>
      <w:pPr>
        <w:ind w:left="42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5.3</w:t>
      </w:r>
      <w:r>
        <w:rPr>
          <w:sz w:val="20"/>
          <w:szCs w:val="20"/>
          <w:color w:val="auto"/>
        </w:rPr>
        <w:tab/>
      </w:r>
      <w:r>
        <w:rPr>
          <w:rFonts w:ascii="Times New Roman" w:cs="Times New Roman" w:eastAsia="Times New Roman" w:hAnsi="Times New Roman"/>
          <w:sz w:val="17"/>
          <w:szCs w:val="17"/>
          <w:b w:val="1"/>
          <w:bCs w:val="1"/>
          <w:u w:val="single" w:color="auto"/>
          <w:color w:val="auto"/>
        </w:rPr>
        <w:t>Benefits Upon Termination</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right="100" w:firstLine="975"/>
        <w:spacing w:after="0" w:line="252" w:lineRule="auto"/>
        <w:tabs>
          <w:tab w:leader="none" w:pos="1357"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Executive’s employment for any reason, the Corporation shall pay (i) on the Corporation’s first regularly scheduled payroll date following the Separation Date (or earlier if required by applicable law), any Base Salary, PTO, and any other amounts required under applicable law that had accrued or been earned but had not been paid on or before the Separation Date; (ii) any accrued but unpaid Incentive Bonus for a performance period ending on or preceding the Separation Date (payable in accordance with Section 3.2), and (iii) within thirty (30) days following the Separation Date, any reimbursement due to the Executive pursuant to Section 4.2 for expenses incurred by the Executive on or before the Separation Date. If the Executive’s employment by the Corporation is terminated during the Term by the Corporation for Cause or by the Executive without Good Reason, then following the payment of the foregoing, the Corporation shall have no further obligation to make or provide to the Executive, and the Executive shall have no further right to receive or obtain from the Corporation any other payments or benefits.</w:t>
      </w:r>
    </w:p>
    <w:p>
      <w:pPr>
        <w:spacing w:after="0" w:line="184" w:lineRule="exact"/>
        <w:rPr>
          <w:rFonts w:ascii="Times New Roman" w:cs="Times New Roman" w:eastAsia="Times New Roman" w:hAnsi="Times New Roman"/>
          <w:sz w:val="18"/>
          <w:szCs w:val="18"/>
          <w:color w:val="auto"/>
        </w:rPr>
      </w:pPr>
    </w:p>
    <w:p>
      <w:pPr>
        <w:ind w:firstLine="975"/>
        <w:spacing w:after="0" w:line="250" w:lineRule="auto"/>
        <w:tabs>
          <w:tab w:leader="none" w:pos="1367"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Term, the Executive’s employment is terminated by the Corporation (or its successor or assignee) without Cause, or due to the Executive’s death or Disability, or by the Executive with Good Reason (an “</w:t>
      </w:r>
      <w:r>
        <w:rPr>
          <w:rFonts w:ascii="Times New Roman" w:cs="Times New Roman" w:eastAsia="Times New Roman" w:hAnsi="Times New Roman"/>
          <w:sz w:val="18"/>
          <w:szCs w:val="18"/>
          <w:u w:val="single" w:color="auto"/>
          <w:color w:val="auto"/>
        </w:rPr>
        <w:t>Involuntary Termination</w:t>
      </w:r>
      <w:r>
        <w:rPr>
          <w:rFonts w:ascii="Times New Roman" w:cs="Times New Roman" w:eastAsia="Times New Roman" w:hAnsi="Times New Roman"/>
          <w:sz w:val="18"/>
          <w:szCs w:val="18"/>
          <w:color w:val="auto"/>
        </w:rPr>
        <w:t>”), the Corporation shall pay the Executive (or the Executive’s estate in the case of death) an amount equal to twelve (12) months of the Executive’s Base Salary at the rate in effect on the Separation Date (the “</w:t>
      </w:r>
      <w:r>
        <w:rPr>
          <w:rFonts w:ascii="Times New Roman" w:cs="Times New Roman" w:eastAsia="Times New Roman" w:hAnsi="Times New Roman"/>
          <w:sz w:val="18"/>
          <w:szCs w:val="18"/>
          <w:u w:val="single" w:color="auto"/>
          <w:color w:val="auto"/>
        </w:rPr>
        <w:t>Salary Severance</w:t>
      </w:r>
      <w:r>
        <w:rPr>
          <w:rFonts w:ascii="Times New Roman" w:cs="Times New Roman" w:eastAsia="Times New Roman" w:hAnsi="Times New Roman"/>
          <w:sz w:val="18"/>
          <w:szCs w:val="18"/>
          <w:color w:val="auto"/>
        </w:rPr>
        <w:t>”) plus reimbursement of COBRA medical continuation premiums (if the Executive is eligible for, timely elects and pays for such COBRA medical continuation) for twelve (12) months (collectively, the “</w:t>
      </w:r>
      <w:r>
        <w:rPr>
          <w:rFonts w:ascii="Times New Roman" w:cs="Times New Roman" w:eastAsia="Times New Roman" w:hAnsi="Times New Roman"/>
          <w:sz w:val="18"/>
          <w:szCs w:val="18"/>
          <w:u w:val="single" w:color="auto"/>
          <w:color w:val="auto"/>
        </w:rPr>
        <w:t>Severance Benefit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Corporation shall have no obligation to reimburse the Executive for such COBRA premiums if the Corporation determines that reimbursement of such COBRA premiums would reasonably be expected to result in the imposition of excise taxes on the Corporation or any of its affiliates for any failure to comply with the nondiscrimination requirements of the Patient Protection and Affordable Care Act of 2010, as amended, and the Health Care and Education Reconciliation Act of 2010, as amended;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plan pursuant to which such benefits are provided is not, or ceases prior to the expiration of the 12-month period of continuation coverage to be, exempt from the application of Section 409A under Treasury Regulation</w:t>
      </w:r>
    </w:p>
    <w:p>
      <w:pPr>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1.409A-1(a)(5), an amount equal to each remaining Corporation payment shall thereafter be paid to the Executive in substantially equal monthly installments over the continuation coverage period (or the remaining portion thereof). The Corporation shall pay (or provide, as applicable) the Salary Severance to the Executive (or the Executive’s estate in the case of death) in substantially equal installments during the twelve (12) month period commencing on the Separation Date in accordance with the Corporation’s payroll cycle;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amounts that otherwise would be scheduled to be paid during the Release Period (as defined in Section 5.4(a)) shall accrue and shall be paid on the first payroll date following the expiration of the Release Period.</w:t>
      </w:r>
    </w:p>
    <w:p>
      <w:pPr>
        <w:spacing w:after="0" w:line="188" w:lineRule="exact"/>
        <w:rPr>
          <w:rFonts w:ascii="Times New Roman" w:cs="Times New Roman" w:eastAsia="Times New Roman" w:hAnsi="Times New Roman"/>
          <w:sz w:val="18"/>
          <w:szCs w:val="18"/>
          <w:color w:val="auto"/>
        </w:rPr>
      </w:pPr>
    </w:p>
    <w:p>
      <w:pPr>
        <w:ind w:left="1340" w:hanging="365"/>
        <w:spacing w:after="0"/>
        <w:tabs>
          <w:tab w:leader="none" w:pos="134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Severance Benefit shall be subject to Section 18.</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64" w:right="519" w:bottom="1440" w:gutter="0" w:footer="0" w:header="0"/>
        </w:sectPr>
      </w:pPr>
    </w:p>
    <w:bookmarkStart w:id="579" w:name="page580"/>
    <w:bookmarkEnd w:id="579"/>
    <w:p>
      <w:pPr>
        <w:ind w:right="140" w:firstLine="975"/>
        <w:spacing w:after="0" w:line="255" w:lineRule="auto"/>
        <w:tabs>
          <w:tab w:leader="none" w:pos="1363"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The foregoing provisions of this Section 5.3 shall not affect: (i) payment of the amounts set forth in Section 5.3(a), (ii) the Executive’s receipt of benefits otherwise due terminated employees under group insurance coverage consistent with the terms of the applicable Corporation welfare benefit plan; (iii) the Executive’s rights under COBRA to continue participation in medical, dental, hospitalization and such other benefit plans covered by COBRA; or (iv) the Executive’s receipt of any vested payments or benefits otherwise due in accordance with the terms of an applicable equity compensation plan maintained by the Corporation or Holdings and the Corporation’s 401(k) plan (if any).</w:t>
      </w:r>
    </w:p>
    <w:p>
      <w:pPr>
        <w:spacing w:after="0" w:line="286"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u w:val="single" w:color="auto"/>
          <w:color w:val="auto"/>
        </w:rPr>
        <w:t>Release; Exclusive Remedy</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firstLine="975"/>
        <w:spacing w:after="0" w:line="257" w:lineRule="auto"/>
        <w:tabs>
          <w:tab w:leader="none" w:pos="1347"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precedent to any Corporation obligation to the Executive pursuant to Section 5.3(b), the Executive shall, upon or within sixty (60) days following termination of employment with the Corporation (such sixty (60)-day period being referred to as the “</w:t>
      </w:r>
      <w:r>
        <w:rPr>
          <w:rFonts w:ascii="Times New Roman" w:cs="Times New Roman" w:eastAsia="Times New Roman" w:hAnsi="Times New Roman"/>
          <w:sz w:val="18"/>
          <w:szCs w:val="18"/>
          <w:u w:val="single" w:color="auto"/>
          <w:color w:val="auto"/>
        </w:rPr>
        <w:t>Release Period</w:t>
      </w:r>
      <w:r>
        <w:rPr>
          <w:rFonts w:ascii="Times New Roman" w:cs="Times New Roman" w:eastAsia="Times New Roman" w:hAnsi="Times New Roman"/>
          <w:sz w:val="18"/>
          <w:szCs w:val="18"/>
          <w:color w:val="auto"/>
        </w:rPr>
        <w:t xml:space="preserve">”), provide the Corporation with an executed general release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such release shall have not been revoked by the Executive, and shall have become non-revocable, pursuant to, or in accordance with, any revocation rights afforded by applicable law.</w:t>
      </w:r>
    </w:p>
    <w:p>
      <w:pPr>
        <w:spacing w:after="0" w:line="182" w:lineRule="exact"/>
        <w:rPr>
          <w:rFonts w:ascii="Times New Roman" w:cs="Times New Roman" w:eastAsia="Times New Roman" w:hAnsi="Times New Roman"/>
          <w:sz w:val="18"/>
          <w:szCs w:val="18"/>
          <w:color w:val="auto"/>
        </w:rPr>
      </w:pPr>
    </w:p>
    <w:p>
      <w:pPr>
        <w:ind w:right="140" w:firstLine="975"/>
        <w:spacing w:after="0" w:line="262" w:lineRule="auto"/>
        <w:tabs>
          <w:tab w:leader="none" w:pos="1363"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Executive agrees that, upon the parties’ signing and the Executive’s not revoking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payments and benefits contemplated by Section 5.3 shall constitute the exclusive and sole remedy for any termination of employment during the Term of this Agreement and the Executive covenants not to assert or pursue any other remedies, at law or in equity, with respect to any termination of employment.</w:t>
      </w:r>
    </w:p>
    <w:p>
      <w:pPr>
        <w:spacing w:after="0" w:line="173" w:lineRule="exact"/>
        <w:rPr>
          <w:sz w:val="20"/>
          <w:szCs w:val="20"/>
          <w:color w:val="auto"/>
        </w:rPr>
      </w:pPr>
    </w:p>
    <w:p>
      <w:pPr>
        <w:ind w:right="72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b w:val="1"/>
          <w:bCs w:val="1"/>
          <w:u w:val="single" w:color="auto"/>
          <w:color w:val="auto"/>
        </w:rPr>
        <w:t>Certain Defined Terms</w:t>
      </w:r>
      <w:r>
        <w:rPr>
          <w:rFonts w:ascii="Times New Roman" w:cs="Times New Roman" w:eastAsia="Times New Roman" w:hAnsi="Times New Roman"/>
          <w:sz w:val="18"/>
          <w:szCs w:val="18"/>
          <w:color w:val="auto"/>
        </w:rPr>
        <w:t>. The definitions of Cause and Good Reason contained in this Agreement shall govern for purposes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9" w:lineRule="exact"/>
        <w:rPr>
          <w:sz w:val="20"/>
          <w:szCs w:val="20"/>
          <w:color w:val="auto"/>
        </w:rPr>
      </w:pPr>
    </w:p>
    <w:p>
      <w:pPr>
        <w:ind w:left="1340" w:hanging="365"/>
        <w:spacing w:after="0"/>
        <w:tabs>
          <w:tab w:leader="none" w:pos="134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that one or more of the following has occurred:</w:t>
      </w:r>
    </w:p>
    <w:p>
      <w:pPr>
        <w:spacing w:after="0" w:line="113" w:lineRule="exact"/>
        <w:rPr>
          <w:rFonts w:ascii="Times New Roman" w:cs="Times New Roman" w:eastAsia="Times New Roman" w:hAnsi="Times New Roman"/>
          <w:sz w:val="18"/>
          <w:szCs w:val="18"/>
          <w:color w:val="auto"/>
        </w:rPr>
      </w:pPr>
    </w:p>
    <w:p>
      <w:pPr>
        <w:ind w:left="420" w:right="180" w:firstLine="951"/>
        <w:spacing w:after="0" w:line="257" w:lineRule="auto"/>
        <w:tabs>
          <w:tab w:leader="none" w:pos="1708"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(x) been convicted of, pled guilty or no contest to, or entered into a plea agreement on charges constituting, any felony (under the laws of the United States, any relevant state, or the equivalent of a felony in any international jurisdiction in which the Corporation does business), other than a traffic violation or (y) been convicted of, or pled guilty or no contest to, any misdemeanor crime involving dishonesty or moral turpitude;</w:t>
      </w:r>
    </w:p>
    <w:p>
      <w:pPr>
        <w:spacing w:after="0" w:line="75" w:lineRule="exact"/>
        <w:rPr>
          <w:rFonts w:ascii="Times New Roman" w:cs="Times New Roman" w:eastAsia="Times New Roman" w:hAnsi="Times New Roman"/>
          <w:sz w:val="18"/>
          <w:szCs w:val="18"/>
          <w:color w:val="auto"/>
        </w:rPr>
      </w:pPr>
    </w:p>
    <w:p>
      <w:pPr>
        <w:jc w:val="both"/>
        <w:ind w:left="420" w:right="80" w:firstLine="951"/>
        <w:spacing w:after="0" w:line="262" w:lineRule="auto"/>
        <w:tabs>
          <w:tab w:leader="none" w:pos="1757"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engaged in any willful misconduct (including any willful violation of federal securities laws), gross neglect of Executive’s job duties, willful act of dishonesty, violence or threat of violence in the workplace, in each case, that either has materially injured or is reasonably expected to substantially injure the Corporation;</w:t>
      </w:r>
    </w:p>
    <w:p>
      <w:pPr>
        <w:spacing w:after="0" w:line="70" w:lineRule="exact"/>
        <w:rPr>
          <w:rFonts w:ascii="Times New Roman" w:cs="Times New Roman" w:eastAsia="Times New Roman" w:hAnsi="Times New Roman"/>
          <w:sz w:val="18"/>
          <w:szCs w:val="18"/>
          <w:color w:val="auto"/>
        </w:rPr>
      </w:pPr>
    </w:p>
    <w:p>
      <w:pPr>
        <w:ind w:left="420" w:right="40" w:firstLine="951"/>
        <w:spacing w:after="0" w:line="277" w:lineRule="auto"/>
        <w:tabs>
          <w:tab w:leader="none" w:pos="1807"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willfully breached the written laws of any governmental or regulatory body applicable to the Corporation in each case, that either has materially injured or is reasonably expected to substantially injure the Corporation;</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40"/>
          </w:cols>
          <w:pgMar w:left="500" w:top="267" w:right="559" w:bottom="1440" w:gutter="0" w:footer="0" w:header="0"/>
        </w:sectPr>
      </w:pPr>
    </w:p>
    <w:bookmarkStart w:id="580" w:name="page581"/>
    <w:bookmarkEnd w:id="580"/>
    <w:p>
      <w:pPr>
        <w:ind w:left="426" w:right="60" w:firstLine="951"/>
        <w:spacing w:after="0" w:line="262" w:lineRule="auto"/>
        <w:tabs>
          <w:tab w:leader="none" w:pos="1803"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Executive has (other than any such failure resulting from the Executive’s Disability or incapacity due to bodily injury or physical or mental illness) willfully failed to comply with lawful material directives of the Board regarding his employment with the Corporation; or</w:t>
      </w:r>
    </w:p>
    <w:p>
      <w:pPr>
        <w:spacing w:after="0" w:line="70" w:lineRule="exact"/>
        <w:rPr>
          <w:rFonts w:ascii="Times New Roman" w:cs="Times New Roman" w:eastAsia="Times New Roman" w:hAnsi="Times New Roman"/>
          <w:sz w:val="18"/>
          <w:szCs w:val="18"/>
          <w:color w:val="auto"/>
        </w:rPr>
      </w:pPr>
    </w:p>
    <w:p>
      <w:pPr>
        <w:ind w:left="426" w:right="240" w:firstLine="951"/>
        <w:spacing w:after="0" w:line="257" w:lineRule="auto"/>
        <w:tabs>
          <w:tab w:leader="none" w:pos="1754"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(other than any such failure resulting from the Executive’s Disability or incapacity due to bodily injury or physical or mental illness) materially breached this Agreement or any other material contract regarding employment with the Corporation to which the Executive and the Corporation are parties, in each case, that either has substantially injured or is reasonably expected to substantially injure the Corporation;</w:t>
      </w:r>
    </w:p>
    <w:p>
      <w:pPr>
        <w:spacing w:after="0" w:line="182" w:lineRule="exact"/>
        <w:rPr>
          <w:sz w:val="20"/>
          <w:szCs w:val="20"/>
          <w:color w:val="auto"/>
        </w:rPr>
      </w:pPr>
    </w:p>
    <w:p>
      <w:pPr>
        <w:ind w:left="6" w:right="320"/>
        <w:spacing w:after="0" w:line="274"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Sections 5.5(a)(ii), 5.5(a)(iii), 5.5(a)(iv), and 5.5(a)(v), and if the event giving rise to the claim of Cause is curable, the Corporation provides written notice to the Executive of the details of the event and the subsection(s) of Section 5.5 to which it pertains, within thirty</w:t>
      </w:r>
    </w:p>
    <w:p>
      <w:pPr>
        <w:ind w:left="6" w:right="100" w:hanging="6"/>
        <w:spacing w:after="0" w:line="262" w:lineRule="auto"/>
        <w:tabs>
          <w:tab w:leader="none" w:pos="347" w:val="left"/>
        </w:tabs>
        <w:numPr>
          <w:ilvl w:val="0"/>
          <w:numId w:val="4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days of the Corporation learning of the occurrence of such event, that Executive is provided a reasonable opportunity to cure such Cause, and such Cause event remains uncured thirty (30) days after the Corporation has provided such written notice;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any termination by the Corporation of the Executive’s employment for “Cause” with respect to Sections 5.5(a)(ii), 5.5(a)(iii), 5.5(a)(iv) or 5.5(a)(v) shall occur no later than thirty (30) days following the expiration of such cure period. In addition, the Corporation may only terminate the Executive’s employment for Cause if</w:t>
      </w:r>
    </w:p>
    <w:p>
      <w:pPr>
        <w:spacing w:after="0" w:line="1" w:lineRule="exact"/>
        <w:rPr>
          <w:rFonts w:ascii="Times New Roman" w:cs="Times New Roman" w:eastAsia="Times New Roman" w:hAnsi="Times New Roman"/>
          <w:sz w:val="17"/>
          <w:szCs w:val="17"/>
          <w:color w:val="auto"/>
        </w:rPr>
      </w:pPr>
    </w:p>
    <w:p>
      <w:pPr>
        <w:ind w:left="6"/>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a determination that Cause exists is made and approved by not less than three-quarters of the then sitting members of the Corporation’s Board (other than the Executive, if the Executive is then a member of the Board, and also other than (i) Douglas Hirsch (if Mr. Hirsch is then a member of the Board) and/or (ii) any other member of the Board designated by Idea Men who is not an “independent director” under the rules of the applicable stock exchange listing rules applicable to the Company), (B) the Executive is given at least ten (10) days’ written notice of the Board meeting called to make such determination, and (C) the Executive and his legal counsel are given the opportunity to address such meeting. In the event that the Board has so determined in good faith that Cause exists, the Board shall have no obligation to terminate the Executive’s employment if the Board determines in its sole discretion that such a decision not to terminate the Executive’s employment is in the best interest of the Corporation.</w:t>
      </w:r>
    </w:p>
    <w:p>
      <w:pPr>
        <w:spacing w:after="0" w:line="187" w:lineRule="exact"/>
        <w:rPr>
          <w:rFonts w:ascii="Times New Roman" w:cs="Times New Roman" w:eastAsia="Times New Roman" w:hAnsi="Times New Roman"/>
          <w:sz w:val="17"/>
          <w:szCs w:val="17"/>
          <w:color w:val="auto"/>
        </w:rPr>
      </w:pPr>
    </w:p>
    <w:p>
      <w:pPr>
        <w:ind w:left="6" w:right="100" w:firstLine="975"/>
        <w:spacing w:after="0" w:line="255" w:lineRule="auto"/>
        <w:tabs>
          <w:tab w:leader="none" w:pos="1363"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a disability for which the Executive is deemed qualified for benefits under the Corporation’s long-term disability plan or, if the Corporation does not maintain a long-term disability plan or the Executive does not apply for such benefits, any medically determinable physical or mental impairment (as determined by a physician designated by the Corporation in good faith) resulting in Executive’s inability to perform the duties of his position, where such impairment can be expected to result in death or can be expected to last for a continuous period of not less than six months.</w:t>
      </w:r>
    </w:p>
    <w:p>
      <w:pPr>
        <w:spacing w:after="0" w:line="182" w:lineRule="exact"/>
        <w:rPr>
          <w:rFonts w:ascii="Times New Roman" w:cs="Times New Roman" w:eastAsia="Times New Roman" w:hAnsi="Times New Roman"/>
          <w:sz w:val="18"/>
          <w:szCs w:val="18"/>
          <w:color w:val="auto"/>
        </w:rPr>
      </w:pPr>
    </w:p>
    <w:p>
      <w:pPr>
        <w:ind w:left="1346" w:hanging="365"/>
        <w:spacing w:after="0"/>
        <w:tabs>
          <w:tab w:leader="none" w:pos="1346"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that one or more of the following has occurred without the Executive’s prior written</w:t>
      </w:r>
    </w:p>
    <w:p>
      <w:pPr>
        <w:spacing w:after="0" w:line="25" w:lineRule="exact"/>
        <w:rPr>
          <w:rFonts w:ascii="Times New Roman" w:cs="Times New Roman" w:eastAsia="Times New Roman" w:hAnsi="Times New Roman"/>
          <w:sz w:val="18"/>
          <w:szCs w:val="18"/>
          <w:color w:val="auto"/>
        </w:rPr>
      </w:pPr>
    </w:p>
    <w:p>
      <w:pPr>
        <w:ind w:left="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w:t>
      </w:r>
    </w:p>
    <w:p>
      <w:pPr>
        <w:spacing w:after="0" w:line="95" w:lineRule="exact"/>
        <w:rPr>
          <w:sz w:val="20"/>
          <w:szCs w:val="20"/>
          <w:color w:val="auto"/>
        </w:rPr>
      </w:pPr>
    </w:p>
    <w:p>
      <w:pPr>
        <w:ind w:left="426" w:right="480" w:firstLine="951"/>
        <w:spacing w:after="0" w:line="277" w:lineRule="auto"/>
        <w:tabs>
          <w:tab w:leader="none" w:pos="1714"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nature or scope of the Executive’s responsibilities, duties or authority as set forth in Section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w:t>
      </w:r>
    </w:p>
    <w:p>
      <w:pPr>
        <w:spacing w:after="0" w:line="9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6"/>
          </w:cols>
          <w:pgMar w:left="494" w:top="268" w:right="519" w:bottom="1440" w:gutter="0" w:footer="0" w:header="0"/>
        </w:sectPr>
      </w:pPr>
    </w:p>
    <w:bookmarkStart w:id="581" w:name="page582"/>
    <w:bookmarkEnd w:id="581"/>
    <w:p>
      <w:pPr>
        <w:ind w:left="426" w:right="2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Executive continuing in the same role on a divisional or business unit basis following the acquisition of the Corporation by a larger entity shall not be treated as a material diminution in title, responsibilities, duties, or authority);</w:t>
      </w:r>
    </w:p>
    <w:p>
      <w:pPr>
        <w:spacing w:after="0" w:line="57" w:lineRule="exact"/>
        <w:rPr>
          <w:sz w:val="20"/>
          <w:szCs w:val="20"/>
          <w:color w:val="auto"/>
        </w:rPr>
      </w:pPr>
    </w:p>
    <w:p>
      <w:pPr>
        <w:ind w:left="1766" w:hanging="389"/>
        <w:spacing w:after="0"/>
        <w:tabs>
          <w:tab w:leader="none" w:pos="1766"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material breach of this Agreement;</w:t>
      </w:r>
    </w:p>
    <w:p>
      <w:pPr>
        <w:spacing w:after="0" w:line="113" w:lineRule="exact"/>
        <w:rPr>
          <w:rFonts w:ascii="Times New Roman" w:cs="Times New Roman" w:eastAsia="Times New Roman" w:hAnsi="Times New Roman"/>
          <w:sz w:val="18"/>
          <w:szCs w:val="18"/>
          <w:color w:val="auto"/>
        </w:rPr>
      </w:pPr>
    </w:p>
    <w:p>
      <w:pPr>
        <w:ind w:left="426" w:right="580" w:firstLine="951"/>
        <w:spacing w:after="0" w:line="277" w:lineRule="auto"/>
        <w:tabs>
          <w:tab w:leader="none" w:pos="1813"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relocation of its principal offices more than ten (10) miles from the prior location or its requiring that Executive relocate more than ten (10) miles from his then-current office location; or</w:t>
      </w:r>
    </w:p>
    <w:p>
      <w:pPr>
        <w:spacing w:after="0" w:line="56" w:lineRule="exact"/>
        <w:rPr>
          <w:rFonts w:ascii="Times New Roman" w:cs="Times New Roman" w:eastAsia="Times New Roman" w:hAnsi="Times New Roman"/>
          <w:sz w:val="18"/>
          <w:szCs w:val="18"/>
          <w:color w:val="auto"/>
        </w:rPr>
      </w:pPr>
    </w:p>
    <w:p>
      <w:pPr>
        <w:ind w:left="426" w:right="220" w:firstLine="951"/>
        <w:spacing w:after="0" w:line="262" w:lineRule="auto"/>
        <w:tabs>
          <w:tab w:leader="none" w:pos="1803"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the Executive’s Base Salary or Incentive Bonus other than, for both Base Salary and target Incentive Bonus individually, a one-time reduction of not more than ten percent (10%) that also is applied to substantially all other executive officers of the Corporation;</w:t>
      </w:r>
    </w:p>
    <w:p>
      <w:pPr>
        <w:spacing w:after="0" w:line="177" w:lineRule="exact"/>
        <w:rPr>
          <w:sz w:val="20"/>
          <w:szCs w:val="20"/>
          <w:color w:val="auto"/>
        </w:rPr>
      </w:pPr>
    </w:p>
    <w:p>
      <w:pPr>
        <w:ind w:left="6" w:right="120"/>
        <w:spacing w:after="0" w:line="257"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such case, the Executive provides written notice to the Corporation of the event giving rise to such claim of Good Reason within thirty (30) days after the Executive learns of the occurrence of such event in writing from the Corporation, and such Good Reason event remains uncured thirty (30) days after the Executive has provided such written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resignation of the Executive’s employment for “Good Reason” occurs no later than sixty (60) days following the expiration of such cure period.</w:t>
      </w:r>
    </w:p>
    <w:p>
      <w:pPr>
        <w:spacing w:after="0" w:line="178" w:lineRule="exact"/>
        <w:rPr>
          <w:sz w:val="20"/>
          <w:szCs w:val="20"/>
          <w:color w:val="auto"/>
        </w:rPr>
      </w:pPr>
    </w:p>
    <w:p>
      <w:pPr>
        <w:ind w:left="6" w:right="320" w:firstLine="436"/>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5.6 </w:t>
      </w:r>
      <w:r>
        <w:rPr>
          <w:rFonts w:ascii="Times New Roman" w:cs="Times New Roman" w:eastAsia="Times New Roman" w:hAnsi="Times New Roman"/>
          <w:sz w:val="17"/>
          <w:szCs w:val="17"/>
          <w:b w:val="1"/>
          <w:bCs w:val="1"/>
          <w:u w:val="single" w:color="auto"/>
          <w:color w:val="auto"/>
        </w:rPr>
        <w:t>Resignation from Directorships and Officerships</w:t>
      </w:r>
      <w:r>
        <w:rPr>
          <w:rFonts w:ascii="Times New Roman" w:cs="Times New Roman" w:eastAsia="Times New Roman" w:hAnsi="Times New Roman"/>
          <w:sz w:val="17"/>
          <w:szCs w:val="17"/>
          <w:color w:val="auto"/>
        </w:rPr>
        <w:t>. Unless the parties agree otherwise in writing, and subject to the last sentence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 5.6, the termination of the Executive’s employment with the Corporation for any reason shall be treated as the Executive’s resignation from</w:t>
      </w:r>
    </w:p>
    <w:p>
      <w:pPr>
        <w:spacing w:after="0" w:line="1" w:lineRule="exact"/>
        <w:rPr>
          <w:sz w:val="20"/>
          <w:szCs w:val="20"/>
          <w:color w:val="auto"/>
        </w:rPr>
      </w:pPr>
    </w:p>
    <w:p>
      <w:pPr>
        <w:ind w:left="6" w:right="100" w:hanging="6"/>
        <w:spacing w:after="0" w:line="266" w:lineRule="auto"/>
        <w:tabs>
          <w:tab w:leader="none" w:pos="258" w:val="left"/>
        </w:tabs>
        <w:numPr>
          <w:ilvl w:val="0"/>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officer or employee position the Executive has with the Corporation, any parent entity (including Holdings) and any of their respective affiliates, and (y) all fiduciary positions (including as a trustee) the Executive holds with respect to any employee benefit plans or trusts established by the Corporation, any parent entity and any other subsidiaries of such parent entity, or any of their respective affiliates. The Executive agrees that this Agreement shall, unless the parties agree otherwise in writing, serve as written notice of such resignation in this circumstance. Furthermore, the Executive agrees to execute any documents evidencing such resignations that the Corporation reasonably requests. Notwithstanding the foregoing, the termination of Executive’s employment shall not affect any position then-held by the Executive with Idea Men, or any director position the Executive has with the Corporation as a director designee pursuant to the terms of any stockholders agreement to be entered into in connection with the IPO.</w:t>
      </w:r>
    </w:p>
    <w:p>
      <w:pPr>
        <w:spacing w:after="0" w:line="277" w:lineRule="exact"/>
        <w:rPr>
          <w:sz w:val="20"/>
          <w:szCs w:val="20"/>
          <w:color w:val="auto"/>
        </w:rPr>
      </w:pPr>
    </w:p>
    <w:p>
      <w:pPr>
        <w:ind w:left="426"/>
        <w:spacing w:after="0"/>
        <w:tabs>
          <w:tab w:leader="none" w:pos="826"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7"/>
          <w:szCs w:val="17"/>
          <w:b w:val="1"/>
          <w:bCs w:val="1"/>
          <w:u w:val="single" w:color="auto"/>
          <w:color w:val="auto"/>
        </w:rPr>
        <w:t>280G Implications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6" w:firstLine="975"/>
        <w:spacing w:after="0" w:line="255" w:lineRule="auto"/>
        <w:tabs>
          <w:tab w:leader="none" w:pos="1363"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in the event that any payment or benefit received or to be received by the Executive (including any payment or benefit received in connection with a termination of the Executive’s employment, whether pursuant to the terms of this Agreement or any other plan, arrangement or agreement) (all such payments and benefits, including the payments and benefits under Section 5.3, being hereinafter referred to as the “</w:t>
      </w:r>
      <w:r>
        <w:rPr>
          <w:rFonts w:ascii="Times New Roman" w:cs="Times New Roman" w:eastAsia="Times New Roman" w:hAnsi="Times New Roman"/>
          <w:sz w:val="18"/>
          <w:szCs w:val="18"/>
          <w:u w:val="single" w:color="auto"/>
          <w:color w:val="auto"/>
        </w:rPr>
        <w:t>Total Payments</w:t>
      </w:r>
      <w:r>
        <w:rPr>
          <w:rFonts w:ascii="Times New Roman" w:cs="Times New Roman" w:eastAsia="Times New Roman" w:hAnsi="Times New Roman"/>
          <w:sz w:val="18"/>
          <w:szCs w:val="18"/>
          <w:color w:val="auto"/>
        </w:rPr>
        <w:t>”) would be subject (in whole or part), to the excise tax imposed under Section 4999 of the Code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after taking into account any</w:t>
      </w:r>
    </w:p>
    <w:p>
      <w:pPr>
        <w:spacing w:after="0" w:line="116"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6"/>
          </w:cols>
          <w:pgMar w:left="494" w:top="268" w:right="519" w:bottom="1440" w:gutter="0" w:footer="0" w:header="0"/>
        </w:sectPr>
      </w:pPr>
    </w:p>
    <w:bookmarkStart w:id="582" w:name="page583"/>
    <w:bookmarkEnd w:id="582"/>
    <w:p>
      <w:pPr>
        <w:ind w:left="6"/>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73">
                      <a:extLst>
                        <a:ext uri="{28A0092B-C50C-407E-A947-70E740481C1C}"/>
                      </a:extLst>
                    </a:blip>
                    <a:srcRect/>
                    <a:stretch>
                      <a:fillRect/>
                    </a:stretch>
                  </pic:blipFill>
                  <pic:spPr bwMode="auto">
                    <a:xfrm>
                      <a:off x="0" y="0"/>
                      <a:ext cx="7150735" cy="24765"/>
                    </a:xfrm>
                    <a:prstGeom prst="rect">
                      <a:avLst/>
                    </a:prstGeom>
                    <a:noFill/>
                  </pic:spPr>
                </pic:pic>
              </a:graphicData>
            </a:graphic>
          </wp:anchor>
        </w:drawing>
        <w:t>reduction in the Total Payments provided by reason of Section 280G of the Code in such other plan, arrangement or agreement, the cash severance payments under this Agreement shall first be reduced, and the noncash severance payments hereunder shall thereafter be reduced, to the extent necessary so that no portion of the Total Payments is subject to the Excise Tax but only if (i)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the Executive would be subject in respect of such unreduced Total Payments and after taking into account the phase out of itemized deductions and personal exemptions attributable to such unreduced Total Payments). In all cases, if there are any reductions to the Total Payments under this paragraph, the reduction shall be performed in a manner which results in the greatest after-tax amount being retained by the Executive and in manner which comports with Section 409A.</w:t>
      </w:r>
    </w:p>
    <w:p>
      <w:pPr>
        <w:spacing w:after="0" w:line="186" w:lineRule="exact"/>
        <w:rPr>
          <w:sz w:val="20"/>
          <w:szCs w:val="20"/>
          <w:color w:val="auto"/>
        </w:rPr>
      </w:pPr>
    </w:p>
    <w:p>
      <w:pPr>
        <w:ind w:left="6" w:firstLine="975"/>
        <w:spacing w:after="0" w:line="250" w:lineRule="auto"/>
        <w:tabs>
          <w:tab w:leader="none" w:pos="1373"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whether and the extent to which the Total Payments will be subject to the Excise Tax, (i) no portion of the Total Payments the receipt or enjoyment of which the Executive shall have waived at such time and in such manner as not to constitute a “payment” within the meaning of Section 280G(b) of the Code shall be taken into account; (ii) no portion of the Total Payments shall be taken into account which, in the written opinion of an independent, nationally recognized accounting firm (the “</w:t>
      </w:r>
      <w:r>
        <w:rPr>
          <w:rFonts w:ascii="Times New Roman" w:cs="Times New Roman" w:eastAsia="Times New Roman" w:hAnsi="Times New Roman"/>
          <w:sz w:val="18"/>
          <w:szCs w:val="18"/>
          <w:u w:val="single" w:color="auto"/>
          <w:color w:val="auto"/>
        </w:rPr>
        <w:t>Independent Advisors</w:t>
      </w:r>
      <w:r>
        <w:rPr>
          <w:rFonts w:ascii="Times New Roman" w:cs="Times New Roman" w:eastAsia="Times New Roman" w:hAnsi="Times New Roman"/>
          <w:sz w:val="18"/>
          <w:szCs w:val="18"/>
          <w:color w:val="auto"/>
        </w:rPr>
        <w:t>”) selected by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Independent Advisors may not without the Executive’s written consent be the firm which serves as the auditor for the ultimate parent of the entity acquiring the Corporation) does not constitute a “parachute payment” within the meaning of Section 280G(b)(2) of the Code (including by reason of Section 280G(b)(4)(A) of the Code) and, in calculating the Excise Tax, no portion of such Total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Total Payments shall be determined by the Independent Advisors in accordance with the principles of Sections 280G(d)(3) and (4) of the Code.</w:t>
      </w:r>
    </w:p>
    <w:p>
      <w:pPr>
        <w:spacing w:after="0" w:line="189" w:lineRule="exact"/>
        <w:rPr>
          <w:rFonts w:ascii="Times New Roman" w:cs="Times New Roman" w:eastAsia="Times New Roman" w:hAnsi="Times New Roman"/>
          <w:sz w:val="18"/>
          <w:szCs w:val="18"/>
          <w:color w:val="auto"/>
        </w:rPr>
      </w:pPr>
    </w:p>
    <w:p>
      <w:pPr>
        <w:ind w:left="6" w:right="60" w:hanging="6"/>
        <w:spacing w:after="0" w:line="252" w:lineRule="auto"/>
        <w:tabs>
          <w:tab w:leader="none" w:pos="318" w:val="left"/>
        </w:tabs>
        <w:numPr>
          <w:ilvl w:val="0"/>
          <w:numId w:val="4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Defense of Claims</w:t>
      </w:r>
      <w:r>
        <w:rPr>
          <w:rFonts w:ascii="Times New Roman" w:cs="Times New Roman" w:eastAsia="Times New Roman" w:hAnsi="Times New Roman"/>
          <w:sz w:val="18"/>
          <w:szCs w:val="18"/>
          <w:color w:val="auto"/>
        </w:rPr>
        <w:t>. The Executive agrees that, during the Term hereof, and for a period of five (5) years after termination of the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employment, upon reasonable notice from the Corporation, the Executive will reasonably cooperate with providing information to the Corporation necessary in the defense of any claims or actions that may be made by or against the Corporation that affect the Executive’s prior areas of responsibility, except if the Executive’s interests are adverse to the Corporation in such claim or action. The Corporation agrees that it shall promptly pay or reimburse the reasonable cost of the time of the Executive (at $75 per hour) and any reasonable, out-of-pocket costs and attorneys’ fees that the Executive actually incurs in connection with the Executive providing such assistance or cooperation to the Corporation, in accordance with the Corporation’s standard policies and procedures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Executive shall have obtained prior written approval from the Corporation for any travel costs incurred by the Executive in connection with the Executive’s obligations under this Section 6.</w:t>
      </w:r>
    </w:p>
    <w:p>
      <w:pPr>
        <w:spacing w:after="0" w:line="1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6"/>
          </w:cols>
          <w:pgMar w:left="494" w:top="267" w:right="499" w:bottom="1440" w:gutter="0" w:footer="0" w:header="0"/>
        </w:sectPr>
      </w:pPr>
    </w:p>
    <w:bookmarkStart w:id="583" w:name="page584"/>
    <w:bookmarkEnd w:id="583"/>
    <w:p>
      <w:pPr>
        <w:ind w:left="6" w:hanging="6"/>
        <w:spacing w:after="0" w:line="256" w:lineRule="auto"/>
        <w:tabs>
          <w:tab w:leader="none" w:pos="318" w:val="left"/>
        </w:tabs>
        <w:numPr>
          <w:ilvl w:val="0"/>
          <w:numId w:val="4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74">
                      <a:extLst>
                        <a:ext uri="{28A0092B-C50C-407E-A947-70E740481C1C}"/>
                      </a:extLst>
                    </a:blip>
                    <a:srcRect/>
                    <a:stretch>
                      <a:fillRect/>
                    </a:stretch>
                  </pic:blipFill>
                  <pic:spPr bwMode="auto">
                    <a:xfrm>
                      <a:off x="0" y="0"/>
                      <a:ext cx="7150735" cy="24765"/>
                    </a:xfrm>
                    <a:prstGeom prst="rect">
                      <a:avLst/>
                    </a:prstGeom>
                    <a:noFill/>
                  </pic:spPr>
                </pic:pic>
              </a:graphicData>
            </a:graphic>
          </wp:anchor>
        </w:drawing>
        <w:t>Source of Payments</w:t>
      </w:r>
      <w:r>
        <w:rPr>
          <w:rFonts w:ascii="Times New Roman" w:cs="Times New Roman" w:eastAsia="Times New Roman" w:hAnsi="Times New Roman"/>
          <w:sz w:val="18"/>
          <w:szCs w:val="18"/>
          <w:color w:val="auto"/>
        </w:rPr>
        <w:t>. All payments provided under this Agreement, other than payments made pursuant to a plan which provides otherwise,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in cash from the general funds of the Corporation, and no special or separate fund shall be established, and no other segregation of assets shall be made, to assure payment. The Executive shall have no right, title or interest whatsoever in or to any investments which the Corporation may make to aid the Corporation in meeting its obligations hereunder. Any payments provided under this Agreement shall be treated as amounts owed to an unsecured creditor of the Corporation.</w:t>
      </w:r>
    </w:p>
    <w:p>
      <w:pPr>
        <w:spacing w:after="0" w:line="178" w:lineRule="exact"/>
        <w:rPr>
          <w:rFonts w:ascii="Times New Roman" w:cs="Times New Roman" w:eastAsia="Times New Roman" w:hAnsi="Times New Roman"/>
          <w:sz w:val="18"/>
          <w:szCs w:val="18"/>
          <w:b w:val="1"/>
          <w:bCs w:val="1"/>
          <w:color w:val="auto"/>
        </w:rPr>
      </w:pPr>
    </w:p>
    <w:p>
      <w:pPr>
        <w:ind w:left="6" w:right="120" w:hanging="6"/>
        <w:spacing w:after="0" w:line="265" w:lineRule="auto"/>
        <w:tabs>
          <w:tab w:leader="none" w:pos="318" w:val="left"/>
        </w:tabs>
        <w:numPr>
          <w:ilvl w:val="0"/>
          <w:numId w:val="4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Notwithstanding anything else herein to the contrary, the Corporation and its affiliates may withhold (or cause there to be withheld,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case may be) from any amounts otherwise due or payable under or pursuant to this Agreement such federal, state and local income, employment, or other taxes or other amounts as may be required to be withheld pursuant to any applicable law or regulation.</w:t>
      </w:r>
    </w:p>
    <w:p>
      <w:pPr>
        <w:spacing w:after="0" w:line="276" w:lineRule="exact"/>
        <w:rPr>
          <w:rFonts w:ascii="Times New Roman" w:cs="Times New Roman" w:eastAsia="Times New Roman" w:hAnsi="Times New Roman"/>
          <w:sz w:val="18"/>
          <w:szCs w:val="18"/>
          <w:b w:val="1"/>
          <w:bCs w:val="1"/>
          <w:color w:val="auto"/>
        </w:rPr>
      </w:pPr>
    </w:p>
    <w:p>
      <w:pPr>
        <w:ind w:left="306" w:hanging="306"/>
        <w:spacing w:after="0"/>
        <w:tabs>
          <w:tab w:leader="none" w:pos="306" w:val="left"/>
        </w:tabs>
        <w:numPr>
          <w:ilvl w:val="0"/>
          <w:numId w:val="4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 Binding Effect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right="20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b w:val="1"/>
          <w:bCs w:val="1"/>
          <w:u w:val="single" w:color="auto"/>
          <w:color w:val="auto"/>
        </w:rPr>
        <w:t>By the Executive</w:t>
      </w:r>
      <w:r>
        <w:rPr>
          <w:rFonts w:ascii="Times New Roman" w:cs="Times New Roman" w:eastAsia="Times New Roman" w:hAnsi="Times New Roman"/>
          <w:sz w:val="18"/>
          <w:szCs w:val="18"/>
          <w:color w:val="auto"/>
        </w:rPr>
        <w:t>. This Agreement and any and all rights, duties, obligations or interests hereunder shall not be assignable or delegable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w:t>
      </w:r>
    </w:p>
    <w:p>
      <w:pPr>
        <w:spacing w:after="0" w:line="155" w:lineRule="exact"/>
        <w:rPr>
          <w:sz w:val="20"/>
          <w:szCs w:val="20"/>
          <w:color w:val="auto"/>
        </w:rPr>
      </w:pPr>
    </w:p>
    <w:p>
      <w:pPr>
        <w:ind w:left="6" w:right="3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9.2 </w:t>
      </w:r>
      <w:r>
        <w:rPr>
          <w:rFonts w:ascii="Times New Roman" w:cs="Times New Roman" w:eastAsia="Times New Roman" w:hAnsi="Times New Roman"/>
          <w:sz w:val="18"/>
          <w:szCs w:val="18"/>
          <w:b w:val="1"/>
          <w:bCs w:val="1"/>
          <w:u w:val="single" w:color="auto"/>
          <w:color w:val="auto"/>
        </w:rPr>
        <w:t>By the Corporation</w:t>
      </w:r>
      <w:r>
        <w:rPr>
          <w:rFonts w:ascii="Times New Roman" w:cs="Times New Roman" w:eastAsia="Times New Roman" w:hAnsi="Times New Roman"/>
          <w:sz w:val="18"/>
          <w:szCs w:val="18"/>
          <w:color w:val="auto"/>
        </w:rPr>
        <w:t>. This Agreement and all of the Corporation’s rights and obligations hereunder shall not be assignable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except as incident to a reorganization, merger or consolidation, or transfer of all or substantially all of the Corporation’s assets; provided that the assignee in such reorganization, merger, consolidation or transfer assumes all of the Corporation’s obligations hereunder.</w:t>
      </w:r>
    </w:p>
    <w:p>
      <w:pPr>
        <w:spacing w:after="0" w:line="169" w:lineRule="exact"/>
        <w:rPr>
          <w:sz w:val="20"/>
          <w:szCs w:val="20"/>
          <w:color w:val="auto"/>
        </w:rPr>
      </w:pPr>
    </w:p>
    <w:p>
      <w:pPr>
        <w:ind w:left="6" w:right="36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9.3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parties hereto, any successors to or assigns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and the Executive’s heirs and the personal representatives of the Executive’s estate.</w:t>
      </w:r>
    </w:p>
    <w:p>
      <w:pPr>
        <w:spacing w:after="0" w:line="155" w:lineRule="exact"/>
        <w:rPr>
          <w:sz w:val="20"/>
          <w:szCs w:val="20"/>
          <w:color w:val="auto"/>
        </w:rPr>
      </w:pPr>
    </w:p>
    <w:p>
      <w:pPr>
        <w:ind w:left="6" w:right="160" w:hanging="6"/>
        <w:spacing w:after="0" w:line="282" w:lineRule="auto"/>
        <w:tabs>
          <w:tab w:leader="none" w:pos="407" w:val="left"/>
        </w:tabs>
        <w:numPr>
          <w:ilvl w:val="0"/>
          <w:numId w:val="4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Number and Gender</w:t>
      </w:r>
      <w:r>
        <w:rPr>
          <w:rFonts w:ascii="Times New Roman" w:cs="Times New Roman" w:eastAsia="Times New Roman" w:hAnsi="Times New Roman"/>
          <w:sz w:val="18"/>
          <w:szCs w:val="18"/>
          <w:color w:val="auto"/>
        </w:rPr>
        <w:t>. Where the context requires, the singular shall include the plural, the plural shall include the singular, and any gender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all other genders.</w:t>
      </w:r>
    </w:p>
    <w:p>
      <w:pPr>
        <w:spacing w:after="0" w:line="154" w:lineRule="exact"/>
        <w:rPr>
          <w:rFonts w:ascii="Times New Roman" w:cs="Times New Roman" w:eastAsia="Times New Roman" w:hAnsi="Times New Roman"/>
          <w:sz w:val="18"/>
          <w:szCs w:val="18"/>
          <w:b w:val="1"/>
          <w:bCs w:val="1"/>
          <w:color w:val="auto"/>
        </w:rPr>
      </w:pPr>
    </w:p>
    <w:p>
      <w:pPr>
        <w:ind w:left="6" w:right="620" w:hanging="6"/>
        <w:spacing w:after="0" w:line="282" w:lineRule="auto"/>
        <w:tabs>
          <w:tab w:leader="none" w:pos="397" w:val="left"/>
        </w:tabs>
        <w:numPr>
          <w:ilvl w:val="0"/>
          <w:numId w:val="4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Headings</w:t>
      </w:r>
      <w:r>
        <w:rPr>
          <w:rFonts w:ascii="Times New Roman" w:cs="Times New Roman" w:eastAsia="Times New Roman" w:hAnsi="Times New Roman"/>
          <w:sz w:val="18"/>
          <w:szCs w:val="18"/>
          <w:color w:val="auto"/>
        </w:rPr>
        <w:t>. The section headings of, and titles of paragraphs and subparagraphs contained in, this Agreement are for the purpose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convenience only, and they neither form a part of this Agreement nor are they to be used in the construction or interpretation thereof.</w:t>
      </w:r>
    </w:p>
    <w:p>
      <w:pPr>
        <w:spacing w:after="0" w:line="154" w:lineRule="exact"/>
        <w:rPr>
          <w:rFonts w:ascii="Times New Roman" w:cs="Times New Roman" w:eastAsia="Times New Roman" w:hAnsi="Times New Roman"/>
          <w:sz w:val="18"/>
          <w:szCs w:val="18"/>
          <w:b w:val="1"/>
          <w:bCs w:val="1"/>
          <w:color w:val="auto"/>
        </w:rPr>
      </w:pPr>
    </w:p>
    <w:p>
      <w:pPr>
        <w:ind w:left="6" w:right="60" w:hanging="6"/>
        <w:spacing w:after="0" w:line="265" w:lineRule="auto"/>
        <w:tabs>
          <w:tab w:leader="none" w:pos="407" w:val="left"/>
        </w:tabs>
        <w:numPr>
          <w:ilvl w:val="0"/>
          <w:numId w:val="4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all questions relating to its validity, interpretation, performance and enforcement, as well as the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 hereby created between the parties hereto, shall be governed by and construed under, and interpreted and enforced in accordance with, the laws of the State of California and adjudicated within Los Angeles, California.</w:t>
      </w:r>
    </w:p>
    <w:p>
      <w:pPr>
        <w:spacing w:after="0" w:line="169" w:lineRule="exact"/>
        <w:rPr>
          <w:rFonts w:ascii="Times New Roman" w:cs="Times New Roman" w:eastAsia="Times New Roman" w:hAnsi="Times New Roman"/>
          <w:sz w:val="18"/>
          <w:szCs w:val="18"/>
          <w:b w:val="1"/>
          <w:bCs w:val="1"/>
          <w:color w:val="auto"/>
        </w:rPr>
      </w:pPr>
    </w:p>
    <w:p>
      <w:pPr>
        <w:ind w:left="406" w:hanging="406"/>
        <w:spacing w:after="0"/>
        <w:tabs>
          <w:tab w:leader="none" w:pos="406" w:val="left"/>
        </w:tabs>
        <w:numPr>
          <w:ilvl w:val="0"/>
          <w:numId w:val="4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Survival of Certain Provisions</w:t>
      </w:r>
      <w:r>
        <w:rPr>
          <w:rFonts w:ascii="Times New Roman" w:cs="Times New Roman" w:eastAsia="Times New Roman" w:hAnsi="Times New Roman"/>
          <w:sz w:val="18"/>
          <w:szCs w:val="18"/>
          <w:color w:val="auto"/>
        </w:rPr>
        <w:t>. Sections 5, 6, 8, 12, 14, 15, 16, 17, 18 and 20 shall survive any termination or expiration of this Agreement.</w:t>
      </w:r>
    </w:p>
    <w:p>
      <w:pPr>
        <w:spacing w:after="0" w:line="220" w:lineRule="exact"/>
        <w:rPr>
          <w:rFonts w:ascii="Times New Roman" w:cs="Times New Roman" w:eastAsia="Times New Roman" w:hAnsi="Times New Roman"/>
          <w:sz w:val="18"/>
          <w:szCs w:val="18"/>
          <w:b w:val="1"/>
          <w:bCs w:val="1"/>
          <w:color w:val="auto"/>
        </w:rPr>
      </w:pPr>
    </w:p>
    <w:p>
      <w:pPr>
        <w:ind w:left="6" w:hanging="6"/>
        <w:spacing w:after="0" w:line="265" w:lineRule="auto"/>
        <w:tabs>
          <w:tab w:leader="none" w:pos="407" w:val="left"/>
        </w:tabs>
        <w:numPr>
          <w:ilvl w:val="0"/>
          <w:numId w:val="4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embodies the entire agreement of the parties hereto respecting the matters within its scope. As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this Agreement supersedes all prior and contemporaneous agreements of the parties hereto that directly or indirectly bear upon the subject matter hereof (including the Prior Employment Agreement), and any prior</w:t>
      </w:r>
    </w:p>
    <w:p>
      <w:pPr>
        <w:spacing w:after="0" w:line="10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6"/>
          </w:cols>
          <w:pgMar w:left="494" w:top="263" w:right="499" w:bottom="1440" w:gutter="0" w:footer="0" w:header="0"/>
        </w:sectPr>
      </w:pPr>
    </w:p>
    <w:bookmarkStart w:id="584" w:name="page585"/>
    <w:bookmarkEnd w:id="584"/>
    <w:p>
      <w:pPr>
        <w:ind w:left="6"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5">
                      <a:extLst>
                        <a:ext uri="{28A0092B-C50C-407E-A947-70E740481C1C}"/>
                      </a:extLst>
                    </a:blip>
                    <a:srcRect/>
                    <a:stretch>
                      <a:fillRect/>
                    </a:stretch>
                  </pic:blipFill>
                  <pic:spPr bwMode="auto">
                    <a:xfrm>
                      <a:off x="0" y="0"/>
                      <a:ext cx="7150735" cy="24765"/>
                    </a:xfrm>
                    <a:prstGeom prst="rect">
                      <a:avLst/>
                    </a:prstGeom>
                    <a:noFill/>
                  </pic:spPr>
                </pic:pic>
              </a:graphicData>
            </a:graphic>
          </wp:anchor>
        </w:drawing>
        <w:t>negotiations, correspondence, agreements, proposals or understandings relating to the subject matter hereof shall be deemed to be of no force or effect, and the parties to any such other negotiations, commitments, agreements or writings shall have no further rights or obligations thereunder. The effectiveness of this Agreement is expressly made subject to and conditioned upon the consummation of the IPO. As of the Effective Date, the Prior Employment Agreement shall terminate and be of no further force or effect. There are no representations, warranties, or agreements, whether express or implied, or oral or written, with respect to the subject matter hereof, except as expressly set forth herein.</w:t>
      </w:r>
    </w:p>
    <w:p>
      <w:pPr>
        <w:spacing w:after="0" w:line="179" w:lineRule="exact"/>
        <w:rPr>
          <w:sz w:val="20"/>
          <w:szCs w:val="20"/>
          <w:color w:val="auto"/>
        </w:rPr>
      </w:pPr>
    </w:p>
    <w:p>
      <w:pPr>
        <w:ind w:left="6" w:hanging="6"/>
        <w:spacing w:after="0" w:line="287" w:lineRule="auto"/>
        <w:tabs>
          <w:tab w:leader="none" w:pos="407" w:val="left"/>
        </w:tabs>
        <w:numPr>
          <w:ilvl w:val="0"/>
          <w:numId w:val="4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Modifications, Waivers</w:t>
      </w:r>
      <w:r>
        <w:rPr>
          <w:rFonts w:ascii="Times New Roman" w:cs="Times New Roman" w:eastAsia="Times New Roman" w:hAnsi="Times New Roman"/>
          <w:sz w:val="17"/>
          <w:szCs w:val="17"/>
          <w:color w:val="auto"/>
        </w:rPr>
        <w:t>. This Agreement may not be waived, amended, modified or changed (in whole or in part), except by an instrument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writing signed by both parties hereto.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153" w:lineRule="exact"/>
        <w:rPr>
          <w:rFonts w:ascii="Times New Roman" w:cs="Times New Roman" w:eastAsia="Times New Roman" w:hAnsi="Times New Roman"/>
          <w:sz w:val="17"/>
          <w:szCs w:val="17"/>
          <w:b w:val="1"/>
          <w:bCs w:val="1"/>
          <w:color w:val="auto"/>
        </w:rPr>
      </w:pPr>
    </w:p>
    <w:p>
      <w:pPr>
        <w:ind w:left="6" w:right="20" w:hanging="6"/>
        <w:spacing w:after="0" w:line="250" w:lineRule="auto"/>
        <w:tabs>
          <w:tab w:leader="none" w:pos="407" w:val="left"/>
        </w:tabs>
        <w:numPr>
          <w:ilvl w:val="0"/>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Arbitration</w:t>
      </w:r>
      <w:r>
        <w:rPr>
          <w:rFonts w:ascii="Times New Roman" w:cs="Times New Roman" w:eastAsia="Times New Roman" w:hAnsi="Times New Roman"/>
          <w:sz w:val="18"/>
          <w:szCs w:val="18"/>
          <w:color w:val="auto"/>
        </w:rPr>
        <w:t>. The parties hereto agree that to the extent permitted by law, any dispute or controversy arising out of, relating to, or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this Agreement, or the interpretation, validity, construction, performance, breach, or termination thereof, or the Executive’s employment by the Corporation or any termination thereof, will be settled by arbitration to be held at a location in Los Angeles, California in accordance with then applicable rules of the American Arbitration Association specifically designed for the resolution of employment disputes, which are available at </w:t>
      </w:r>
      <w:r>
        <w:rPr>
          <w:rFonts w:ascii="Times New Roman" w:cs="Times New Roman" w:eastAsia="Times New Roman" w:hAnsi="Times New Roman"/>
          <w:sz w:val="18"/>
          <w:szCs w:val="18"/>
          <w:u w:val="single" w:color="auto"/>
          <w:color w:val="auto"/>
        </w:rPr>
        <w:t>https://www.adr.org/sites/default/files/employment_arbitration_rules_and_mediation_procedures_0.pdf</w:t>
      </w:r>
      <w:r>
        <w:rPr>
          <w:rFonts w:ascii="Times New Roman" w:cs="Times New Roman" w:eastAsia="Times New Roman" w:hAnsi="Times New Roman"/>
          <w:sz w:val="18"/>
          <w:szCs w:val="18"/>
          <w:color w:val="auto"/>
        </w:rPr>
        <w:t xml:space="preserve">. The arbitrator may grant injunctions or other relief in such dispute or controversy. The decision of the arbitrator will be final, conclusive and binding on the parties to the arbitration. Judgment may be entered on the arbitrator’s decision in any court having jurisdiction. The Corporation shall pay the costs associated with arbitration (arbitration fee and location fee,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party shall bear its own legal fees and expenses. THE EXECUTIVE AND THE CORPORATION UNDERSTAND THAT BY AGREEING TO ARBITRATE ANY ARBITRATION CLAIM, THEY WILL NOT HAVE THE RIGHT TO HAVE ANY ARBITRATION CLAIM DECIDED BY A JURY OR A COURT, BUT SHALL INSTEAD HAVE ANY ARBITRATION CLAIM DECIDED THROUGH ARBITRATION. THE EXECUTIVE AND THE CORPORATION WAIVE ANY CONSTITUTIONAL OR OTHER RIGHT TO BRING CLAIMS COVERED BY THIS AGREEMENT OTHER THAN IN THEIR INDIVIDUAL CAPACITIES. EXCEPT AS MAY BE PROHIBITED BY LAW, THIS WAIVER INCLUDES THE ABILITY TO ASSERT CLAIMS AS A PLAINTIFF OR CLASS MEMBER IN ANY PURPORTED CLASS OR REPRESENTATIVE PROCEEDING.</w:t>
      </w:r>
    </w:p>
    <w:p>
      <w:pPr>
        <w:spacing w:after="0" w:line="187" w:lineRule="exact"/>
        <w:rPr>
          <w:rFonts w:ascii="Times New Roman" w:cs="Times New Roman" w:eastAsia="Times New Roman" w:hAnsi="Times New Roman"/>
          <w:sz w:val="18"/>
          <w:szCs w:val="18"/>
          <w:b w:val="1"/>
          <w:bCs w:val="1"/>
          <w:color w:val="auto"/>
        </w:rPr>
      </w:pPr>
    </w:p>
    <w:p>
      <w:pPr>
        <w:ind w:left="6" w:right="300" w:hanging="6"/>
        <w:spacing w:after="0" w:line="282" w:lineRule="auto"/>
        <w:tabs>
          <w:tab w:leader="none" w:pos="407" w:val="left"/>
        </w:tabs>
        <w:numPr>
          <w:ilvl w:val="0"/>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demands and other communications required or permitted under this Agreement shall be in writing (including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formats) and shall be deemed to have been duly given and made if (i) on delivery if delivered by hand, (ii) one (1) business day</w:t>
      </w:r>
    </w:p>
    <w:p>
      <w:pPr>
        <w:spacing w:after="0" w:line="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6"/>
          </w:cols>
          <w:pgMar w:left="494" w:top="267" w:right="519" w:bottom="1440" w:gutter="0" w:footer="0" w:header="0"/>
        </w:sectPr>
      </w:pPr>
    </w:p>
    <w:bookmarkStart w:id="585" w:name="page586"/>
    <w:bookmarkEnd w:id="585"/>
    <w:p>
      <w:pPr>
        <w:ind w:left="6" w:right="32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after if sent to an email address of record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receipt is confirmed, or (iii) three business days after sent by registered or certified mail, postage prepaid, return receipt requested. Any notice shall be duly addressed to the parties as follows:</w:t>
      </w:r>
    </w:p>
    <w:p>
      <w:pPr>
        <w:spacing w:after="0" w:line="163"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if to the Corporation:</w:t>
      </w:r>
    </w:p>
    <w:p>
      <w:pPr>
        <w:spacing w:after="0" w:line="220"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GoodRx, Inc.</w:t>
      </w:r>
    </w:p>
    <w:p>
      <w:pPr>
        <w:spacing w:after="0" w:line="26"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233 Wilshire Boulevard, Ste. 990</w:t>
      </w:r>
    </w:p>
    <w:p>
      <w:pPr>
        <w:spacing w:after="0" w:line="7"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Santa Monica, CA 90401</w:t>
      </w:r>
    </w:p>
    <w:p>
      <w:pPr>
        <w:spacing w:after="0" w:line="7"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2"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if to the Executive, to the address (or e-mail address) most recently on file in the personnel records of the Corporation.</w:t>
      </w:r>
    </w:p>
    <w:p>
      <w:pPr>
        <w:spacing w:after="0" w:line="323" w:lineRule="exact"/>
        <w:rPr>
          <w:sz w:val="20"/>
          <w:szCs w:val="20"/>
          <w:color w:val="auto"/>
        </w:rPr>
      </w:pPr>
    </w:p>
    <w:p>
      <w:pPr>
        <w:ind w:left="406" w:hanging="406"/>
        <w:spacing w:after="0"/>
        <w:tabs>
          <w:tab w:leader="none" w:pos="406" w:val="left"/>
        </w:tabs>
        <w:numPr>
          <w:ilvl w:val="0"/>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Code Section 409A</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6" w:firstLine="436"/>
        <w:spacing w:after="0" w:line="255" w:lineRule="auto"/>
        <w:rPr>
          <w:sz w:val="20"/>
          <w:szCs w:val="20"/>
          <w:color w:val="auto"/>
        </w:rPr>
      </w:pPr>
      <w:r>
        <w:rPr>
          <w:rFonts w:ascii="Times New Roman" w:cs="Times New Roman" w:eastAsia="Times New Roman" w:hAnsi="Times New Roman"/>
          <w:sz w:val="18"/>
          <w:szCs w:val="18"/>
          <w:color w:val="auto"/>
        </w:rPr>
        <w:t>This Agreement is intended to meet the requirements of Section 409A of the Code, and shall be interpreted and construed consistent with that intent. Each payment provided hereunder, whether part of the Severance Benefit or otherwise, is intended to be a separate payment for purposes of Section 409A of the Code, including Treasury Regulation 1.409A-2(b)(2). All payments of nonqualified deferred compensation subject to Section 409A to be made upon a termination of employment under this Agreement may only be made upon the Executive’s “separation from service” (within the meaning of Section 409A of the Code) (a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 w:firstLine="436"/>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no compensation or benefits, including without limitation any severance payments or benefits payable under Section 5.3, shall be paid to the Executive during the six-month period following the Executive’s Separation from Service if the Corporation determines that paying such amounts at the time or times indicated in this Agreement would be a prohibited distribution under</w:t>
      </w:r>
    </w:p>
    <w:p>
      <w:pPr>
        <w:ind w:left="6" w:right="120"/>
        <w:spacing w:after="0" w:line="250" w:lineRule="auto"/>
        <w:rPr>
          <w:sz w:val="20"/>
          <w:szCs w:val="20"/>
          <w:color w:val="auto"/>
        </w:rPr>
      </w:pPr>
      <w:r>
        <w:rPr>
          <w:rFonts w:ascii="Times New Roman" w:cs="Times New Roman" w:eastAsia="Times New Roman" w:hAnsi="Times New Roman"/>
          <w:sz w:val="18"/>
          <w:szCs w:val="18"/>
          <w:color w:val="auto"/>
        </w:rPr>
        <w:t>Section 409A(a)(2)(B)(i) of the Code. If the payment of any such amounts is delayed as a result of the previous sentence, then on the first day of the seventh month following the date of Separation from Service (or such earlier date upon which such amount can be paid under Section 409A without resulting in a prohibited distribution, including as a result of the Executive’s death), the Corporation shall pay the Executive a lump-sum amount equal to the cumulative amount that would have otherwise been payable to the Executive during such period.</w:t>
      </w:r>
    </w:p>
    <w:p>
      <w:pPr>
        <w:spacing w:after="0" w:line="187" w:lineRule="exact"/>
        <w:rPr>
          <w:sz w:val="20"/>
          <w:szCs w:val="20"/>
          <w:color w:val="auto"/>
        </w:rPr>
      </w:pPr>
    </w:p>
    <w:p>
      <w:pPr>
        <w:ind w:left="6" w:right="40" w:firstLine="436"/>
        <w:spacing w:after="0" w:line="255" w:lineRule="auto"/>
        <w:rPr>
          <w:sz w:val="20"/>
          <w:szCs w:val="20"/>
          <w:color w:val="auto"/>
        </w:rPr>
      </w:pPr>
      <w:r>
        <w:rPr>
          <w:rFonts w:ascii="Times New Roman" w:cs="Times New Roman" w:eastAsia="Times New Roman" w:hAnsi="Times New Roman"/>
          <w:sz w:val="18"/>
          <w:szCs w:val="18"/>
          <w:color w:val="auto"/>
        </w:rPr>
        <w:t>To the extent that any payments or reimbursements provided to the Executive under this Agreement are deemed to constitute compensation to the Executive to which Treasury Regulation Section 1.409A-3(i)(1)(iv) would apply, such amounts shall be made on or before the last day of the calendar year following the calendar year in which the relevant expense or benefit is incurred. The amount of expenses or benefits eligible for reimbursement, payment or provision during a calendar year shall not affect the expenses or benefits eligible for reimbursement, payment or provision in any other calendar year.</w:t>
      </w:r>
    </w:p>
    <w:p>
      <w:pPr>
        <w:spacing w:after="0" w:line="179" w:lineRule="exact"/>
        <w:rPr>
          <w:sz w:val="20"/>
          <w:szCs w:val="20"/>
          <w:color w:val="auto"/>
        </w:rPr>
      </w:pPr>
    </w:p>
    <w:p>
      <w:pPr>
        <w:jc w:val="both"/>
        <w:ind w:left="6" w:right="20" w:hanging="6"/>
        <w:spacing w:after="0" w:line="259" w:lineRule="auto"/>
        <w:tabs>
          <w:tab w:leader="none" w:pos="407" w:val="left"/>
        </w:tabs>
        <w:numPr>
          <w:ilvl w:val="0"/>
          <w:numId w:val="4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Sarbanes-Oxley Act of 2002</w:t>
      </w:r>
      <w:r>
        <w:rPr>
          <w:rFonts w:ascii="Times New Roman" w:cs="Times New Roman" w:eastAsia="Times New Roman" w:hAnsi="Times New Roman"/>
          <w:sz w:val="18"/>
          <w:szCs w:val="18"/>
          <w:color w:val="auto"/>
        </w:rPr>
        <w:t>. Notwithstanding anything herein to the contrary, if the Corporation determines, in its good faith judgment, that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or deemed transfer of funds hereunder is likely to be construed as a personal loan prohibited by Section 13(k) of the Securities Exchange Act of 1934, as amended, and the rules and regulations promulgated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then such transfer or deemed transfer shall be provided to the Executive as compensation (and not as a loan) to the Executive (and as such shall be subject to tax withholding obligations).</w:t>
      </w:r>
    </w:p>
    <w:p>
      <w:pPr>
        <w:spacing w:after="0" w:line="112"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46"/>
          </w:cols>
          <w:pgMar w:left="494" w:top="268" w:right="559" w:bottom="1440" w:gutter="0" w:footer="0" w:header="0"/>
        </w:sectPr>
      </w:pPr>
    </w:p>
    <w:bookmarkStart w:id="586" w:name="page587"/>
    <w:bookmarkEnd w:id="586"/>
    <w:p>
      <w:pPr>
        <w:ind w:left="6" w:hanging="6"/>
        <w:spacing w:after="0" w:line="249" w:lineRule="auto"/>
        <w:tabs>
          <w:tab w:leader="none" w:pos="407" w:val="left"/>
        </w:tabs>
        <w:numPr>
          <w:ilvl w:val="0"/>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7">
                      <a:extLst>
                        <a:ext uri="{28A0092B-C50C-407E-A947-70E740481C1C}"/>
                      </a:extLst>
                    </a:blip>
                    <a:srcRect/>
                    <a:stretch>
                      <a:fillRect/>
                    </a:stretch>
                  </pic:blipFill>
                  <pic:spPr bwMode="auto">
                    <a:xfrm>
                      <a:off x="0" y="0"/>
                      <a:ext cx="7150735" cy="24765"/>
                    </a:xfrm>
                    <a:prstGeom prst="rect">
                      <a:avLst/>
                    </a:prstGeom>
                    <a:noFill/>
                  </pic:spPr>
                </pic:pic>
              </a:graphicData>
            </a:graphic>
          </wp:anchor>
        </w:drawing>
        <w:t>Exceptions</w:t>
      </w:r>
      <w:r>
        <w:rPr>
          <w:rFonts w:ascii="Times New Roman" w:cs="Times New Roman" w:eastAsia="Times New Roman" w:hAnsi="Times New Roman"/>
          <w:sz w:val="18"/>
          <w:szCs w:val="18"/>
          <w:color w:val="auto"/>
        </w:rPr>
        <w:t>. Notwithstanding anything in this Agreement to the contrary, nothing contained in this Agreement shall prohibit either party (or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party’s attorney(s)) from (i) filing a charge with, reporting possible violations of federal law or regulation to, participating in any investigation by, or cooperating with the U.S. Securities and Exchange Commission, the Financial Industry Regulatory Authority, the Equal Employment Opportunity Commission, the National Labor Relations Board, the Occupational Safety and Health Administration, the U.S. Commodity Futures Trading Commission, the U.S. Department of Justice or any other securities regulatory agency, self-regulatory authority or federal, state or local regulatory authority (collectively, “</w:t>
      </w:r>
      <w:r>
        <w:rPr>
          <w:rFonts w:ascii="Times New Roman" w:cs="Times New Roman" w:eastAsia="Times New Roman" w:hAnsi="Times New Roman"/>
          <w:sz w:val="18"/>
          <w:szCs w:val="18"/>
          <w:u w:val="single" w:color="auto"/>
          <w:color w:val="auto"/>
        </w:rPr>
        <w:t>Government Agencies</w:t>
      </w:r>
      <w:r>
        <w:rPr>
          <w:rFonts w:ascii="Times New Roman" w:cs="Times New Roman" w:eastAsia="Times New Roman" w:hAnsi="Times New Roman"/>
          <w:sz w:val="18"/>
          <w:szCs w:val="18"/>
          <w:color w:val="auto"/>
        </w:rPr>
        <w:t>”),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and/or (iii) receiving an award for information provided to any Government Agency. Pursuant to 18 USC Section 1833(b), the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Agreement is intended to or shall preclude either party from providing truthful testimony in response to a valid subpoena, court order, regulatory request or other judicial, administrative or legal process or otherwise as required by law. If the Executive is required to provide testimony, then unless otherwise directed or requested by a Government Agency or law enforcement, the Executive shall notify the Corporation as soon as reasonably practicable after receiving any such request of the anticipated testimony.</w:t>
      </w:r>
    </w:p>
    <w:p>
      <w:pPr>
        <w:spacing w:after="0" w:line="196" w:lineRule="exact"/>
        <w:rPr>
          <w:rFonts w:ascii="Times New Roman" w:cs="Times New Roman" w:eastAsia="Times New Roman" w:hAnsi="Times New Roman"/>
          <w:sz w:val="18"/>
          <w:szCs w:val="18"/>
          <w:b w:val="1"/>
          <w:bCs w:val="1"/>
          <w:color w:val="auto"/>
        </w:rPr>
      </w:pPr>
    </w:p>
    <w:p>
      <w:pPr>
        <w:jc w:val="both"/>
        <w:ind w:left="6" w:right="220" w:hanging="6"/>
        <w:spacing w:after="0" w:line="287" w:lineRule="auto"/>
        <w:tabs>
          <w:tab w:leader="none" w:pos="407" w:val="left"/>
        </w:tabs>
        <w:numPr>
          <w:ilvl w:val="0"/>
          <w:numId w:val="4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color w:val="auto"/>
        </w:rPr>
        <w:t>. This Agreement may be executed in any number of counterparts, each of which shall be deemed an original as against any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whose signature appears thereon, and all of which together shall constitute one and the same instrument. This Agreement shall become binding when one or more counterparts hereof, individually or taken together, shall bear the signatures of all of the parties reflected hereon as the signatories.</w:t>
      </w:r>
    </w:p>
    <w:p>
      <w:pPr>
        <w:spacing w:after="0" w:line="153" w:lineRule="exact"/>
        <w:rPr>
          <w:rFonts w:ascii="Times New Roman" w:cs="Times New Roman" w:eastAsia="Times New Roman" w:hAnsi="Times New Roman"/>
          <w:sz w:val="17"/>
          <w:szCs w:val="17"/>
          <w:b w:val="1"/>
          <w:bCs w:val="1"/>
          <w:color w:val="auto"/>
        </w:rPr>
      </w:pPr>
    </w:p>
    <w:p>
      <w:pPr>
        <w:ind w:left="6" w:right="80" w:hanging="6"/>
        <w:spacing w:after="0" w:line="254" w:lineRule="auto"/>
        <w:tabs>
          <w:tab w:leader="none" w:pos="407" w:val="left"/>
        </w:tabs>
        <w:numPr>
          <w:ilvl w:val="0"/>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Legal Counsel</w:t>
      </w:r>
      <w:r>
        <w:rPr>
          <w:rFonts w:ascii="Times New Roman" w:cs="Times New Roman" w:eastAsia="Times New Roman" w:hAnsi="Times New Roman"/>
          <w:sz w:val="18"/>
          <w:szCs w:val="18"/>
          <w:color w:val="auto"/>
        </w:rPr>
        <w:t>. Each party recognizes that this is a legally binding contract and acknowledges and agrees that they have had the opportunity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 with legal counsel of their choice. The Executive agrees and acknowledges that he has read and understands this Agreement, is entering into it freely and voluntarily, and has been advised to seek counsel prior to entering into this Agreement and has had ample opportunity to do so. This Agreement has resulted from negotiations and discussions between the parties and no one party shall be treated as drafting this Agreement for purposes of interpreting any provision hereof. The Corporation shall reimburse the Executive for reasonable, documented legal fees incurred in drafting and negotiating the terms of this Agreement in an aggregate amount not to exceed $30,000.</w:t>
      </w:r>
    </w:p>
    <w:p>
      <w:pPr>
        <w:spacing w:after="0" w:line="184"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intentionally been left blank</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66"/>
          </w:cols>
          <w:pgMar w:left="494" w:top="263" w:right="539" w:bottom="1440" w:gutter="0" w:footer="0" w:header="0"/>
        </w:sectPr>
      </w:pPr>
    </w:p>
    <w:bookmarkStart w:id="587" w:name="page588"/>
    <w:bookmarkEnd w:id="587"/>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78">
                      <a:extLst>
                        <a:ext uri="{28A0092B-C50C-407E-A947-70E740481C1C}"/>
                      </a:extLst>
                    </a:blip>
                    <a:srcRect/>
                    <a:stretch>
                      <a:fillRect/>
                    </a:stretch>
                  </pic:blipFill>
                  <pic:spPr bwMode="auto">
                    <a:xfrm>
                      <a:off x="0" y="0"/>
                      <a:ext cx="7150735" cy="24765"/>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Corporation and the Executive have executed this Agreement as of the date set forth above.</w:t>
      </w:r>
    </w:p>
    <w:p>
      <w:pPr>
        <w:spacing w:after="0" w:line="25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15875</wp:posOffset>
            </wp:positionV>
            <wp:extent cx="240030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15875</wp:posOffset>
            </wp:positionV>
            <wp:extent cx="240030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15875</wp:posOffset>
            </wp:positionV>
            <wp:extent cx="240030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290195</wp:posOffset>
            </wp:positionV>
            <wp:extent cx="276542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2">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[SIGNATURE PAGE TO EMPLOYMENT AGREEMENT]</w:t>
      </w:r>
    </w:p>
    <w:p>
      <w:pPr>
        <w:sectPr>
          <w:pgSz w:w="11900" w:h="16838" w:orient="portrait"/>
          <w:cols w:equalWidth="0" w:num="1">
            <w:col w:w="9539"/>
          </w:cols>
          <w:pgMar w:left="920" w:top="263" w:right="1440" w:bottom="1440" w:gutter="0" w:footer="0" w:header="0"/>
        </w:sectPr>
      </w:pPr>
    </w:p>
    <w:bookmarkStart w:id="588" w:name="page589"/>
    <w:bookmarkEnd w:id="588"/>
    <w:tbl>
      <w:tblPr>
        <w:tblLayout w:type="fixed"/>
        <w:tblInd w:w="0" w:type="dxa"/>
        <w:tblCellMar>
          <w:top w:w="0" w:type="dxa"/>
          <w:left w:w="0" w:type="dxa"/>
          <w:bottom w:w="0" w:type="dxa"/>
          <w:right w:w="0" w:type="dxa"/>
        </w:tblCellMar>
      </w:tblPr>
      <w:tr>
        <w:trPr>
          <w:trHeight w:val="237"/>
        </w:trPr>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80" w:type="dxa"/>
            <w:vAlign w:val="bottom"/>
          </w:tcPr>
          <w:p>
            <w:pPr>
              <w:ind w:left="2340"/>
              <w:spacing w:after="0"/>
              <w:rPr>
                <w:sz w:val="20"/>
                <w:szCs w:val="20"/>
                <w:color w:val="auto"/>
              </w:rPr>
            </w:pPr>
            <w:r>
              <w:rPr>
                <w:rFonts w:ascii="Times New Roman" w:cs="Times New Roman" w:eastAsia="Times New Roman" w:hAnsi="Times New Roman"/>
                <w:sz w:val="18"/>
                <w:szCs w:val="18"/>
                <w:b w:val="1"/>
                <w:bCs w:val="1"/>
                <w:color w:val="auto"/>
                <w:w w:val="96"/>
              </w:rPr>
              <w:t>Exhibit A</w:t>
            </w:r>
          </w:p>
        </w:tc>
      </w:tr>
      <w:tr>
        <w:trPr>
          <w:trHeight w:val="427"/>
        </w:trPr>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GENERAL RELEASE OF ALL CLAIMS</w:t>
            </w:r>
          </w:p>
        </w:tc>
      </w:tr>
      <w:tr>
        <w:trPr>
          <w:trHeight w:val="387"/>
        </w:trPr>
        <w:tc>
          <w:tcPr>
            <w:tcW w:w="630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This General Release of all Claims (this “Agreement”) is entered into by [</w:t>
            </w:r>
          </w:p>
        </w:tc>
        <w:tc>
          <w:tcPr>
            <w:tcW w:w="4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(the “Executive”) and GoodRx, Inc., a Delaware</w:t>
            </w:r>
          </w:p>
        </w:tc>
      </w:tr>
      <w:tr>
        <w:trPr>
          <w:trHeight w:val="20"/>
        </w:trPr>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4"/>
        </w:trPr>
        <w:tc>
          <w:tcPr>
            <w:tcW w:w="36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corporation (the “Corporation”), effective as of [</w:t>
            </w:r>
          </w:p>
        </w:tc>
        <w:tc>
          <w:tcPr>
            <w:tcW w:w="560" w:type="dxa"/>
            <w:vAlign w:val="bottom"/>
          </w:tcPr>
          <w:p>
            <w:pPr>
              <w:spacing w:after="0"/>
              <w:rPr>
                <w:sz w:val="16"/>
                <w:szCs w:val="16"/>
                <w:color w:val="auto"/>
              </w:rPr>
            </w:pPr>
          </w:p>
        </w:tc>
        <w:tc>
          <w:tcPr>
            <w:tcW w:w="6700" w:type="dxa"/>
            <w:vAlign w:val="bottom"/>
            <w:gridSpan w:val="4"/>
          </w:tcPr>
          <w:p>
            <w:pPr>
              <w:ind w:left="140"/>
              <w:spacing w:after="0" w:line="194" w:lineRule="exact"/>
              <w:rPr>
                <w:sz w:val="20"/>
                <w:szCs w:val="20"/>
                <w:color w:val="auto"/>
              </w:rPr>
            </w:pPr>
            <w:r>
              <w:rPr>
                <w:rFonts w:ascii="Times New Roman" w:cs="Times New Roman" w:eastAsia="Times New Roman" w:hAnsi="Times New Roman"/>
                <w:sz w:val="18"/>
                <w:szCs w:val="18"/>
                <w:color w:val="auto"/>
                <w:w w:val="99"/>
              </w:rPr>
              <w:t>], but subject to the Executive’s right to revoke as set forth in Section 3(c). In consideration</w:t>
            </w:r>
          </w:p>
        </w:tc>
      </w:tr>
      <w:tr>
        <w:trPr>
          <w:trHeight w:val="20"/>
        </w:trPr>
        <w:tc>
          <w:tcPr>
            <w:tcW w:w="1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34"/>
        </w:trPr>
        <w:tc>
          <w:tcPr>
            <w:tcW w:w="6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the promises set forth herein, the Executive and the Corporation agree as follows:</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80" w:type="dxa"/>
            <w:vAlign w:val="bottom"/>
          </w:tcPr>
          <w:p>
            <w:pPr>
              <w:spacing w:after="0"/>
              <w:rPr>
                <w:sz w:val="20"/>
                <w:szCs w:val="20"/>
                <w:color w:val="auto"/>
              </w:rPr>
            </w:pPr>
          </w:p>
        </w:tc>
      </w:tr>
    </w:tbl>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ind w:right="40" w:firstLine="430"/>
        <w:spacing w:after="0" w:line="259" w:lineRule="auto"/>
        <w:tabs>
          <w:tab w:leader="none" w:pos="747" w:val="left"/>
        </w:tabs>
        <w:numPr>
          <w:ilvl w:val="0"/>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and Return of Property</w:t>
      </w:r>
      <w:r>
        <w:rPr>
          <w:rFonts w:ascii="Times New Roman" w:cs="Times New Roman" w:eastAsia="Times New Roman" w:hAnsi="Times New Roman"/>
          <w:sz w:val="18"/>
          <w:szCs w:val="18"/>
          <w:color w:val="auto"/>
        </w:rPr>
        <w:t>. The Executive’s employment with the Corporation in any capacity has terminated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[Separation Date]. All files, access keys and codes, desk keys, ID badges, computers, records, manuals, electronic devices, computer programs, papers, electronically stored information or documents, telephones and credit cards, and any other property of the Corporation or any affiliate thereof previously in the Employee’s possession or control has been returned to the Corporation [or will be returned on or before the Separation Date].</w:t>
      </w:r>
    </w:p>
    <w:p>
      <w:pPr>
        <w:spacing w:after="0" w:line="175" w:lineRule="exact"/>
        <w:rPr>
          <w:rFonts w:ascii="Times New Roman" w:cs="Times New Roman" w:eastAsia="Times New Roman" w:hAnsi="Times New Roman"/>
          <w:sz w:val="18"/>
          <w:szCs w:val="18"/>
          <w:b w:val="1"/>
          <w:bCs w:val="1"/>
          <w:color w:val="auto"/>
        </w:rPr>
      </w:pPr>
    </w:p>
    <w:p>
      <w:pPr>
        <w:ind w:left="740" w:hanging="310"/>
        <w:spacing w:after="0"/>
        <w:tabs>
          <w:tab w:leader="none" w:pos="740" w:val="left"/>
        </w:tabs>
        <w:numPr>
          <w:ilvl w:val="0"/>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Severance</w:t>
      </w:r>
      <w:r>
        <w:rPr>
          <w:rFonts w:ascii="Times New Roman" w:cs="Times New Roman" w:eastAsia="Times New Roman" w:hAnsi="Times New Roman"/>
          <w:sz w:val="18"/>
          <w:szCs w:val="18"/>
          <w:color w:val="auto"/>
        </w:rPr>
        <w:t>. The Corporation shall pay to the Executive the Severance Benefit (as defined in that certain Amended and Restated Employment</w:t>
      </w:r>
    </w:p>
    <w:p>
      <w:pPr>
        <w:spacing w:after="0" w:line="29" w:lineRule="exact"/>
        <w:rPr>
          <w:rFonts w:ascii="Times New Roman" w:cs="Times New Roman" w:eastAsia="Times New Roman" w:hAnsi="Times New Roman"/>
          <w:sz w:val="18"/>
          <w:szCs w:val="18"/>
          <w:b w:val="1"/>
          <w:bCs w:val="1"/>
          <w:color w:val="auto"/>
        </w:rPr>
      </w:pPr>
    </w:p>
    <w:p>
      <w:pPr>
        <w:ind w:right="1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Agreement between the Corporation and the Executive dated as of [ ], 2020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in accordance with, and subject to, the provisions of the Employment Agreement.</w:t>
      </w:r>
    </w:p>
    <w:p>
      <w:pPr>
        <w:spacing w:after="0" w:line="285" w:lineRule="exact"/>
        <w:rPr>
          <w:rFonts w:ascii="Times New Roman" w:cs="Times New Roman" w:eastAsia="Times New Roman" w:hAnsi="Times New Roman"/>
          <w:sz w:val="18"/>
          <w:szCs w:val="18"/>
          <w:b w:val="1"/>
          <w:bCs w:val="1"/>
          <w:color w:val="auto"/>
        </w:rPr>
      </w:pPr>
    </w:p>
    <w:p>
      <w:pPr>
        <w:ind w:left="740" w:hanging="310"/>
        <w:spacing w:after="0"/>
        <w:tabs>
          <w:tab w:leader="none" w:pos="740" w:val="left"/>
        </w:tabs>
        <w:numPr>
          <w:ilvl w:val="0"/>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Release and Waiver of Claims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b w:val="1"/>
          <w:bCs w:val="1"/>
          <w:color w:val="auto"/>
        </w:rPr>
      </w:pPr>
    </w:p>
    <w:p>
      <w:pPr>
        <w:ind w:right="60" w:firstLine="975"/>
        <w:spacing w:after="0" w:line="250" w:lineRule="auto"/>
        <w:tabs>
          <w:tab w:leader="none" w:pos="1357"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 By Executive</w:t>
      </w:r>
      <w:r>
        <w:rPr>
          <w:rFonts w:ascii="Times New Roman" w:cs="Times New Roman" w:eastAsia="Times New Roman" w:hAnsi="Times New Roman"/>
          <w:sz w:val="18"/>
          <w:szCs w:val="18"/>
          <w:color w:val="auto"/>
        </w:rPr>
        <w:t>. Having consulted with counsel, the Executive, on behalf of himself and each of his respective heirs,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executors, administrators, representatives, agents, insurers, successors and assigns (collectively, and including the Executive, the “</w:t>
      </w:r>
      <w:r>
        <w:rPr>
          <w:rFonts w:ascii="Times New Roman" w:cs="Times New Roman" w:eastAsia="Times New Roman" w:hAnsi="Times New Roman"/>
          <w:sz w:val="18"/>
          <w:szCs w:val="18"/>
          <w:u w:val="single" w:color="auto"/>
          <w:color w:val="auto"/>
        </w:rPr>
        <w:t>Releasors</w:t>
      </w:r>
      <w:r>
        <w:rPr>
          <w:rFonts w:ascii="Times New Roman" w:cs="Times New Roman" w:eastAsia="Times New Roman" w:hAnsi="Times New Roman"/>
          <w:sz w:val="18"/>
          <w:szCs w:val="18"/>
          <w:color w:val="auto"/>
        </w:rPr>
        <w:t>”) hereby irrevocably and unconditionally releases and forever discharges the Corporation, its parents (including GoodRx Holdings, Inc.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subsidiaries and affiliates and each of their respective officers, employees, directors, members, shareholders, parents, subsidiaries and agents (collectively,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from any and all claims, actions, causes of action, rights, judgments, obligations, damages, demands, accountings or liabilities of whatever kind or character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which the Executive now has or may hereafter have against the Releasees, or any of them, by reason of any matter, cause, or thing whatsoever from the beginning of time to the date hereof (including, without limitation, any Claims under any federal, state, local or foreign law that they may have, or in the future may possess, arising out of the Executive’s employment relationship with and service as an employee, officer or director of the Corporation, its parent entity (including Holdings) or any other subsidiaries of such parent entity, and the termination of such relationship or service);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Executive does not release, discharge or waive any rights to (i) payments and benefits provided under this Agreement or under any other agreement between Executive and any of the Releasees that would, by their nature, survive the termination of employment, (ii) equity and other securities of Holdings or rights under agreements with any of the Releasees related to the Executive’s equity securities of Holdings, (iii) benefit claims under any employee benefit plans in which Executive is a participant by virtue of his employment with the Corporation arising after the execution of this Agreement by Executive, (iv) any indemnification,</w:t>
      </w:r>
    </w:p>
    <w:p>
      <w:pPr>
        <w:sectPr>
          <w:pgSz w:w="11900" w:h="16838" w:orient="portrait"/>
          <w:cols w:equalWidth="0" w:num="1">
            <w:col w:w="10900"/>
          </w:cols>
          <w:pgMar w:left="500" w:top="264" w:right="499" w:bottom="1440" w:gutter="0" w:footer="0" w:header="0"/>
        </w:sectPr>
      </w:pPr>
    </w:p>
    <w:bookmarkStart w:id="589" w:name="page590"/>
    <w:bookmarkEnd w:id="589"/>
    <w:p>
      <w:pPr>
        <w:ind w:left="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84">
                      <a:extLst>
                        <a:ext uri="{28A0092B-C50C-407E-A947-70E740481C1C}"/>
                      </a:extLst>
                    </a:blip>
                    <a:srcRect/>
                    <a:stretch>
                      <a:fillRect/>
                    </a:stretch>
                  </pic:blipFill>
                  <pic:spPr bwMode="auto">
                    <a:xfrm>
                      <a:off x="0" y="0"/>
                      <a:ext cx="7150735" cy="24765"/>
                    </a:xfrm>
                    <a:prstGeom prst="rect">
                      <a:avLst/>
                    </a:prstGeom>
                    <a:noFill/>
                  </pic:spPr>
                </pic:pic>
              </a:graphicData>
            </a:graphic>
          </wp:anchor>
        </w:drawing>
        <w:t>advance or reimbursement rights the Executive may have in accordance with applicable law, indemnification agreements, certificate of incorporation or bylaws of Corporation, or under any director and officer liability insurance or other insurance maintained by the Corporation or a parent entity with respect to liabilities arising as a result of the Executive’s service as an officer and employee of such entities, and (v) claims that cannot be waived by an employee under applicable law. This Paragraph 3(a) does not apply to any Claims that the Executive may have as of the date the Executive signs this Agreement arising under the Federal Age Discrimination in Employment Act of 1967, as amended, and the applicable rules and regulations promulgated thereunder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or any other claims that may not be released as a matter of law. Claims arising under ADEA are addressed in Paragraph 3(c) of this Agreement.</w:t>
      </w:r>
    </w:p>
    <w:p>
      <w:pPr>
        <w:spacing w:after="0" w:line="185" w:lineRule="exact"/>
        <w:rPr>
          <w:sz w:val="20"/>
          <w:szCs w:val="20"/>
          <w:color w:val="auto"/>
        </w:rPr>
      </w:pPr>
    </w:p>
    <w:p>
      <w:pPr>
        <w:ind w:left="6" w:right="20" w:firstLine="975"/>
        <w:spacing w:after="0" w:line="254" w:lineRule="auto"/>
        <w:tabs>
          <w:tab w:leader="none" w:pos="1373"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Unknown Claim</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The Executive acknowledges that he may hereafter discover Claims or facts in addition to or different from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Executive now knows or believes to exist with respect to the subject matter of this release and which, if known or suspected at the time of executing this release, may have materially affected this release or the Executive’s decision to enter into it. Nevertheless, the Executive hereby waives any right or Claim that might arise as a result of such different or additional Claims or facts. In addition, the Executive, on behalf of himself and the other Releasors, hereby waives any and all rights and benefits conferred upon him and the other Releasors by the provisions of Section 1542 of the Civil Code of the State of California, which provides as follows:</w:t>
      </w:r>
    </w:p>
    <w:p>
      <w:pPr>
        <w:spacing w:after="0" w:line="79" w:lineRule="exact"/>
        <w:rPr>
          <w:sz w:val="20"/>
          <w:szCs w:val="20"/>
          <w:color w:val="auto"/>
        </w:rPr>
      </w:pPr>
    </w:p>
    <w:p>
      <w:pPr>
        <w:ind w:left="986" w:right="140"/>
        <w:spacing w:after="0" w:line="257"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8" w:lineRule="exact"/>
        <w:rPr>
          <w:sz w:val="20"/>
          <w:szCs w:val="20"/>
          <w:color w:val="auto"/>
        </w:rPr>
      </w:pPr>
    </w:p>
    <w:p>
      <w:pPr>
        <w:ind w:left="6" w:right="100" w:firstLine="975"/>
        <w:spacing w:after="0" w:line="266" w:lineRule="auto"/>
        <w:tabs>
          <w:tab w:leader="none" w:pos="1363" w:val="left"/>
        </w:tabs>
        <w:numPr>
          <w:ilvl w:val="1"/>
          <w:numId w:val="4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Specific Release of ADEA Claims</w:t>
      </w:r>
      <w:r>
        <w:rPr>
          <w:rFonts w:ascii="Times New Roman" w:cs="Times New Roman" w:eastAsia="Times New Roman" w:hAnsi="Times New Roman"/>
          <w:sz w:val="17"/>
          <w:szCs w:val="17"/>
          <w:color w:val="auto"/>
        </w:rPr>
        <w:t>. In further consideration of the payments and benefits provided to the Executive under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the Executive, on behalf of himself and the other Releasors, hereby unconditionally releases and forever discharges the Releasees from any and all Claims arising under ADEA that the Releasors may have as of the date the Executive signs this Agreement. By signing this Agreement, the Executive hereby acknowledges and confirms the following: (i) the Executive was advised by the Corporation in connection with his termination to consult with an attorney of his choice prior to signing this Agreement and to have such attorney explain to the Executive the terms of this Agreement, including, without limitation, the terms relating to the Executive’s release of claims arising under ADEA; (ii) the Executive was given a period of not fewer than [twenty-one (21)] days to consider the terms of this Agreement and to consult with an attorney of his/her choosing with respect thereto;</w:t>
      </w:r>
    </w:p>
    <w:p>
      <w:pPr>
        <w:spacing w:after="0" w:line="2" w:lineRule="exact"/>
        <w:rPr>
          <w:rFonts w:ascii="Times New Roman" w:cs="Times New Roman" w:eastAsia="Times New Roman" w:hAnsi="Times New Roman"/>
          <w:sz w:val="17"/>
          <w:szCs w:val="17"/>
          <w:color w:val="auto"/>
        </w:rPr>
      </w:pPr>
    </w:p>
    <w:p>
      <w:pPr>
        <w:ind w:left="6" w:right="80" w:hanging="6"/>
        <w:spacing w:after="0" w:line="249" w:lineRule="auto"/>
        <w:tabs>
          <w:tab w:leader="none" w:pos="318"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read the terms of this Agreement, the Executive understands its terms and effects, and the Executive knowingly and voluntarily accepts the terms of this Agreement; and (iv) the Executive is providing this release and discharge only in exchange for consideration in addition to anything of value to which the Executive is already entitled, and acknowledges such consideration is adequate and satisfactory to the Executive. The Executive also understands that he has seven days following the date on which he signs this Agreement within which to revoke the release contained in this paragraph, by providing the Corporation with a written notice of his revocation of the release and waiver contained in this paragraph. Any revocation must be in writing and sent to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via electronic mail at [</w:t>
      </w:r>
      <w:r>
        <w:rPr>
          <w:rFonts w:ascii="Times New Roman" w:cs="Times New Roman" w:eastAsia="Times New Roman" w:hAnsi="Times New Roman"/>
          <w:sz w:val="18"/>
          <w:szCs w:val="18"/>
          <w:i w:val="1"/>
          <w:iCs w:val="1"/>
          <w:color w:val="auto"/>
        </w:rPr>
        <w:t>email address</w:t>
      </w:r>
      <w:r>
        <w:rPr>
          <w:rFonts w:ascii="Times New Roman" w:cs="Times New Roman" w:eastAsia="Times New Roman" w:hAnsi="Times New Roman"/>
          <w:sz w:val="18"/>
          <w:szCs w:val="18"/>
          <w:color w:val="auto"/>
        </w:rPr>
        <w:t>], on or before [5:00 p.m. Pacific time] on the seventh day after this Agreement is executed by the Executive.</w:t>
      </w:r>
    </w:p>
    <w:p>
      <w:pPr>
        <w:spacing w:after="0" w:line="12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6"/>
          </w:cols>
          <w:pgMar w:left="494" w:top="267" w:right="519" w:bottom="1440" w:gutter="0" w:footer="0" w:header="0"/>
        </w:sectPr>
      </w:pPr>
    </w:p>
    <w:bookmarkStart w:id="590" w:name="page591"/>
    <w:bookmarkEnd w:id="590"/>
    <w:p>
      <w:pPr>
        <w:jc w:val="both"/>
        <w:ind w:left="6" w:right="240" w:firstLine="975"/>
        <w:spacing w:after="0" w:line="265" w:lineRule="auto"/>
        <w:tabs>
          <w:tab w:leader="none" w:pos="1373" w:val="left"/>
        </w:tabs>
        <w:numPr>
          <w:ilvl w:val="2"/>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 Assignment</w:t>
      </w:r>
      <w:r>
        <w:rPr>
          <w:rFonts w:ascii="Times New Roman" w:cs="Times New Roman" w:eastAsia="Times New Roman" w:hAnsi="Times New Roman"/>
          <w:sz w:val="18"/>
          <w:szCs w:val="18"/>
          <w:color w:val="auto"/>
        </w:rPr>
        <w:t>. The Executive represents and warrants that he has not assigned or otherwise transferred any of the Claims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released under this Agreement. The Corporation may assign this Agreement, in whole or in part, to any affiliated entity, including subsidiaries of the Corporation, or any successor in interest to the Corporation.</w:t>
      </w:r>
    </w:p>
    <w:p>
      <w:pPr>
        <w:spacing w:after="0" w:line="276" w:lineRule="exact"/>
        <w:rPr>
          <w:rFonts w:ascii="Times New Roman" w:cs="Times New Roman" w:eastAsia="Times New Roman" w:hAnsi="Times New Roman"/>
          <w:sz w:val="18"/>
          <w:szCs w:val="18"/>
          <w:color w:val="auto"/>
        </w:rPr>
      </w:pPr>
    </w:p>
    <w:p>
      <w:pPr>
        <w:ind w:left="746" w:hanging="310"/>
        <w:spacing w:after="0"/>
        <w:tabs>
          <w:tab w:leader="none" w:pos="746" w:val="left"/>
        </w:tabs>
        <w:numPr>
          <w:ilvl w:val="1"/>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Proceedings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b w:val="1"/>
          <w:bCs w:val="1"/>
          <w:color w:val="auto"/>
        </w:rPr>
      </w:pPr>
    </w:p>
    <w:p>
      <w:pPr>
        <w:ind w:left="6" w:right="20" w:firstLine="975"/>
        <w:spacing w:after="0" w:line="254" w:lineRule="auto"/>
        <w:tabs>
          <w:tab w:leader="none" w:pos="1363" w:val="left"/>
        </w:tabs>
        <w:numPr>
          <w:ilvl w:val="2"/>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 Agreement Relating to Proceedings</w:t>
      </w:r>
      <w:r>
        <w:rPr>
          <w:rFonts w:ascii="Times New Roman" w:cs="Times New Roman" w:eastAsia="Times New Roman" w:hAnsi="Times New Roman"/>
          <w:sz w:val="18"/>
          <w:szCs w:val="18"/>
          <w:color w:val="auto"/>
        </w:rPr>
        <w:t>. The Executive has not filed, and except as provided in Paragraphs 4(b) and 4(c),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agrees not to initiate or cause to be initiated on his behalf, any complaint, charge, claim or proceeding that is released hereunder against any party released herein before any local, state or federal agency, court or other body, other than with respect to the obligations of the Corporation or any other party released herein to the Executive under this Agreement or any indemnification or other rights the Executive may have as listed in Paragraph 3(a) (each, individually,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and agrees not to participate voluntarily in any Proceeding. The Executive waives any right he may have to benefit in any manner from any relief (whether monetary or otherwise) arising out of any Proceeding.</w:t>
      </w:r>
    </w:p>
    <w:p>
      <w:pPr>
        <w:spacing w:after="0" w:line="181" w:lineRule="exact"/>
        <w:rPr>
          <w:rFonts w:ascii="Times New Roman" w:cs="Times New Roman" w:eastAsia="Times New Roman" w:hAnsi="Times New Roman"/>
          <w:sz w:val="18"/>
          <w:szCs w:val="18"/>
          <w:color w:val="auto"/>
        </w:rPr>
      </w:pPr>
    </w:p>
    <w:p>
      <w:pPr>
        <w:jc w:val="both"/>
        <w:ind w:left="6" w:firstLine="975"/>
        <w:spacing w:after="0" w:line="259" w:lineRule="auto"/>
        <w:tabs>
          <w:tab w:leader="none" w:pos="1373" w:val="left"/>
        </w:tabs>
        <w:numPr>
          <w:ilvl w:val="2"/>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Proceedings Under ADEA</w:t>
      </w:r>
      <w:r>
        <w:rPr>
          <w:rFonts w:ascii="Times New Roman" w:cs="Times New Roman" w:eastAsia="Times New Roman" w:hAnsi="Times New Roman"/>
          <w:sz w:val="18"/>
          <w:szCs w:val="18"/>
          <w:color w:val="auto"/>
        </w:rPr>
        <w:t>. Paragraph 4(a) shall not preclude the Executive from filing any complaint, charge, claim or proceeding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challenging the validity of the Executive waiver of Claims arising under ADEA (which is set forth in Paragraph 3(c) of this Agreement). However, both the Executive and the Corporation confirm their belief that the Executive’s waiver of claims under ADEA is valid and enforceable, and that their intention is that all claims under ADEA will be waived.</w:t>
      </w:r>
    </w:p>
    <w:p>
      <w:pPr>
        <w:spacing w:after="0" w:line="175" w:lineRule="exact"/>
        <w:rPr>
          <w:rFonts w:ascii="Times New Roman" w:cs="Times New Roman" w:eastAsia="Times New Roman" w:hAnsi="Times New Roman"/>
          <w:sz w:val="18"/>
          <w:szCs w:val="18"/>
          <w:color w:val="auto"/>
        </w:rPr>
      </w:pPr>
    </w:p>
    <w:p>
      <w:pPr>
        <w:ind w:left="6" w:right="160" w:firstLine="975"/>
        <w:spacing w:after="0" w:line="256" w:lineRule="auto"/>
        <w:tabs>
          <w:tab w:leader="none" w:pos="1363" w:val="left"/>
        </w:tabs>
        <w:numPr>
          <w:ilvl w:val="2"/>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Administrative Proceedings</w:t>
      </w:r>
      <w:r>
        <w:rPr>
          <w:rFonts w:ascii="Times New Roman" w:cs="Times New Roman" w:eastAsia="Times New Roman" w:hAnsi="Times New Roman"/>
          <w:sz w:val="18"/>
          <w:szCs w:val="18"/>
          <w:color w:val="auto"/>
        </w:rPr>
        <w:t>. In addition, Paragraph 4(a) shall not preclude the Executive from filing a charge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participating in any administrative investigation or proceeding by, the Equal Employment Opportunity Commission or another fair employment practices agency. The Executive is, however, waiving his right to recover money in connection with any such charge or investigation to the extent released hereunder. The Executive is also waiving his right to recover money in connection with a charge filed by any other entity or individual, or by any federal, state or local agency to the extent released hereunder.</w:t>
      </w:r>
    </w:p>
    <w:p>
      <w:pPr>
        <w:spacing w:after="0" w:line="178" w:lineRule="exact"/>
        <w:rPr>
          <w:rFonts w:ascii="Times New Roman" w:cs="Times New Roman" w:eastAsia="Times New Roman" w:hAnsi="Times New Roman"/>
          <w:sz w:val="18"/>
          <w:szCs w:val="18"/>
          <w:color w:val="auto"/>
        </w:rPr>
      </w:pPr>
    </w:p>
    <w:p>
      <w:pPr>
        <w:ind w:left="6" w:right="80" w:firstLine="430"/>
        <w:spacing w:after="0" w:line="271" w:lineRule="auto"/>
        <w:tabs>
          <w:tab w:leader="none" w:pos="753" w:val="left"/>
        </w:tabs>
        <w:numPr>
          <w:ilvl w:val="1"/>
          <w:numId w:val="4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Exceptions</w:t>
      </w:r>
      <w:r>
        <w:rPr>
          <w:rFonts w:ascii="Times New Roman" w:cs="Times New Roman" w:eastAsia="Times New Roman" w:hAnsi="Times New Roman"/>
          <w:sz w:val="17"/>
          <w:szCs w:val="17"/>
          <w:color w:val="auto"/>
        </w:rPr>
        <w:t>. Notwithstanding anything in this Agreement to the contrary, nothing contained in this Agreement shall prohibit the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(i) 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and/or</w:t>
      </w:r>
    </w:p>
    <w:p>
      <w:pPr>
        <w:spacing w:after="0" w:line="1" w:lineRule="exact"/>
        <w:rPr>
          <w:rFonts w:ascii="Times New Roman" w:cs="Times New Roman" w:eastAsia="Times New Roman" w:hAnsi="Times New Roman"/>
          <w:sz w:val="17"/>
          <w:szCs w:val="17"/>
          <w:b w:val="1"/>
          <w:bCs w:val="1"/>
          <w:color w:val="auto"/>
        </w:rPr>
      </w:pPr>
    </w:p>
    <w:p>
      <w:pPr>
        <w:ind w:left="6" w:right="60" w:hanging="6"/>
        <w:spacing w:after="0" w:line="250" w:lineRule="auto"/>
        <w:tabs>
          <w:tab w:leader="none" w:pos="268"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directly with, cooperating with, or providing information (including trade secrets) in confidence to, any federal, state or local government regulator (including, but not limited to, the U.S. Securities and Exchange Commission, the U.S. Commodity Futures Trading Commission, or the U.S. Department of Justice) for the purpose of reporting or investigating a suspected violation of law, or from providing such information to the Executive’s attorney or in a sealed complaint or other document filed in a lawsuit or other governmental proceeding.</w:t>
      </w:r>
    </w:p>
    <w:p>
      <w:pPr>
        <w:spacing w:after="0" w:line="121" w:lineRule="exact"/>
        <w:rPr>
          <w:sz w:val="20"/>
          <w:szCs w:val="20"/>
          <w:color w:val="auto"/>
        </w:rPr>
      </w:pPr>
    </w:p>
    <w:p>
      <w:pPr>
        <w:jc w:val="center"/>
        <w:ind w:right="-6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26"/>
          </w:cols>
          <w:pgMar w:left="494" w:top="264" w:right="579" w:bottom="1440" w:gutter="0" w:footer="0" w:header="0"/>
        </w:sectPr>
      </w:pPr>
    </w:p>
    <w:bookmarkStart w:id="591" w:name="page592"/>
    <w:bookmarkEnd w:id="591"/>
    <w:p>
      <w:pPr>
        <w:ind w:right="1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Pursuant to 18 USC Section 1833(b), the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w:t>
      </w:r>
    </w:p>
    <w:p>
      <w:pPr>
        <w:spacing w:after="0" w:line="178" w:lineRule="exact"/>
        <w:rPr>
          <w:sz w:val="20"/>
          <w:szCs w:val="20"/>
          <w:color w:val="auto"/>
        </w:rPr>
      </w:pPr>
    </w:p>
    <w:p>
      <w:pPr>
        <w:ind w:right="300" w:firstLine="430"/>
        <w:spacing w:after="0" w:line="282" w:lineRule="auto"/>
        <w:tabs>
          <w:tab w:leader="none" w:pos="747" w:val="left"/>
        </w:tabs>
        <w:numPr>
          <w:ilvl w:val="0"/>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 Clause</w:t>
      </w:r>
      <w:r>
        <w:rPr>
          <w:rFonts w:ascii="Times New Roman" w:cs="Times New Roman" w:eastAsia="Times New Roman" w:hAnsi="Times New Roman"/>
          <w:sz w:val="18"/>
          <w:szCs w:val="18"/>
          <w:color w:val="auto"/>
        </w:rPr>
        <w:t>. In the event that any provision or part of this Agreement is found to be invalid or unenforceable, only that particular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or part so found, and not the entire Agreement, shall be inoperative.</w:t>
      </w:r>
    </w:p>
    <w:p>
      <w:pPr>
        <w:spacing w:after="0" w:line="154" w:lineRule="exact"/>
        <w:rPr>
          <w:rFonts w:ascii="Times New Roman" w:cs="Times New Roman" w:eastAsia="Times New Roman" w:hAnsi="Times New Roman"/>
          <w:sz w:val="18"/>
          <w:szCs w:val="18"/>
          <w:b w:val="1"/>
          <w:bCs w:val="1"/>
          <w:color w:val="auto"/>
        </w:rPr>
      </w:pPr>
    </w:p>
    <w:p>
      <w:pPr>
        <w:ind w:right="140" w:firstLine="430"/>
        <w:spacing w:after="0" w:line="282" w:lineRule="auto"/>
        <w:tabs>
          <w:tab w:leader="none" w:pos="747" w:val="left"/>
        </w:tabs>
        <w:numPr>
          <w:ilvl w:val="0"/>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Nonadmission</w:t>
      </w:r>
      <w:r>
        <w:rPr>
          <w:rFonts w:ascii="Times New Roman" w:cs="Times New Roman" w:eastAsia="Times New Roman" w:hAnsi="Times New Roman"/>
          <w:sz w:val="18"/>
          <w:szCs w:val="18"/>
          <w:color w:val="auto"/>
        </w:rPr>
        <w:t>. Nothing contained in this Agreement shall be deemed or construed as an admission of wrongdoing or liability on the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or Executive.</w:t>
      </w:r>
    </w:p>
    <w:p>
      <w:pPr>
        <w:spacing w:after="0" w:line="154" w:lineRule="exact"/>
        <w:rPr>
          <w:rFonts w:ascii="Times New Roman" w:cs="Times New Roman" w:eastAsia="Times New Roman" w:hAnsi="Times New Roman"/>
          <w:sz w:val="18"/>
          <w:szCs w:val="18"/>
          <w:b w:val="1"/>
          <w:bCs w:val="1"/>
          <w:color w:val="auto"/>
        </w:rPr>
      </w:pPr>
    </w:p>
    <w:p>
      <w:pPr>
        <w:ind w:firstLine="430"/>
        <w:spacing w:after="0" w:line="265" w:lineRule="auto"/>
        <w:tabs>
          <w:tab w:leader="none" w:pos="747" w:val="left"/>
        </w:tabs>
        <w:numPr>
          <w:ilvl w:val="0"/>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and Forum</w:t>
      </w:r>
      <w:r>
        <w:rPr>
          <w:rFonts w:ascii="Times New Roman" w:cs="Times New Roman" w:eastAsia="Times New Roman" w:hAnsi="Times New Roman"/>
          <w:sz w:val="18"/>
          <w:szCs w:val="18"/>
          <w:color w:val="auto"/>
        </w:rPr>
        <w:t>. This Agreement and all matters or issues arising out of or relating to this Agreement shall be governed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California applicable to contracts entered into and performed entirely therein. Any action to enforce this Agreement shall be brought solely Los Angeles, California.</w:t>
      </w:r>
    </w:p>
    <w:p>
      <w:pPr>
        <w:spacing w:after="0" w:line="169" w:lineRule="exact"/>
        <w:rPr>
          <w:rFonts w:ascii="Times New Roman" w:cs="Times New Roman" w:eastAsia="Times New Roman" w:hAnsi="Times New Roman"/>
          <w:sz w:val="18"/>
          <w:szCs w:val="18"/>
          <w:b w:val="1"/>
          <w:bCs w:val="1"/>
          <w:color w:val="auto"/>
        </w:rPr>
      </w:pPr>
    </w:p>
    <w:p>
      <w:pPr>
        <w:ind w:right="20" w:firstLine="430"/>
        <w:spacing w:after="0" w:line="265" w:lineRule="auto"/>
        <w:tabs>
          <w:tab w:leader="none" w:pos="747" w:val="left"/>
        </w:tabs>
        <w:numPr>
          <w:ilvl w:val="0"/>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Arbitration</w:t>
      </w:r>
      <w:r>
        <w:rPr>
          <w:rFonts w:ascii="Times New Roman" w:cs="Times New Roman" w:eastAsia="Times New Roman" w:hAnsi="Times New Roman"/>
          <w:sz w:val="18"/>
          <w:szCs w:val="18"/>
          <w:color w:val="auto"/>
        </w:rPr>
        <w:t>. Any dispute or controversy arising under or in connection with this Agreement or otherwise in connection with the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by the Corporation that cannot be mutually resolved by the parties to this Agreement and their respective advisors and representatives shall be settled exclusively by arbitration in accordance with the provisions of Section 16 of the Employment Agreement.</w:t>
      </w:r>
    </w:p>
    <w:p>
      <w:pPr>
        <w:spacing w:after="0" w:line="169" w:lineRule="exact"/>
        <w:rPr>
          <w:rFonts w:ascii="Times New Roman" w:cs="Times New Roman" w:eastAsia="Times New Roman" w:hAnsi="Times New Roman"/>
          <w:sz w:val="18"/>
          <w:szCs w:val="18"/>
          <w:b w:val="1"/>
          <w:bCs w:val="1"/>
          <w:color w:val="auto"/>
        </w:rPr>
      </w:pPr>
    </w:p>
    <w:p>
      <w:pPr>
        <w:ind w:left="840" w:hanging="410"/>
        <w:spacing w:after="0"/>
        <w:tabs>
          <w:tab w:leader="none" w:pos="840" w:val="left"/>
        </w:tabs>
        <w:numPr>
          <w:ilvl w:val="0"/>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Notices under this Agreement must be given as is specified in Section 17 of the Employment Agreement.</w:t>
      </w:r>
    </w:p>
    <w:p>
      <w:pPr>
        <w:spacing w:after="0" w:line="118" w:lineRule="exact"/>
        <w:rPr>
          <w:sz w:val="20"/>
          <w:szCs w:val="20"/>
          <w:color w:val="auto"/>
        </w:rPr>
      </w:pPr>
    </w:p>
    <w:p>
      <w:pPr>
        <w:ind w:left="980" w:right="160"/>
        <w:spacing w:after="0" w:line="257" w:lineRule="auto"/>
        <w:rPr>
          <w:sz w:val="20"/>
          <w:szCs w:val="20"/>
          <w:color w:val="auto"/>
        </w:rPr>
      </w:pPr>
      <w:r>
        <w:rPr>
          <w:rFonts w:ascii="Times New Roman" w:cs="Times New Roman" w:eastAsia="Times New Roman" w:hAnsi="Times New Roman"/>
          <w:sz w:val="18"/>
          <w:szCs w:val="18"/>
          <w:color w:val="auto"/>
        </w:rPr>
        <w:t>THE EXECUTIVE ACKNOWLEDGES THAT HE HAS READ THIS AGREEMENT AND THAT HE FULLY KNOWS, UNDERSTANDS AND APPRECIATES ITS CONTENTS, AND THAT HE HEREBY EXECUTES THE SAME AND MAKES THIS AGREEMENT AND THE RELEASE AND AGREEMENTS PROVIDED FOR HEREIN VOLUNTARILY AND OF HIS OWN FREE WILL.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intentionally been left blank</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500" w:top="268" w:right="539" w:bottom="1440" w:gutter="0" w:footer="0" w:header="0"/>
        </w:sectPr>
      </w:pPr>
    </w:p>
    <w:bookmarkStart w:id="592" w:name="page593"/>
    <w:bookmarkEnd w:id="59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7">
                      <a:extLst>
                        <a:ext uri="{28A0092B-C50C-407E-A947-70E740481C1C}"/>
                      </a:extLst>
                    </a:blip>
                    <a:srcRect/>
                    <a:stretch>
                      <a:fillRect/>
                    </a:stretch>
                  </pic:blipFill>
                  <pic:spPr bwMode="auto">
                    <a:xfrm>
                      <a:off x="0" y="0"/>
                      <a:ext cx="7150735" cy="2476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dates set forth below.</w:t>
      </w:r>
    </w:p>
    <w:p>
      <w:pPr>
        <w:spacing w:after="0" w:line="24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15875</wp:posOffset>
            </wp:positionV>
            <wp:extent cx="240030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8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15875</wp:posOffset>
            </wp:positionV>
            <wp:extent cx="240030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8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15875</wp:posOffset>
            </wp:positionV>
            <wp:extent cx="240030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290195</wp:posOffset>
            </wp:positionV>
            <wp:extent cx="276542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1">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15875</wp:posOffset>
            </wp:positionV>
            <wp:extent cx="240030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0"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18"/>
          <w:szCs w:val="18"/>
          <w:color w:val="auto"/>
        </w:rPr>
        <w:t>[SIGNATURE PAGE TO GENERAL RELEASE OF ALL CLAIMS]</w:t>
      </w:r>
    </w:p>
    <w:p>
      <w:pPr>
        <w:sectPr>
          <w:pgSz w:w="11900" w:h="16838" w:orient="portrait"/>
          <w:cols w:equalWidth="0" w:num="1">
            <w:col w:w="9539"/>
          </w:cols>
          <w:pgMar w:left="920" w:top="263" w:right="1440" w:bottom="1440" w:gutter="0" w:footer="0" w:header="0"/>
        </w:sectPr>
      </w:pPr>
    </w:p>
    <w:bookmarkStart w:id="593" w:name="page594"/>
    <w:bookmarkEnd w:id="593"/>
    <w:p>
      <w:pPr>
        <w:jc w:val="right"/>
        <w:spacing w:after="0"/>
        <w:rPr>
          <w:sz w:val="20"/>
          <w:szCs w:val="20"/>
          <w:color w:val="auto"/>
        </w:rPr>
      </w:pPr>
      <w:r>
        <w:rPr>
          <w:rFonts w:ascii="Times New Roman" w:cs="Times New Roman" w:eastAsia="Times New Roman" w:hAnsi="Times New Roman"/>
          <w:sz w:val="18"/>
          <w:szCs w:val="18"/>
          <w:b w:val="1"/>
          <w:bCs w:val="1"/>
          <w:color w:val="auto"/>
        </w:rPr>
        <w:t>Exhibit 10.8.1</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EMPLOYMENT AGREEMENT</w:t>
      </w:r>
    </w:p>
    <w:p>
      <w:pPr>
        <w:spacing w:after="0" w:line="220" w:lineRule="exact"/>
        <w:rPr>
          <w:sz w:val="20"/>
          <w:szCs w:val="20"/>
          <w:color w:val="auto"/>
        </w:rPr>
      </w:pPr>
    </w:p>
    <w:p>
      <w:pPr>
        <w:ind w:left="6" w:right="2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THIS AMENDED AND RESTATED EMPLOYMENT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 2020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GoodRx, Inc.,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Andrew Slutsky, an individual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36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0"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b w:val="1"/>
          <w:bCs w:val="1"/>
          <w:color w:val="auto"/>
        </w:rPr>
        <w:t xml:space="preserve">THE PARTIES ENTER THIS AGREEMENT </w:t>
      </w:r>
      <w:r>
        <w:rPr>
          <w:rFonts w:ascii="Times New Roman" w:cs="Times New Roman" w:eastAsia="Times New Roman" w:hAnsi="Times New Roman"/>
          <w:sz w:val="18"/>
          <w:szCs w:val="18"/>
          <w:color w:val="auto"/>
        </w:rPr>
        <w:t>on the basis of the following facts, understandings and intentions:</w:t>
      </w:r>
    </w:p>
    <w:p>
      <w:pPr>
        <w:spacing w:after="0" w:line="224" w:lineRule="exact"/>
        <w:rPr>
          <w:sz w:val="20"/>
          <w:szCs w:val="20"/>
          <w:color w:val="auto"/>
        </w:rPr>
      </w:pPr>
    </w:p>
    <w:p>
      <w:pPr>
        <w:ind w:left="6" w:right="300" w:firstLine="430"/>
        <w:spacing w:after="0" w:line="277" w:lineRule="auto"/>
        <w:tabs>
          <w:tab w:leader="none" w:pos="790"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currently serves as the Corporation’s President, Consumer and the Executive currently is employed pursuant to that certain Employment Agreement, entered into as of October 7, 2015 (the “</w:t>
      </w:r>
      <w:r>
        <w:rPr>
          <w:rFonts w:ascii="Times New Roman" w:cs="Times New Roman" w:eastAsia="Times New Roman" w:hAnsi="Times New Roman"/>
          <w:sz w:val="18"/>
          <w:szCs w:val="18"/>
          <w:u w:val="single" w:color="auto"/>
          <w:color w:val="auto"/>
        </w:rPr>
        <w:t>Prior Employment Agreement</w:t>
      </w:r>
      <w:r>
        <w:rPr>
          <w:rFonts w:ascii="Times New Roman" w:cs="Times New Roman" w:eastAsia="Times New Roman" w:hAnsi="Times New Roman"/>
          <w:sz w:val="18"/>
          <w:szCs w:val="18"/>
          <w:color w:val="auto"/>
        </w:rPr>
        <w:t>”); and</w:t>
      </w:r>
    </w:p>
    <w:p>
      <w:pPr>
        <w:spacing w:after="0" w:line="163" w:lineRule="exact"/>
        <w:rPr>
          <w:rFonts w:ascii="Times New Roman" w:cs="Times New Roman" w:eastAsia="Times New Roman" w:hAnsi="Times New Roman"/>
          <w:sz w:val="18"/>
          <w:szCs w:val="18"/>
          <w:b w:val="1"/>
          <w:bCs w:val="1"/>
          <w:color w:val="auto"/>
        </w:rPr>
      </w:pPr>
    </w:p>
    <w:p>
      <w:pPr>
        <w:jc w:val="both"/>
        <w:ind w:left="6" w:right="60" w:firstLine="430"/>
        <w:spacing w:after="0" w:line="262" w:lineRule="auto"/>
        <w:tabs>
          <w:tab w:leader="none" w:pos="780"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and the Executive mutually desire that the Executive continue to be employed by the Corporation to carry out the duties and responsibilities described below, all on the terms and conditions hereinafter set forth, and to replace and supersede the Prior Employment Agreement, in any case, effective as of the Effective Date (as defined below).</w:t>
      </w:r>
    </w:p>
    <w:p>
      <w:pPr>
        <w:spacing w:after="0" w:line="173" w:lineRule="exact"/>
        <w:rPr>
          <w:sz w:val="20"/>
          <w:szCs w:val="20"/>
          <w:color w:val="auto"/>
        </w:rPr>
      </w:pPr>
    </w:p>
    <w:p>
      <w:pPr>
        <w:ind w:left="6" w:right="32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above recitals incorporated herein and the mutual covenants and promises contained herein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are hereby expressly acknowledged, the parties agree as follows:</w:t>
      </w:r>
    </w:p>
    <w:p>
      <w:pPr>
        <w:spacing w:after="0" w:line="262" w:lineRule="exact"/>
        <w:rPr>
          <w:sz w:val="20"/>
          <w:szCs w:val="20"/>
          <w:color w:val="auto"/>
        </w:rPr>
      </w:pPr>
    </w:p>
    <w:p>
      <w:pPr>
        <w:ind w:left="306" w:hanging="306"/>
        <w:spacing w:after="0"/>
        <w:tabs>
          <w:tab w:leader="none" w:pos="306" w:val="left"/>
        </w:tabs>
        <w:numPr>
          <w:ilvl w:val="0"/>
          <w:numId w:val="5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Employment and Duties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right="20" w:firstLine="981"/>
        <w:spacing w:after="0" w:line="265"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Employment</w:t>
      </w:r>
      <w:r>
        <w:rPr>
          <w:rFonts w:ascii="Times New Roman" w:cs="Times New Roman" w:eastAsia="Times New Roman" w:hAnsi="Times New Roman"/>
          <w:sz w:val="18"/>
          <w:szCs w:val="18"/>
          <w:color w:val="auto"/>
        </w:rPr>
        <w:t>. The Corporation does hereby continue to employ the Executive on an at-will basis, subject to the terms and conditions expressly set forth in this Agreement, including, but not limited to, Section 5 of this Agreement. The Executive does hereby accept and agree to such continued employment on the terms and conditions expressly set forth in this Agreement.</w:t>
      </w:r>
    </w:p>
    <w:p>
      <w:pPr>
        <w:spacing w:after="0" w:line="169" w:lineRule="exact"/>
        <w:rPr>
          <w:sz w:val="20"/>
          <w:szCs w:val="20"/>
          <w:color w:val="auto"/>
        </w:rPr>
      </w:pPr>
    </w:p>
    <w:p>
      <w:pPr>
        <w:ind w:left="6" w:right="100" w:firstLine="981"/>
        <w:spacing w:after="0" w:line="254"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Duties</w:t>
      </w:r>
      <w:r>
        <w:rPr>
          <w:rFonts w:ascii="Times New Roman" w:cs="Times New Roman" w:eastAsia="Times New Roman" w:hAnsi="Times New Roman"/>
          <w:sz w:val="18"/>
          <w:szCs w:val="18"/>
          <w:color w:val="auto"/>
        </w:rPr>
        <w:t>. The Executive shall serve the Corporation as its President, Consumer and shall perform and have the responsibilities, duties, status and authority customary for a position in an organization of the size and nature of the Corporation, subject to the corporate policies of the Corporation as in effect from time to time (including, without limitation, the Corporation’s business conduct and ethics policies, as they may be amended from time to time). In this position, the Executive shall report to the Co-Chief Executive Officers and shall render such administrative, financial, and other executive and managerial services to the Corporation and its affiliates as the Co-Chief Executive Officers may from time to time reasonably direct.</w:t>
      </w:r>
    </w:p>
    <w:p>
      <w:pPr>
        <w:spacing w:after="0" w:line="182" w:lineRule="exact"/>
        <w:rPr>
          <w:sz w:val="20"/>
          <w:szCs w:val="20"/>
          <w:color w:val="auto"/>
        </w:rPr>
      </w:pPr>
    </w:p>
    <w:p>
      <w:pPr>
        <w:ind w:left="6" w:right="40" w:firstLine="981"/>
        <w:spacing w:after="0" w:line="259"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u w:val="single" w:color="auto"/>
          <w:color w:val="auto"/>
        </w:rPr>
        <w:t>No Other Employment; Time Commitment</w:t>
      </w:r>
      <w:r>
        <w:rPr>
          <w:rFonts w:ascii="Times New Roman" w:cs="Times New Roman" w:eastAsia="Times New Roman" w:hAnsi="Times New Roman"/>
          <w:sz w:val="18"/>
          <w:szCs w:val="18"/>
          <w:color w:val="auto"/>
        </w:rPr>
        <w:t>. For so long as the Executive is employed with the Corporation, the Executive shall both (i) devote substantially all of his business time, energy and skill to the performance of the Executive’s duties for the Corporation and (ii) hold no other employment positions with any other entity. Further, the Executive’s service on the boards of directors (or similar bodies) of other business entities is</w:t>
      </w:r>
    </w:p>
    <w:p>
      <w:pPr>
        <w:sectPr>
          <w:pgSz w:w="11900" w:h="16838" w:orient="portrait"/>
          <w:cols w:equalWidth="0" w:num="1">
            <w:col w:w="10906"/>
          </w:cols>
          <w:pgMar w:left="494" w:top="117" w:right="499" w:bottom="1440" w:gutter="0" w:footer="0" w:header="0"/>
        </w:sectPr>
      </w:pPr>
    </w:p>
    <w:bookmarkStart w:id="594" w:name="page595"/>
    <w:bookmarkEnd w:id="594"/>
    <w:p>
      <w:pPr>
        <w:ind w:left="6" w:right="2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subject to the prior approval of the Board of Directors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GoodRx Holdings, Inc.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not to be unreasonably withheld. The Corporation shall have the right to require the Executive to resign from any board or similar body on which the Executive may then serve if the Board reasonably determines that such service (x) creates a material conflict of interest or otherwise directly interferes with the effective discharge of the Executive’s duties and responsibilities to the Corporation in accordance with this Agreement or (y) is in respect of a business then in competition with any business of the Corporation.</w:t>
      </w:r>
    </w:p>
    <w:p>
      <w:pPr>
        <w:spacing w:after="0" w:line="179" w:lineRule="exact"/>
        <w:rPr>
          <w:sz w:val="20"/>
          <w:szCs w:val="20"/>
          <w:color w:val="auto"/>
        </w:rPr>
      </w:pPr>
    </w:p>
    <w:p>
      <w:pPr>
        <w:ind w:left="6" w:right="60" w:firstLine="981"/>
        <w:spacing w:after="0" w:line="253"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u w:val="single" w:color="auto"/>
          <w:color w:val="auto"/>
        </w:rPr>
        <w:t>No Breach of Contract</w:t>
      </w:r>
      <w:r>
        <w:rPr>
          <w:rFonts w:ascii="Times New Roman" w:cs="Times New Roman" w:eastAsia="Times New Roman" w:hAnsi="Times New Roman"/>
          <w:sz w:val="18"/>
          <w:szCs w:val="18"/>
          <w:color w:val="auto"/>
        </w:rPr>
        <w:t>. The Executive hereby represents to the Corporation: (i) that the execution and delivery of this Agreement by the Executive and the Corporation and the performance by the Executive of the Executive’s duties hereunder shall not constitute a breach of, or otherwise contravene, the terms of any other agreement or policy to which the Executive is a party or otherwise bound; (ii) that the Executive has no information (including, without limitation, confidential information and trade secrets) relating to any other person or entity which would prevent, or be violated by, the Executive entering into this Agreement or carrying out the Executive’s duties hereunder; and (iii) that the Executive is not bound by any confidentiality, trade secret or similar agreement with any other person or entity which would prevent, or be violated by, the Executive (x) entering into this Agreement or (y) carrying out the Executive’s duties hereunder.</w:t>
      </w:r>
    </w:p>
    <w:p>
      <w:pPr>
        <w:spacing w:after="0" w:line="182" w:lineRule="exact"/>
        <w:rPr>
          <w:sz w:val="20"/>
          <w:szCs w:val="20"/>
          <w:color w:val="auto"/>
        </w:rPr>
      </w:pPr>
    </w:p>
    <w:p>
      <w:pPr>
        <w:ind w:left="6" w:right="40" w:firstLine="981"/>
        <w:spacing w:after="0" w:line="265"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u w:val="single" w:color="auto"/>
          <w:color w:val="auto"/>
        </w:rPr>
        <w:t>Location</w:t>
      </w:r>
      <w:r>
        <w:rPr>
          <w:rFonts w:ascii="Times New Roman" w:cs="Times New Roman" w:eastAsia="Times New Roman" w:hAnsi="Times New Roman"/>
          <w:sz w:val="18"/>
          <w:szCs w:val="18"/>
          <w:color w:val="auto"/>
        </w:rPr>
        <w:t>. The Executive’s principal place of employment initially shall be the offices of the Corporation’s headquarters, currently located in Santa Monica, California. The Executive acknowledges that business travel may be required from time to time in the course of performing the Executive’s duties for the Corporation.</w:t>
      </w:r>
    </w:p>
    <w:p>
      <w:pPr>
        <w:spacing w:after="0" w:line="169" w:lineRule="exact"/>
        <w:rPr>
          <w:sz w:val="20"/>
          <w:szCs w:val="20"/>
          <w:color w:val="auto"/>
        </w:rPr>
      </w:pPr>
    </w:p>
    <w:p>
      <w:pPr>
        <w:ind w:left="6" w:hanging="6"/>
        <w:spacing w:after="0" w:line="256" w:lineRule="auto"/>
        <w:tabs>
          <w:tab w:leader="none" w:pos="318" w:val="left"/>
        </w:tabs>
        <w:numPr>
          <w:ilvl w:val="0"/>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The parties acknowledge that the Executive has been an employee of the Corporation prior to the date of this Agreement and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employment under this Agreement shall commence on the consummation of the initial public offering of the common stock of Holdings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which date will be hereinafter referred to as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period from the Effective Date until the termination of the Executive’s employment under this Agreement is hereinafter referred to as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In the event the IPO does not occur, this Agreement shall have no force or effect, and the Prior Agreement shall remain in effect, notwithstanding anything herein to the contrary.</w:t>
      </w:r>
    </w:p>
    <w:p>
      <w:pPr>
        <w:spacing w:after="0" w:line="285" w:lineRule="exact"/>
        <w:rPr>
          <w:rFonts w:ascii="Times New Roman" w:cs="Times New Roman" w:eastAsia="Times New Roman" w:hAnsi="Times New Roman"/>
          <w:sz w:val="18"/>
          <w:szCs w:val="18"/>
          <w:b w:val="1"/>
          <w:bCs w:val="1"/>
          <w:color w:val="auto"/>
        </w:rPr>
      </w:pPr>
    </w:p>
    <w:p>
      <w:pPr>
        <w:ind w:left="306" w:hanging="306"/>
        <w:spacing w:after="0"/>
        <w:tabs>
          <w:tab w:leader="none" w:pos="306" w:val="left"/>
        </w:tabs>
        <w:numPr>
          <w:ilvl w:val="0"/>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right="80" w:firstLine="981"/>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Base Salary</w:t>
      </w:r>
      <w:r>
        <w:rPr>
          <w:rFonts w:ascii="Times New Roman" w:cs="Times New Roman" w:eastAsia="Times New Roman" w:hAnsi="Times New Roman"/>
          <w:sz w:val="18"/>
          <w:szCs w:val="18"/>
          <w:color w:val="auto"/>
        </w:rPr>
        <w:t>. During the Term, the Executive’s annual base salary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shall be paid in accordance with the Corporation’s regular payroll practices in effect from time to time, but not less frequently than in monthly installments. As of the Effective Date, the Executive’s Base Salary shall be at an annualized rate of $400,000. During the Term, subject to Section 5, the Board (or a subcommittee thereof) will annually review, and may adjust in its discretion, the Executive’s rate of Base Salary. The term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as utilized in this Agreement shall refer to the Base Salary as so adjusted.</w:t>
      </w:r>
    </w:p>
    <w:p>
      <w:pPr>
        <w:spacing w:after="0" w:line="178" w:lineRule="exact"/>
        <w:rPr>
          <w:sz w:val="20"/>
          <w:szCs w:val="20"/>
          <w:color w:val="auto"/>
        </w:rPr>
      </w:pPr>
    </w:p>
    <w:p>
      <w:pPr>
        <w:ind w:left="6" w:right="160" w:firstLine="981"/>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Incentive Bonus</w:t>
      </w:r>
      <w:r>
        <w:rPr>
          <w:rFonts w:ascii="Times New Roman" w:cs="Times New Roman" w:eastAsia="Times New Roman" w:hAnsi="Times New Roman"/>
          <w:sz w:val="18"/>
          <w:szCs w:val="18"/>
          <w:color w:val="auto"/>
        </w:rPr>
        <w:t>. The Executive will be eligible each year during the Term for an incentive bonus (the “</w:t>
      </w:r>
      <w:r>
        <w:rPr>
          <w:rFonts w:ascii="Times New Roman" w:cs="Times New Roman" w:eastAsia="Times New Roman" w:hAnsi="Times New Roman"/>
          <w:sz w:val="18"/>
          <w:szCs w:val="18"/>
          <w:u w:val="single" w:color="auto"/>
          <w:color w:val="auto"/>
        </w:rPr>
        <w:t>Incentive Bonus</w:t>
      </w:r>
      <w:r>
        <w:rPr>
          <w:rFonts w:ascii="Times New Roman" w:cs="Times New Roman" w:eastAsia="Times New Roman" w:hAnsi="Times New Roman"/>
          <w:sz w:val="18"/>
          <w:szCs w:val="18"/>
          <w:color w:val="auto"/>
        </w:rPr>
        <w:t>”) targeted at fifty (50)% of Executive’s annual Base Salary, payable if the Corporation meets applicable performance goals determined</w:t>
      </w:r>
    </w:p>
    <w:p>
      <w:pPr>
        <w:spacing w:after="0" w:line="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6"/>
          </w:cols>
          <w:pgMar w:left="494" w:top="268" w:right="499" w:bottom="1440" w:gutter="0" w:footer="0" w:header="0"/>
        </w:sectPr>
      </w:pPr>
    </w:p>
    <w:bookmarkStart w:id="595" w:name="page596"/>
    <w:bookmarkEnd w:id="595"/>
    <w:p>
      <w:pPr>
        <w:ind w:left="6"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by the Board (or a subcommittee thereof) at its discretion, in consultation with the Company’s Chief Executive Officer(s). The Incentive Bonus earned for each calendar year (if any) shall be paid as soon as practicable following the Board’s (or its subcommittee’s) approval of the amount of the Incentive Bonus, but no later than March 15 of the calendar year following the year in which the bonus is earned, subject to the Executive’s continued employment by the Corporation or its affiliates through the end of the calendar year covered by the Incentive Bonus,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case shall payment of the Incentive Bonus be contingent on the Executive’s continued employment after December 31 of the preceding year.</w:t>
      </w:r>
    </w:p>
    <w:p>
      <w:pPr>
        <w:spacing w:after="0" w:line="286" w:lineRule="exact"/>
        <w:rPr>
          <w:sz w:val="20"/>
          <w:szCs w:val="20"/>
          <w:color w:val="auto"/>
        </w:rPr>
      </w:pPr>
    </w:p>
    <w:p>
      <w:pPr>
        <w:ind w:left="306" w:hanging="306"/>
        <w:spacing w:after="0"/>
        <w:tabs>
          <w:tab w:leader="none" w:pos="306" w:val="left"/>
        </w:tabs>
        <w:numPr>
          <w:ilvl w:val="0"/>
          <w:numId w:val="5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Benefits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right="80" w:firstLine="981"/>
        <w:spacing w:after="0" w:line="259"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Health, Retirement, Welfare and Fringe Benefits</w:t>
      </w:r>
      <w:r>
        <w:rPr>
          <w:rFonts w:ascii="Times New Roman" w:cs="Times New Roman" w:eastAsia="Times New Roman" w:hAnsi="Times New Roman"/>
          <w:sz w:val="18"/>
          <w:szCs w:val="18"/>
          <w:color w:val="auto"/>
        </w:rPr>
        <w:t>. During the Term, the Executive shall be eligible to participate in all employee health, life and other insurance, retirement and welfare benefit plans and programs, bonus, and fringe benefit plans and programs, made available by the Corporation to the Corporation’s executive employees generally, in accordance with the terms of such plans and as such plans or programs may be in effect from time to time.</w:t>
      </w:r>
    </w:p>
    <w:p>
      <w:pPr>
        <w:spacing w:after="0" w:line="175" w:lineRule="exact"/>
        <w:rPr>
          <w:sz w:val="20"/>
          <w:szCs w:val="20"/>
          <w:color w:val="auto"/>
        </w:rPr>
      </w:pPr>
    </w:p>
    <w:p>
      <w:pPr>
        <w:ind w:left="6" w:firstLine="981"/>
        <w:spacing w:after="0" w:line="26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u w:val="single" w:color="auto"/>
          <w:color w:val="auto"/>
        </w:rPr>
        <w:t>Reimbursement of Expenses</w:t>
      </w:r>
      <w:r>
        <w:rPr>
          <w:rFonts w:ascii="Times New Roman" w:cs="Times New Roman" w:eastAsia="Times New Roman" w:hAnsi="Times New Roman"/>
          <w:sz w:val="18"/>
          <w:szCs w:val="18"/>
          <w:color w:val="auto"/>
        </w:rPr>
        <w:t>. During the Term, the Corporation shall reimburse Executive for all customary and reasonable business expenses incurred in the performance of his duties under this Agreement and as an officer pursuant to the Corporation’s expense reimbursement policies.</w:t>
      </w:r>
    </w:p>
    <w:p>
      <w:pPr>
        <w:spacing w:after="0" w:line="169" w:lineRule="exact"/>
        <w:rPr>
          <w:sz w:val="20"/>
          <w:szCs w:val="20"/>
          <w:color w:val="auto"/>
        </w:rPr>
      </w:pPr>
    </w:p>
    <w:p>
      <w:pPr>
        <w:ind w:left="6" w:right="140" w:firstLine="981"/>
        <w:spacing w:after="0" w:line="259"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Vacation and Other Leave</w:t>
      </w:r>
      <w:r>
        <w:rPr>
          <w:rFonts w:ascii="Times New Roman" w:cs="Times New Roman" w:eastAsia="Times New Roman" w:hAnsi="Times New Roman"/>
          <w:sz w:val="18"/>
          <w:szCs w:val="18"/>
          <w:color w:val="auto"/>
        </w:rPr>
        <w:t>. During the Term, the Executive’s annual rate of Paid Time Off (“</w:t>
      </w:r>
      <w:r>
        <w:rPr>
          <w:rFonts w:ascii="Times New Roman" w:cs="Times New Roman" w:eastAsia="Times New Roman" w:hAnsi="Times New Roman"/>
          <w:sz w:val="18"/>
          <w:szCs w:val="18"/>
          <w:u w:val="single" w:color="auto"/>
          <w:color w:val="auto"/>
        </w:rPr>
        <w:t>PTO</w:t>
      </w:r>
      <w:r>
        <w:rPr>
          <w:rFonts w:ascii="Times New Roman" w:cs="Times New Roman" w:eastAsia="Times New Roman" w:hAnsi="Times New Roman"/>
          <w:sz w:val="18"/>
          <w:szCs w:val="18"/>
          <w:color w:val="auto"/>
        </w:rPr>
        <w:t xml:space="preserve">”) accrual shall be as set forth in the Corporation’s PTO policies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vacation shall accrue and be subject to the Corporation’s vacation policies as in effect from time to time. The Executive shall also be eligible for all other holiday and leave pay generally available to other executives of the Corporation.</w:t>
      </w:r>
    </w:p>
    <w:p>
      <w:pPr>
        <w:spacing w:after="0" w:line="175" w:lineRule="exact"/>
        <w:rPr>
          <w:sz w:val="20"/>
          <w:szCs w:val="20"/>
          <w:color w:val="auto"/>
        </w:rPr>
      </w:pPr>
    </w:p>
    <w:p>
      <w:pPr>
        <w:ind w:left="6" w:right="280" w:firstLine="981"/>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The Executive shall be provided indemnification, and coverage under the Corporation’s D&amp;O and EPL liability insurance policies.</w:t>
      </w:r>
    </w:p>
    <w:p>
      <w:pPr>
        <w:spacing w:after="0" w:line="262" w:lineRule="exact"/>
        <w:rPr>
          <w:sz w:val="20"/>
          <w:szCs w:val="20"/>
          <w:color w:val="auto"/>
        </w:rPr>
      </w:pPr>
    </w:p>
    <w:p>
      <w:pPr>
        <w:ind w:left="306" w:hanging="306"/>
        <w:spacing w:after="0"/>
        <w:tabs>
          <w:tab w:leader="none" w:pos="306" w:val="left"/>
        </w:tabs>
        <w:numPr>
          <w:ilvl w:val="0"/>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Employment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right="340" w:firstLine="981"/>
        <w:spacing w:after="0" w:line="26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Generally</w:t>
      </w:r>
      <w:r>
        <w:rPr>
          <w:rFonts w:ascii="Times New Roman" w:cs="Times New Roman" w:eastAsia="Times New Roman" w:hAnsi="Times New Roman"/>
          <w:sz w:val="18"/>
          <w:szCs w:val="18"/>
          <w:color w:val="auto"/>
        </w:rPr>
        <w:t>. The Executive’s employment by the Corporation, and the Term, may be terminated at any time (i) by the Corporation with or without Cause (as defined in Section 5.5), (ii) by the Corporation in the event that the Executive has incurred a Disability (as defined in Section 5.5), (iii) by the Executive for any reason, or (iv) due to the Executive’s death.</w:t>
      </w:r>
    </w:p>
    <w:p>
      <w:pPr>
        <w:spacing w:after="0" w:line="169" w:lineRule="exact"/>
        <w:rPr>
          <w:sz w:val="20"/>
          <w:szCs w:val="20"/>
          <w:color w:val="auto"/>
        </w:rPr>
      </w:pPr>
    </w:p>
    <w:p>
      <w:pPr>
        <w:ind w:left="6" w:right="420" w:firstLine="981"/>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Notice of Termination</w:t>
      </w:r>
      <w:r>
        <w:rPr>
          <w:rFonts w:ascii="Times New Roman" w:cs="Times New Roman" w:eastAsia="Times New Roman" w:hAnsi="Times New Roman"/>
          <w:sz w:val="18"/>
          <w:szCs w:val="18"/>
          <w:color w:val="auto"/>
        </w:rPr>
        <w:t>. Any termination of the Executive’s employment under this Agreement (other than because of the Executive’s death) shall be communicated by written notice of termination from the terminating party to the other party, which termination shall be effective (i) no less than thirty (30) days following delivery of such notice in the event of a termination by the Executive for any reason or</w:t>
      </w:r>
    </w:p>
    <w:p>
      <w:pPr>
        <w:spacing w:after="0" w:line="2" w:lineRule="exact"/>
        <w:rPr>
          <w:sz w:val="20"/>
          <w:szCs w:val="20"/>
          <w:color w:val="auto"/>
        </w:rPr>
      </w:pPr>
    </w:p>
    <w:p>
      <w:pPr>
        <w:ind w:left="6" w:right="100" w:hanging="6"/>
        <w:spacing w:after="0" w:line="251" w:lineRule="auto"/>
        <w:tabs>
          <w:tab w:leader="none" w:pos="268"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in the event of a termination by the Corporation for Cause, subject to any applicable notice and cure provisions set forth in Section 5.5. The notice of termination shall indicate the specific provision(s) of this Agreement relied upon in effecting the termination. The effective date of termination shall be referenced herein as the “</w:t>
      </w:r>
      <w:r>
        <w:rPr>
          <w:rFonts w:ascii="Times New Roman" w:cs="Times New Roman" w:eastAsia="Times New Roman" w:hAnsi="Times New Roman"/>
          <w:sz w:val="18"/>
          <w:szCs w:val="18"/>
          <w:u w:val="single" w:color="auto"/>
          <w:color w:val="auto"/>
        </w:rPr>
        <w:t>Separation Date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6"/>
          </w:cols>
          <w:pgMar w:left="494" w:top="268" w:right="499" w:bottom="1440" w:gutter="0" w:footer="0" w:header="0"/>
        </w:sectPr>
      </w:pPr>
    </w:p>
    <w:bookmarkStart w:id="596" w:name="page597"/>
    <w:bookmarkEnd w:id="596"/>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5.3</w:t>
      </w:r>
      <w:r>
        <w:rPr>
          <w:sz w:val="20"/>
          <w:szCs w:val="20"/>
          <w:color w:val="auto"/>
        </w:rPr>
        <w:tab/>
      </w:r>
      <w:r>
        <w:rPr>
          <w:rFonts w:ascii="Times New Roman" w:cs="Times New Roman" w:eastAsia="Times New Roman" w:hAnsi="Times New Roman"/>
          <w:sz w:val="17"/>
          <w:szCs w:val="17"/>
          <w:b w:val="1"/>
          <w:bCs w:val="1"/>
          <w:u w:val="single" w:color="auto"/>
          <w:color w:val="auto"/>
        </w:rPr>
        <w:t>Benefits Upon Termination</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right="100" w:firstLine="975"/>
        <w:spacing w:after="0" w:line="252" w:lineRule="auto"/>
        <w:tabs>
          <w:tab w:leader="none" w:pos="1357"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Executive’s employment for any reason, the Corporation shall pay (i) on the Corporation’s first regularly scheduled payroll date following the Separation Date (or earlier if required by applicable law), any Base Salary, PTO, and any other amounts required under applicable law that had accrued or been earned but had not been paid on or before the Separation Date; (ii) any accrued but unpaid Incentive Bonus for a performance period ending on or preceding the Separation Date (payable in accordance with Section 3.2), and (iii) within thirty (30) days following the Separation Date, any reimbursement due to the Executive pursuant to Section 4.2 for expenses incurred by the Executive on or before the Separation Date. If the Executive’s employment by the Corporation is terminated during the Term by the Corporation for Cause or by the Executive without Good Reason, then following the payment of the foregoing, the Corporation shall have no further obligation to make or provide to the Executive, and the Executive shall have no further right to receive or obtain from the Corporation any other payments or benefits.</w:t>
      </w:r>
    </w:p>
    <w:p>
      <w:pPr>
        <w:spacing w:after="0" w:line="184" w:lineRule="exact"/>
        <w:rPr>
          <w:rFonts w:ascii="Times New Roman" w:cs="Times New Roman" w:eastAsia="Times New Roman" w:hAnsi="Times New Roman"/>
          <w:sz w:val="18"/>
          <w:szCs w:val="18"/>
          <w:color w:val="auto"/>
        </w:rPr>
      </w:pPr>
    </w:p>
    <w:p>
      <w:pPr>
        <w:ind w:firstLine="975"/>
        <w:spacing w:after="0" w:line="250" w:lineRule="auto"/>
        <w:tabs>
          <w:tab w:leader="none" w:pos="1367"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Term, the Executive’s employment is terminated by the Corporation (or its successor or assignee) without Cause, or due to the Executive’s death or Disability, or by the Executive with Good Reason (an “</w:t>
      </w:r>
      <w:r>
        <w:rPr>
          <w:rFonts w:ascii="Times New Roman" w:cs="Times New Roman" w:eastAsia="Times New Roman" w:hAnsi="Times New Roman"/>
          <w:sz w:val="18"/>
          <w:szCs w:val="18"/>
          <w:u w:val="single" w:color="auto"/>
          <w:color w:val="auto"/>
        </w:rPr>
        <w:t>Involuntary Termination</w:t>
      </w:r>
      <w:r>
        <w:rPr>
          <w:rFonts w:ascii="Times New Roman" w:cs="Times New Roman" w:eastAsia="Times New Roman" w:hAnsi="Times New Roman"/>
          <w:sz w:val="18"/>
          <w:szCs w:val="18"/>
          <w:color w:val="auto"/>
        </w:rPr>
        <w:t>”), the Corporation shall pay the Executive (or the Executive’s estate in the case of death) an amount equal to twelve (12) months of the Executive’s Base Salary at the rate in effect on the Separation Date (the “</w:t>
      </w:r>
      <w:r>
        <w:rPr>
          <w:rFonts w:ascii="Times New Roman" w:cs="Times New Roman" w:eastAsia="Times New Roman" w:hAnsi="Times New Roman"/>
          <w:sz w:val="18"/>
          <w:szCs w:val="18"/>
          <w:u w:val="single" w:color="auto"/>
          <w:color w:val="auto"/>
        </w:rPr>
        <w:t>Salary Severance</w:t>
      </w:r>
      <w:r>
        <w:rPr>
          <w:rFonts w:ascii="Times New Roman" w:cs="Times New Roman" w:eastAsia="Times New Roman" w:hAnsi="Times New Roman"/>
          <w:sz w:val="18"/>
          <w:szCs w:val="18"/>
          <w:color w:val="auto"/>
        </w:rPr>
        <w:t>”) plus reimbursement of COBRA medical continuation premiums (if the Executive is eligible for, timely elects and pays for such COBRA medical continuation) for twelve (12) months (collectively, the “</w:t>
      </w:r>
      <w:r>
        <w:rPr>
          <w:rFonts w:ascii="Times New Roman" w:cs="Times New Roman" w:eastAsia="Times New Roman" w:hAnsi="Times New Roman"/>
          <w:sz w:val="18"/>
          <w:szCs w:val="18"/>
          <w:u w:val="single" w:color="auto"/>
          <w:color w:val="auto"/>
        </w:rPr>
        <w:t>Severance Benefit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Corporation shall have no obligation to reimburse the Executive for such COBRA premiums if the Corporation determines that reimbursement of such COBRA premiums would reasonably be expected to result in the imposition of excise taxes on the Corporation or any of its affiliates for any failure to comply with the nondiscrimination requirements of the Patient Protection and Affordable Care Act of 2010, as amended, and the Health Care and Education Reconciliation Act of 2010, as amended;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plan pursuant to which such benefits are provided is not, or ceases prior to the expiration of the 12-month period of continuation coverage to be, exempt from the application of Section 409A under Treasury Regulation</w:t>
      </w:r>
    </w:p>
    <w:p>
      <w:pPr>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1.409A-1(a)(5), an amount equal to each remaining Corporation payment shall thereafter be paid to the Executive in substantially equal monthly installments over the continuation coverage period (or the remaining portion thereof). The Corporation shall pay (or provide, as applicable) the Salary Severance to the Executive (or the Executive’s estate in the case of death) in substantially equal installments during the twelve (12)-month period commencing on the Separation Date, in accordance with the Corporation’s payroll cycle;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amounts that otherwise would be scheduled to be paid during the Release Period (as defined in Section 5.4(a)) shall accrue and shall be paid on the first payroll date following the expiration of the Release Period.</w:t>
      </w:r>
    </w:p>
    <w:p>
      <w:pPr>
        <w:spacing w:after="0" w:line="188" w:lineRule="exact"/>
        <w:rPr>
          <w:rFonts w:ascii="Times New Roman" w:cs="Times New Roman" w:eastAsia="Times New Roman" w:hAnsi="Times New Roman"/>
          <w:sz w:val="18"/>
          <w:szCs w:val="18"/>
          <w:color w:val="auto"/>
        </w:rPr>
      </w:pPr>
    </w:p>
    <w:p>
      <w:pPr>
        <w:ind w:left="1340" w:hanging="365"/>
        <w:spacing w:after="0"/>
        <w:tabs>
          <w:tab w:leader="none" w:pos="134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Severance Benefit shall be subject to Section 18.</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64" w:right="519" w:bottom="1440" w:gutter="0" w:footer="0" w:header="0"/>
        </w:sectPr>
      </w:pPr>
    </w:p>
    <w:bookmarkStart w:id="597" w:name="page598"/>
    <w:bookmarkEnd w:id="597"/>
    <w:p>
      <w:pPr>
        <w:ind w:right="140" w:firstLine="975"/>
        <w:spacing w:after="0" w:line="255" w:lineRule="auto"/>
        <w:tabs>
          <w:tab w:leader="none" w:pos="1363"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foregoing provisions of this Section 5.3 shall not affect: (i) payment of the amounts set forth in Section 5.3(a), (ii) the Executive’s receipt of benefits otherwise due terminated employees under group insurance coverage consistent with the terms of the applicable Corporation welfare benefit plan; (iii) the Executive’s rights under COBRA to continue participation in medical, dental, hospitalization and such other benefit plans covered by COBRA; or (iv) the Executive’s receipt of any vested payments or benefits otherwise due in accordance with the terms of an applicable equity compensation plan maintained by the Corporation or Holdings and the Corporation’s 401(k) plan (if any).</w:t>
      </w:r>
    </w:p>
    <w:p>
      <w:pPr>
        <w:spacing w:after="0" w:line="286"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b w:val="1"/>
          <w:bCs w:val="1"/>
          <w:u w:val="single" w:color="auto"/>
          <w:color w:val="auto"/>
        </w:rPr>
        <w:t>Release; Exclusive Remedy</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firstLine="975"/>
        <w:spacing w:after="0" w:line="257" w:lineRule="auto"/>
        <w:tabs>
          <w:tab w:leader="none" w:pos="1347"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precedent to any Corporation obligation to the Executive pursuant to Section 5.3(b), the Executive shall, upon or within sixty (60) days following termination of employment with the Corporation (such sixty (60)-day period being referred to as the “</w:t>
      </w:r>
      <w:r>
        <w:rPr>
          <w:rFonts w:ascii="Times New Roman" w:cs="Times New Roman" w:eastAsia="Times New Roman" w:hAnsi="Times New Roman"/>
          <w:sz w:val="18"/>
          <w:szCs w:val="18"/>
          <w:u w:val="single" w:color="auto"/>
          <w:color w:val="auto"/>
        </w:rPr>
        <w:t>Release Period</w:t>
      </w:r>
      <w:r>
        <w:rPr>
          <w:rFonts w:ascii="Times New Roman" w:cs="Times New Roman" w:eastAsia="Times New Roman" w:hAnsi="Times New Roman"/>
          <w:sz w:val="18"/>
          <w:szCs w:val="18"/>
          <w:color w:val="auto"/>
        </w:rPr>
        <w:t xml:space="preserve">”), provide the Corporation with an executed general release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such release shall have not been revoked by the Executive, and shall have become non-revocable, pursuant to, or in accordance with, any revocation rights afforded by applicable law.</w:t>
      </w:r>
    </w:p>
    <w:p>
      <w:pPr>
        <w:spacing w:after="0" w:line="182" w:lineRule="exact"/>
        <w:rPr>
          <w:rFonts w:ascii="Times New Roman" w:cs="Times New Roman" w:eastAsia="Times New Roman" w:hAnsi="Times New Roman"/>
          <w:sz w:val="18"/>
          <w:szCs w:val="18"/>
          <w:color w:val="auto"/>
        </w:rPr>
      </w:pPr>
    </w:p>
    <w:p>
      <w:pPr>
        <w:ind w:right="140" w:firstLine="975"/>
        <w:spacing w:after="0" w:line="262" w:lineRule="auto"/>
        <w:tabs>
          <w:tab w:leader="none" w:pos="1363"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Executive agrees that, upon the parties’ signing and the Executive’s not revoking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payments and benefits contemplated by Section 5.3 shall constitute the exclusive and sole remedy for any termination of employment during the Term of this Agreement and the Executive covenants not to assert or pursue any other remedies, at law or in equity, with respect to any termination of employment.</w:t>
      </w:r>
    </w:p>
    <w:p>
      <w:pPr>
        <w:spacing w:after="0" w:line="173"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b w:val="1"/>
          <w:bCs w:val="1"/>
          <w:u w:val="single" w:color="auto"/>
          <w:color w:val="auto"/>
        </w:rPr>
        <w:t>Certain Defined Terms</w:t>
      </w:r>
      <w:r>
        <w:rPr>
          <w:rFonts w:ascii="Times New Roman" w:cs="Times New Roman" w:eastAsia="Times New Roman" w:hAnsi="Times New Roman"/>
          <w:sz w:val="17"/>
          <w:szCs w:val="17"/>
          <w:color w:val="auto"/>
        </w:rPr>
        <w:t>. The definitions of Cause and Good Reason contained in this Agreement shall govern for purposes of this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2" w:lineRule="exact"/>
        <w:rPr>
          <w:sz w:val="20"/>
          <w:szCs w:val="20"/>
          <w:color w:val="auto"/>
        </w:rPr>
      </w:pPr>
    </w:p>
    <w:p>
      <w:pPr>
        <w:ind w:left="1340" w:hanging="365"/>
        <w:spacing w:after="0"/>
        <w:tabs>
          <w:tab w:leader="none" w:pos="134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that one or more of the following has occurred:</w:t>
      </w:r>
    </w:p>
    <w:p>
      <w:pPr>
        <w:spacing w:after="0" w:line="113" w:lineRule="exact"/>
        <w:rPr>
          <w:rFonts w:ascii="Times New Roman" w:cs="Times New Roman" w:eastAsia="Times New Roman" w:hAnsi="Times New Roman"/>
          <w:sz w:val="18"/>
          <w:szCs w:val="18"/>
          <w:color w:val="auto"/>
        </w:rPr>
      </w:pPr>
    </w:p>
    <w:p>
      <w:pPr>
        <w:ind w:left="420" w:right="180" w:firstLine="951"/>
        <w:spacing w:after="0" w:line="257" w:lineRule="auto"/>
        <w:tabs>
          <w:tab w:leader="none" w:pos="1708"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(x) been convicted of, pled guilty or no contest to, or entered into a plea agreement on charges constituting, any felony (under the laws of the United States, any relevant state, or the equivalent of a felony in any international jurisdiction in which the Corporation does business), other than a traffic violation or (y) been convicted of, or pled guilty or no contest to, any misdemeanor crime involving dishonesty or moral turpitude;</w:t>
      </w:r>
    </w:p>
    <w:p>
      <w:pPr>
        <w:spacing w:after="0" w:line="75" w:lineRule="exact"/>
        <w:rPr>
          <w:rFonts w:ascii="Times New Roman" w:cs="Times New Roman" w:eastAsia="Times New Roman" w:hAnsi="Times New Roman"/>
          <w:sz w:val="18"/>
          <w:szCs w:val="18"/>
          <w:color w:val="auto"/>
        </w:rPr>
      </w:pPr>
    </w:p>
    <w:p>
      <w:pPr>
        <w:jc w:val="both"/>
        <w:ind w:left="420" w:right="80" w:firstLine="951"/>
        <w:spacing w:after="0" w:line="262" w:lineRule="auto"/>
        <w:tabs>
          <w:tab w:leader="none" w:pos="1757"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engaged in any willful misconduct (including any willful violation of federal securities laws), gross neglect of Executive’s job duties, willful act of dishonesty, violence or threat of violence in the workplace, in each case, that either has materially injured or is reasonably expected to substantially injure the Corporation;</w:t>
      </w:r>
    </w:p>
    <w:p>
      <w:pPr>
        <w:spacing w:after="0" w:line="70" w:lineRule="exact"/>
        <w:rPr>
          <w:rFonts w:ascii="Times New Roman" w:cs="Times New Roman" w:eastAsia="Times New Roman" w:hAnsi="Times New Roman"/>
          <w:sz w:val="18"/>
          <w:szCs w:val="18"/>
          <w:color w:val="auto"/>
        </w:rPr>
      </w:pPr>
    </w:p>
    <w:p>
      <w:pPr>
        <w:ind w:left="420" w:right="40" w:firstLine="951"/>
        <w:spacing w:after="0" w:line="277" w:lineRule="auto"/>
        <w:tabs>
          <w:tab w:leader="none" w:pos="1807"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willfully breached the written laws of any governmental or regulatory body applicable to the Corporation in each case, that either has materially injured or is reasonably expected to substantially injure the Corporation;</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40"/>
          </w:cols>
          <w:pgMar w:left="500" w:top="268" w:right="559" w:bottom="1440" w:gutter="0" w:footer="0" w:header="0"/>
        </w:sectPr>
      </w:pPr>
    </w:p>
    <w:bookmarkStart w:id="598" w:name="page599"/>
    <w:bookmarkEnd w:id="598"/>
    <w:p>
      <w:pPr>
        <w:ind w:left="426" w:right="80" w:firstLine="951"/>
        <w:spacing w:after="0" w:line="262" w:lineRule="auto"/>
        <w:tabs>
          <w:tab w:leader="none" w:pos="1803"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Executive has (other than any such failure resulting from the Executive’s Disability or incapacity due to bodily injury or physical or mental illness) willfully failed to comply with lawful material directives of the Board regarding his employment with the Corporation; or</w:t>
      </w:r>
    </w:p>
    <w:p>
      <w:pPr>
        <w:spacing w:after="0" w:line="70" w:lineRule="exact"/>
        <w:rPr>
          <w:rFonts w:ascii="Times New Roman" w:cs="Times New Roman" w:eastAsia="Times New Roman" w:hAnsi="Times New Roman"/>
          <w:sz w:val="18"/>
          <w:szCs w:val="18"/>
          <w:color w:val="auto"/>
        </w:rPr>
      </w:pPr>
    </w:p>
    <w:p>
      <w:pPr>
        <w:ind w:left="426" w:right="260" w:firstLine="951"/>
        <w:spacing w:after="0" w:line="257" w:lineRule="auto"/>
        <w:tabs>
          <w:tab w:leader="none" w:pos="1754"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(other than any such failure resulting from the Executive’s Disability or incapacity due to bodily injury or physical or mental illness) materially breached this Agreement or any other material contract regarding employment with the Corporation to which the Executive and the Corporation are parties, in each case, that either has substantially injured or is reasonably expected to substantially injure the Corporation;</w:t>
      </w:r>
    </w:p>
    <w:p>
      <w:pPr>
        <w:spacing w:after="0" w:line="182" w:lineRule="exact"/>
        <w:rPr>
          <w:sz w:val="20"/>
          <w:szCs w:val="20"/>
          <w:color w:val="auto"/>
        </w:rPr>
      </w:pPr>
    </w:p>
    <w:p>
      <w:pPr>
        <w:ind w:left="6" w:right="340"/>
        <w:spacing w:after="0" w:line="274"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Sections 5.5(a)(ii), 5.5(a)(iii), 5.5(a)(iv), and 5.5(a)(v), and if the event giving rise to the claim of Cause is curable, the Corporation provides written notice to the Executive of the details of the event and the subsection(s) of Section 5.5 to which it pertains, within thirty</w:t>
      </w:r>
    </w:p>
    <w:p>
      <w:pPr>
        <w:ind w:left="6" w:right="120" w:hanging="6"/>
        <w:spacing w:after="0" w:line="250" w:lineRule="auto"/>
        <w:tabs>
          <w:tab w:leader="none" w:pos="347"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the Corporation learning of the occurrence of such event, that Executive is provided a reasonable opportunity to cure such Cause, and such Cause event remains uncured thirty (30) days after the Corporation has provided such written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termination by the Corporation of the Executive’s employment for “Cause” with respect to Sections 5.5(a)(ii), 5.5(a)(iii), 5.5(a)(iv) or 5.5(a)(v) shall occur no later than thirty (30) days following the expiration of such cure period.</w:t>
      </w:r>
    </w:p>
    <w:p>
      <w:pPr>
        <w:spacing w:after="0" w:line="187" w:lineRule="exact"/>
        <w:rPr>
          <w:rFonts w:ascii="Times New Roman" w:cs="Times New Roman" w:eastAsia="Times New Roman" w:hAnsi="Times New Roman"/>
          <w:sz w:val="18"/>
          <w:szCs w:val="18"/>
          <w:color w:val="auto"/>
        </w:rPr>
      </w:pPr>
    </w:p>
    <w:p>
      <w:pPr>
        <w:ind w:left="6" w:right="120" w:firstLine="975"/>
        <w:spacing w:after="0" w:line="255" w:lineRule="auto"/>
        <w:tabs>
          <w:tab w:leader="none" w:pos="1363" w:val="left"/>
        </w:tabs>
        <w:numPr>
          <w:ilvl w:val="2"/>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a disability for which the Executive is deemed qualified for benefits under the Corporation’s long-term disability plan or, if the Corporation does not maintain a long-term disability plan or the Executive does not apply for such benefits, any medically determinable physical or mental impairment (as determined by a physician designated by the Corporation in good faith) resulting in Executive’s inability to perform the duties of his position, where such impairment can be expected to result in death or can be expected to last for a continuous period of not less than six months.</w:t>
      </w:r>
    </w:p>
    <w:p>
      <w:pPr>
        <w:spacing w:after="0" w:line="182" w:lineRule="exact"/>
        <w:rPr>
          <w:rFonts w:ascii="Times New Roman" w:cs="Times New Roman" w:eastAsia="Times New Roman" w:hAnsi="Times New Roman"/>
          <w:sz w:val="18"/>
          <w:szCs w:val="18"/>
          <w:color w:val="auto"/>
        </w:rPr>
      </w:pPr>
    </w:p>
    <w:p>
      <w:pPr>
        <w:ind w:left="1346" w:hanging="365"/>
        <w:spacing w:after="0"/>
        <w:tabs>
          <w:tab w:leader="none" w:pos="1346" w:val="left"/>
        </w:tabs>
        <w:numPr>
          <w:ilvl w:val="2"/>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that one or more of the following has occurred without the Executive’s prior written</w:t>
      </w:r>
    </w:p>
    <w:p>
      <w:pPr>
        <w:spacing w:after="0" w:line="25" w:lineRule="exact"/>
        <w:rPr>
          <w:rFonts w:ascii="Times New Roman" w:cs="Times New Roman" w:eastAsia="Times New Roman" w:hAnsi="Times New Roman"/>
          <w:sz w:val="18"/>
          <w:szCs w:val="18"/>
          <w:color w:val="auto"/>
        </w:rPr>
      </w:pPr>
    </w:p>
    <w:p>
      <w:pPr>
        <w:ind w:left="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w:t>
      </w:r>
    </w:p>
    <w:p>
      <w:pPr>
        <w:spacing w:after="0" w:line="94" w:lineRule="exact"/>
        <w:rPr>
          <w:rFonts w:ascii="Times New Roman" w:cs="Times New Roman" w:eastAsia="Times New Roman" w:hAnsi="Times New Roman"/>
          <w:sz w:val="18"/>
          <w:szCs w:val="18"/>
          <w:color w:val="auto"/>
        </w:rPr>
      </w:pPr>
    </w:p>
    <w:p>
      <w:pPr>
        <w:ind w:left="426" w:firstLine="428"/>
        <w:spacing w:after="0" w:line="262" w:lineRule="auto"/>
        <w:tabs>
          <w:tab w:leader="none" w:pos="1191"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nature or scope of the Executive’s responsibilities, duties or authority as set forth in Section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Executive continuing in the same role on a divisional or business unit basis following the acquisition of the Corporation shall not be treated as a material diminution in title, responsibilities, duties, or authority);</w:t>
      </w:r>
    </w:p>
    <w:p>
      <w:pPr>
        <w:spacing w:after="0" w:line="70" w:lineRule="exact"/>
        <w:rPr>
          <w:rFonts w:ascii="Times New Roman" w:cs="Times New Roman" w:eastAsia="Times New Roman" w:hAnsi="Times New Roman"/>
          <w:sz w:val="18"/>
          <w:szCs w:val="18"/>
          <w:color w:val="auto"/>
        </w:rPr>
      </w:pPr>
    </w:p>
    <w:p>
      <w:pPr>
        <w:ind w:left="1246" w:hanging="392"/>
        <w:spacing w:after="0"/>
        <w:tabs>
          <w:tab w:leader="none" w:pos="1246"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material breach of this Agreement;</w:t>
      </w:r>
    </w:p>
    <w:p>
      <w:pPr>
        <w:spacing w:after="0" w:line="113" w:lineRule="exact"/>
        <w:rPr>
          <w:rFonts w:ascii="Times New Roman" w:cs="Times New Roman" w:eastAsia="Times New Roman" w:hAnsi="Times New Roman"/>
          <w:sz w:val="18"/>
          <w:szCs w:val="18"/>
          <w:color w:val="auto"/>
        </w:rPr>
      </w:pPr>
    </w:p>
    <w:p>
      <w:pPr>
        <w:ind w:left="426" w:right="380" w:firstLine="428"/>
        <w:spacing w:after="0" w:line="277" w:lineRule="auto"/>
        <w:tabs>
          <w:tab w:leader="none" w:pos="1290"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relocation of its principal offices more than ten (10) miles from the prior location or its requiring that Executive relocate more than ten (10) miles from his then-current office location; or</w:t>
      </w:r>
    </w:p>
    <w:p>
      <w:pPr>
        <w:spacing w:after="0" w:line="56" w:lineRule="exact"/>
        <w:rPr>
          <w:rFonts w:ascii="Times New Roman" w:cs="Times New Roman" w:eastAsia="Times New Roman" w:hAnsi="Times New Roman"/>
          <w:sz w:val="18"/>
          <w:szCs w:val="18"/>
          <w:color w:val="auto"/>
        </w:rPr>
      </w:pPr>
    </w:p>
    <w:p>
      <w:pPr>
        <w:ind w:left="426" w:right="620" w:firstLine="428"/>
        <w:spacing w:after="0" w:line="262" w:lineRule="auto"/>
        <w:tabs>
          <w:tab w:leader="none" w:pos="1280"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the Executive’s Base Salary or Incentive Bonus other than, for both Base Salary and target Incentive Bonus individually, a one-time reduction of not more than ten percent (10%) that also is applied to substantially all other executive officers of the Corporation;</w:t>
      </w:r>
    </w:p>
    <w:p>
      <w:pPr>
        <w:spacing w:after="0" w:line="11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6"/>
          </w:cols>
          <w:pgMar w:left="494" w:top="268" w:right="499" w:bottom="1440" w:gutter="0" w:footer="0" w:header="0"/>
        </w:sectPr>
      </w:pPr>
    </w:p>
    <w:bookmarkStart w:id="599" w:name="page600"/>
    <w:bookmarkEnd w:id="599"/>
    <w:p>
      <w:pPr>
        <w:ind w:right="120"/>
        <w:spacing w:after="0" w:line="257"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that, in any such case, the Executive provides written notice to the Corporation of the event giving rise to such claim of Good Reason within thirty (30) days after the Executive learns of the occurrence of such event in writing from the Corporation, and such Good Reason event remains uncured thirty (30) days after the Executive has provided such written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resignation of the Executive’s employment for “Good Reason” occurs no later than sixty (60) days following the expiration of such cure period.</w:t>
      </w:r>
    </w:p>
    <w:p>
      <w:pPr>
        <w:spacing w:after="0" w:line="178" w:lineRule="exact"/>
        <w:rPr>
          <w:sz w:val="20"/>
          <w:szCs w:val="20"/>
          <w:color w:val="auto"/>
        </w:rPr>
      </w:pPr>
    </w:p>
    <w:p>
      <w:pPr>
        <w:ind w:right="40" w:firstLine="981"/>
        <w:spacing w:after="0" w:line="254"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u w:val="single" w:color="auto"/>
          <w:color w:val="auto"/>
        </w:rPr>
        <w:t>Resignation from Directorships and Officerships</w:t>
      </w:r>
      <w:r>
        <w:rPr>
          <w:rFonts w:ascii="Times New Roman" w:cs="Times New Roman" w:eastAsia="Times New Roman" w:hAnsi="Times New Roman"/>
          <w:sz w:val="18"/>
          <w:szCs w:val="18"/>
          <w:color w:val="auto"/>
        </w:rPr>
        <w:t>. The termination of the Executive’s employment with the Corporation for any reason shall be treated as the Executive’s resignation from (i) any director, officer or employee position the Executive has with the Corporation, any parent entity (including Holdings) and any of their respective affiliates, and (ii) all fiduciary positions (including as a trustee) the Executive holds with respect to any employee benefit plans or trusts established by the Corporation, any parent entity or any of their respective affiliates. The Executive agrees that this Agreement shall serve as written notice of resignation in this circumstance. Furthermore, the Executive agrees to execute any documents evidencing such resignations that the Corporation reasonably requests.</w:t>
      </w:r>
    </w:p>
    <w:p>
      <w:pPr>
        <w:spacing w:after="0" w:line="289"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b w:val="1"/>
          <w:bCs w:val="1"/>
          <w:u w:val="single" w:color="auto"/>
          <w:color w:val="auto"/>
        </w:rPr>
        <w:t>280G Implications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firstLine="975"/>
        <w:spacing w:after="0" w:line="250" w:lineRule="auto"/>
        <w:tabs>
          <w:tab w:leader="none" w:pos="1357"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in the event that any payment or benefit received or to be received by the Executive (including any payment or benefit received in connection with a termination of the Executive’s employment, whether pursuant to the terms of this Agreement or any other plan, arrangement or agreement) (all such payments and benefits, including the payments and benefits under Section 5.3, being hereinafter referred to as the “</w:t>
      </w:r>
      <w:r>
        <w:rPr>
          <w:rFonts w:ascii="Times New Roman" w:cs="Times New Roman" w:eastAsia="Times New Roman" w:hAnsi="Times New Roman"/>
          <w:sz w:val="18"/>
          <w:szCs w:val="18"/>
          <w:u w:val="single" w:color="auto"/>
          <w:color w:val="auto"/>
        </w:rPr>
        <w:t>Total Payments</w:t>
      </w:r>
      <w:r>
        <w:rPr>
          <w:rFonts w:ascii="Times New Roman" w:cs="Times New Roman" w:eastAsia="Times New Roman" w:hAnsi="Times New Roman"/>
          <w:sz w:val="18"/>
          <w:szCs w:val="18"/>
          <w:color w:val="auto"/>
        </w:rPr>
        <w:t>”) would be subject (in whole or part), to the excise tax imposed under Section 4999 of the Code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after taking into account any reduction in the Total Payments provided by reason of Section 280G of the Code in such other plan, arrangement or agreement, the cash severance payments under this Agreement shall first be reduced, and the noncash severance payments hereunder shall thereafter be reduced, to the extent necessary so that no portion of the Total Payments is subject to the Excise Tax but only if (i)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the Executive would be subject in respect of such unreduced Total Payments and after taking into account the phase out of itemized deductions and personal exemptions attributable to such unreduced Total Payments). In all cases, if there are any reductions to the Total Payments under this paragraph, the reduction shall be performed in a manner which results in the greatest after-tax amount being retained by the Executive and in manner which comports with Section 409A.</w:t>
      </w:r>
    </w:p>
    <w:p>
      <w:pPr>
        <w:spacing w:after="0" w:line="187" w:lineRule="exact"/>
        <w:rPr>
          <w:rFonts w:ascii="Times New Roman" w:cs="Times New Roman" w:eastAsia="Times New Roman" w:hAnsi="Times New Roman"/>
          <w:sz w:val="18"/>
          <w:szCs w:val="18"/>
          <w:color w:val="auto"/>
        </w:rPr>
      </w:pPr>
    </w:p>
    <w:p>
      <w:pPr>
        <w:ind w:right="180" w:firstLine="975"/>
        <w:spacing w:after="0" w:line="277" w:lineRule="auto"/>
        <w:tabs>
          <w:tab w:leader="none" w:pos="1367"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whether and the extent to which the Total Payments will be subject to the Excise Tax, (i) no portion of the Total Payments the receipt or</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500" w:top="268" w:right="519" w:bottom="1440" w:gutter="0" w:footer="0" w:header="0"/>
        </w:sectPr>
      </w:pPr>
    </w:p>
    <w:bookmarkStart w:id="600" w:name="page601"/>
    <w:bookmarkEnd w:id="600"/>
    <w:p>
      <w:pPr>
        <w:ind w:left="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enjoyment of which the Executive shall have waived at such time and in such manner as not to constitute a “payment” within the meaning of</w:t>
      </w:r>
    </w:p>
    <w:p>
      <w:pPr>
        <w:spacing w:after="0" w:line="26" w:lineRule="exact"/>
        <w:rPr>
          <w:sz w:val="20"/>
          <w:szCs w:val="20"/>
          <w:color w:val="auto"/>
        </w:rPr>
      </w:pPr>
    </w:p>
    <w:p>
      <w:pPr>
        <w:ind w:left="6" w:right="100"/>
        <w:spacing w:after="0" w:line="248" w:lineRule="auto"/>
        <w:rPr>
          <w:sz w:val="20"/>
          <w:szCs w:val="20"/>
          <w:color w:val="auto"/>
        </w:rPr>
      </w:pPr>
      <w:r>
        <w:rPr>
          <w:rFonts w:ascii="Times New Roman" w:cs="Times New Roman" w:eastAsia="Times New Roman" w:hAnsi="Times New Roman"/>
          <w:sz w:val="18"/>
          <w:szCs w:val="18"/>
          <w:color w:val="auto"/>
        </w:rPr>
        <w:t>Section 280G(b) of the Code shall be taken into account; (ii) no portion of the Total Payments shall be taken into account which, in the written opinion of an independent, nationally recognized accounting firm (the “</w:t>
      </w:r>
      <w:r>
        <w:rPr>
          <w:rFonts w:ascii="Times New Roman" w:cs="Times New Roman" w:eastAsia="Times New Roman" w:hAnsi="Times New Roman"/>
          <w:sz w:val="18"/>
          <w:szCs w:val="18"/>
          <w:u w:val="single" w:color="auto"/>
          <w:color w:val="auto"/>
        </w:rPr>
        <w:t>Independent Advisors</w:t>
      </w:r>
      <w:r>
        <w:rPr>
          <w:rFonts w:ascii="Times New Roman" w:cs="Times New Roman" w:eastAsia="Times New Roman" w:hAnsi="Times New Roman"/>
          <w:sz w:val="18"/>
          <w:szCs w:val="18"/>
          <w:color w:val="auto"/>
        </w:rPr>
        <w:t>”) selected by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Independent Advisors may not without the Executive’s written consent be the firm which serves as the auditor for the ultimate parent of the entity acquiring the Corporation) does not constitute a “parachute payment” within the meaning of Section 280G(b)(2) of the Code (including by reason of Section 280G(b)(4)(A) of the Code) and, in calculating the Excise Tax, no portion of such Total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Total Payments shall be determined by the Independent Advisors in accordance with the principles of Sections 280G(d)(3) and (4) of the Code.</w:t>
      </w:r>
    </w:p>
    <w:p>
      <w:pPr>
        <w:spacing w:after="0" w:line="189" w:lineRule="exact"/>
        <w:rPr>
          <w:sz w:val="20"/>
          <w:szCs w:val="20"/>
          <w:color w:val="auto"/>
        </w:rPr>
      </w:pPr>
    </w:p>
    <w:p>
      <w:pPr>
        <w:ind w:left="6" w:hanging="6"/>
        <w:spacing w:after="0" w:line="252" w:lineRule="auto"/>
        <w:tabs>
          <w:tab w:leader="none" w:pos="318"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Defense of Claims</w:t>
      </w:r>
      <w:r>
        <w:rPr>
          <w:rFonts w:ascii="Times New Roman" w:cs="Times New Roman" w:eastAsia="Times New Roman" w:hAnsi="Times New Roman"/>
          <w:sz w:val="18"/>
          <w:szCs w:val="18"/>
          <w:color w:val="auto"/>
        </w:rPr>
        <w:t>. The Executive agrees that, during the Term hereof, and for a period of five (5) years after termination of the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employment, upon reasonable notice from the Corporation, the Executive will reasonably cooperate with providing information to the Corporation necessary in the defense of any claims or actions that may be made by or against the Corporation that affect the Executive’s prior areas of responsibility, except if the Executive’s interests are adverse to the Corporation in such claim or action. The Corporation agrees that it shall promptly pay or reimburse the reasonable cost of the time of the Executive (at $190 per hour) and any reasonable, out-of-pocket costs and attorneys’ fees that the Executive actually incurs in connection with the Executive providing such assistance or cooperation to the Corporation, in accordance with the Corporation’s standard policies and procedures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Executive shall have obtained prior written approval from the Corporation for any travel costs incurred by the Executive in connection with the Executive’s obligations under this Section 6.</w:t>
      </w:r>
    </w:p>
    <w:p>
      <w:pPr>
        <w:spacing w:after="0" w:line="184" w:lineRule="exact"/>
        <w:rPr>
          <w:rFonts w:ascii="Times New Roman" w:cs="Times New Roman" w:eastAsia="Times New Roman" w:hAnsi="Times New Roman"/>
          <w:sz w:val="18"/>
          <w:szCs w:val="18"/>
          <w:b w:val="1"/>
          <w:bCs w:val="1"/>
          <w:color w:val="auto"/>
        </w:rPr>
      </w:pPr>
    </w:p>
    <w:p>
      <w:pPr>
        <w:ind w:left="6" w:right="40" w:hanging="6"/>
        <w:spacing w:after="0" w:line="256" w:lineRule="auto"/>
        <w:tabs>
          <w:tab w:leader="none" w:pos="318"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Source of Payments</w:t>
      </w:r>
      <w:r>
        <w:rPr>
          <w:rFonts w:ascii="Times New Roman" w:cs="Times New Roman" w:eastAsia="Times New Roman" w:hAnsi="Times New Roman"/>
          <w:sz w:val="18"/>
          <w:szCs w:val="18"/>
          <w:color w:val="auto"/>
        </w:rPr>
        <w:t>. All payments provided under this Agreement, other than payments made pursuant to a plan which provides otherwise,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paid in cash from the general funds of the Corporation, and no special or separate fund shall be established, and no other segregation of assets shall be made, to assure payment. The Executive shall have no right, title or interest whatsoever in or to any investments which the Corporation may make to aid the Corporation in meeting its obligations hereunder. Any payments provided under this Agreement shall be treated as amounts owed to an unsecured creditor of the Corporation.</w:t>
      </w:r>
    </w:p>
    <w:p>
      <w:pPr>
        <w:spacing w:after="0" w:line="178" w:lineRule="exact"/>
        <w:rPr>
          <w:rFonts w:ascii="Times New Roman" w:cs="Times New Roman" w:eastAsia="Times New Roman" w:hAnsi="Times New Roman"/>
          <w:sz w:val="18"/>
          <w:szCs w:val="18"/>
          <w:b w:val="1"/>
          <w:bCs w:val="1"/>
          <w:color w:val="auto"/>
        </w:rPr>
      </w:pPr>
    </w:p>
    <w:p>
      <w:pPr>
        <w:ind w:left="6" w:right="60" w:hanging="6"/>
        <w:spacing w:after="0" w:line="265" w:lineRule="auto"/>
        <w:tabs>
          <w:tab w:leader="none" w:pos="318"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Notwithstanding anything else herein to the contrary, the Corporation and its affiliates may withhold (or cause there to be withheld,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case may be) from any amounts otherwise due or payable under or pursuant to this Agreement such federal, state and local income, employment, or other taxes or other amounts as may be required to be withheld pursuant to any applicable law or regulation.</w:t>
      </w:r>
    </w:p>
    <w:p>
      <w:pPr>
        <w:spacing w:after="0" w:line="107" w:lineRule="exact"/>
        <w:rPr>
          <w:sz w:val="20"/>
          <w:szCs w:val="20"/>
          <w:color w:val="auto"/>
        </w:rPr>
      </w:pPr>
    </w:p>
    <w:p>
      <w:pPr>
        <w:jc w:val="center"/>
        <w:ind w:right="-65"/>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46"/>
          </w:cols>
          <w:pgMar w:left="494" w:top="268" w:right="559" w:bottom="1440" w:gutter="0" w:footer="0" w:header="0"/>
        </w:sectPr>
      </w:pPr>
    </w:p>
    <w:bookmarkStart w:id="601" w:name="page602"/>
    <w:bookmarkEnd w:id="601"/>
    <w:p>
      <w:pPr>
        <w:ind w:left="306" w:hanging="306"/>
        <w:spacing w:after="0"/>
        <w:tabs>
          <w:tab w:leader="none" w:pos="306"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Assignment; Binding Effect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 w:right="600" w:firstLine="981"/>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u w:val="single" w:color="auto"/>
          <w:color w:val="auto"/>
        </w:rPr>
        <w:t>By the Executive</w:t>
      </w:r>
      <w:r>
        <w:rPr>
          <w:rFonts w:ascii="Times New Roman" w:cs="Times New Roman" w:eastAsia="Times New Roman" w:hAnsi="Times New Roman"/>
          <w:sz w:val="18"/>
          <w:szCs w:val="18"/>
          <w:color w:val="auto"/>
        </w:rPr>
        <w:t>. This Agreement and any and all rights, duties, obligations or interests hereunder shall not be assignable or delegable by the Executive.</w:t>
      </w:r>
    </w:p>
    <w:p>
      <w:pPr>
        <w:spacing w:after="0" w:line="155" w:lineRule="exact"/>
        <w:rPr>
          <w:sz w:val="20"/>
          <w:szCs w:val="20"/>
          <w:color w:val="auto"/>
        </w:rPr>
      </w:pPr>
    </w:p>
    <w:p>
      <w:pPr>
        <w:jc w:val="both"/>
        <w:ind w:left="6" w:right="300" w:firstLine="981"/>
        <w:spacing w:after="0" w:line="265"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u w:val="single" w:color="auto"/>
          <w:color w:val="auto"/>
        </w:rPr>
        <w:t>By the Corporation</w:t>
      </w:r>
      <w:r>
        <w:rPr>
          <w:rFonts w:ascii="Times New Roman" w:cs="Times New Roman" w:eastAsia="Times New Roman" w:hAnsi="Times New Roman"/>
          <w:sz w:val="18"/>
          <w:szCs w:val="18"/>
          <w:color w:val="auto"/>
        </w:rPr>
        <w:t xml:space="preserve">. This Agreement and all of the Corporation’s rights and obligations hereunder shall not be assignable by the Corporation except as incident to a reorganization, merger or consolidation, or transfer of all or substantially all of the Corporation’s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assignee in such reorganization, merger, consolidation or transfer assumes all of the Corporation’s obligations hereunder.</w:t>
      </w:r>
    </w:p>
    <w:p>
      <w:pPr>
        <w:spacing w:after="0" w:line="169" w:lineRule="exact"/>
        <w:rPr>
          <w:sz w:val="20"/>
          <w:szCs w:val="20"/>
          <w:color w:val="auto"/>
        </w:rPr>
      </w:pPr>
    </w:p>
    <w:p>
      <w:pPr>
        <w:ind w:left="6" w:right="80" w:firstLine="981"/>
        <w:spacing w:after="0" w:line="28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parties hereto, any successors to or assigns of the Corporation and the Executive’s heirs and the personal representatives of the Executive’s estate.</w:t>
      </w:r>
    </w:p>
    <w:p>
      <w:pPr>
        <w:spacing w:after="0" w:line="155" w:lineRule="exact"/>
        <w:rPr>
          <w:sz w:val="20"/>
          <w:szCs w:val="20"/>
          <w:color w:val="auto"/>
        </w:rPr>
      </w:pPr>
    </w:p>
    <w:p>
      <w:pPr>
        <w:ind w:left="6" w:right="160" w:hanging="6"/>
        <w:spacing w:after="0" w:line="282" w:lineRule="auto"/>
        <w:tabs>
          <w:tab w:leader="none" w:pos="407" w:val="left"/>
        </w:tabs>
        <w:numPr>
          <w:ilvl w:val="0"/>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Number and Gender</w:t>
      </w:r>
      <w:r>
        <w:rPr>
          <w:rFonts w:ascii="Times New Roman" w:cs="Times New Roman" w:eastAsia="Times New Roman" w:hAnsi="Times New Roman"/>
          <w:sz w:val="18"/>
          <w:szCs w:val="18"/>
          <w:color w:val="auto"/>
        </w:rPr>
        <w:t>. Where the context requires, the singular shall include the plural, the plural shall include the singular, and any gender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all other genders.</w:t>
      </w:r>
    </w:p>
    <w:p>
      <w:pPr>
        <w:spacing w:after="0" w:line="154" w:lineRule="exact"/>
        <w:rPr>
          <w:rFonts w:ascii="Times New Roman" w:cs="Times New Roman" w:eastAsia="Times New Roman" w:hAnsi="Times New Roman"/>
          <w:sz w:val="18"/>
          <w:szCs w:val="18"/>
          <w:b w:val="1"/>
          <w:bCs w:val="1"/>
          <w:color w:val="auto"/>
        </w:rPr>
      </w:pPr>
    </w:p>
    <w:p>
      <w:pPr>
        <w:ind w:left="6" w:right="620" w:hanging="6"/>
        <w:spacing w:after="0" w:line="282" w:lineRule="auto"/>
        <w:tabs>
          <w:tab w:leader="none" w:pos="397" w:val="left"/>
        </w:tabs>
        <w:numPr>
          <w:ilvl w:val="0"/>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Headings</w:t>
      </w:r>
      <w:r>
        <w:rPr>
          <w:rFonts w:ascii="Times New Roman" w:cs="Times New Roman" w:eastAsia="Times New Roman" w:hAnsi="Times New Roman"/>
          <w:sz w:val="18"/>
          <w:szCs w:val="18"/>
          <w:color w:val="auto"/>
        </w:rPr>
        <w:t>. The section headings of, and titles of paragraphs and subparagraphs contained in, this Agreement are for the purpose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convenience only, and they neither form a part of this Agreement nor are they to be used in the construction or interpretation thereof.</w:t>
      </w:r>
    </w:p>
    <w:p>
      <w:pPr>
        <w:spacing w:after="0" w:line="154" w:lineRule="exact"/>
        <w:rPr>
          <w:rFonts w:ascii="Times New Roman" w:cs="Times New Roman" w:eastAsia="Times New Roman" w:hAnsi="Times New Roman"/>
          <w:sz w:val="18"/>
          <w:szCs w:val="18"/>
          <w:b w:val="1"/>
          <w:bCs w:val="1"/>
          <w:color w:val="auto"/>
        </w:rPr>
      </w:pPr>
    </w:p>
    <w:p>
      <w:pPr>
        <w:ind w:left="6" w:right="60" w:hanging="6"/>
        <w:spacing w:after="0" w:line="265" w:lineRule="auto"/>
        <w:tabs>
          <w:tab w:leader="none" w:pos="407" w:val="left"/>
        </w:tabs>
        <w:numPr>
          <w:ilvl w:val="0"/>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all questions relating to its validity, interpretation, performance and enforcement, as well as the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 hereby created between the parties hereto, shall be governed by and construed under, and interpreted and enforced in accordance with, the laws of the State of California and adjudicated within Los Angeles, California.</w:t>
      </w:r>
    </w:p>
    <w:p>
      <w:pPr>
        <w:spacing w:after="0" w:line="169" w:lineRule="exact"/>
        <w:rPr>
          <w:rFonts w:ascii="Times New Roman" w:cs="Times New Roman" w:eastAsia="Times New Roman" w:hAnsi="Times New Roman"/>
          <w:sz w:val="18"/>
          <w:szCs w:val="18"/>
          <w:b w:val="1"/>
          <w:bCs w:val="1"/>
          <w:color w:val="auto"/>
        </w:rPr>
      </w:pPr>
    </w:p>
    <w:p>
      <w:pPr>
        <w:ind w:left="406" w:hanging="406"/>
        <w:spacing w:after="0"/>
        <w:tabs>
          <w:tab w:leader="none" w:pos="406" w:val="left"/>
        </w:tabs>
        <w:numPr>
          <w:ilvl w:val="0"/>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Survival of Certain Provisions</w:t>
      </w:r>
      <w:r>
        <w:rPr>
          <w:rFonts w:ascii="Times New Roman" w:cs="Times New Roman" w:eastAsia="Times New Roman" w:hAnsi="Times New Roman"/>
          <w:sz w:val="18"/>
          <w:szCs w:val="18"/>
          <w:color w:val="auto"/>
        </w:rPr>
        <w:t>. Sections 5, 6, 8, 12, 14, 15, 16, 17, 18 and 20 shall survive any termination or expiration of this Agreement.</w:t>
      </w:r>
    </w:p>
    <w:p>
      <w:pPr>
        <w:spacing w:after="0" w:line="220" w:lineRule="exact"/>
        <w:rPr>
          <w:rFonts w:ascii="Times New Roman" w:cs="Times New Roman" w:eastAsia="Times New Roman" w:hAnsi="Times New Roman"/>
          <w:sz w:val="18"/>
          <w:szCs w:val="18"/>
          <w:b w:val="1"/>
          <w:bCs w:val="1"/>
          <w:color w:val="auto"/>
        </w:rPr>
      </w:pPr>
    </w:p>
    <w:p>
      <w:pPr>
        <w:ind w:left="6" w:hanging="6"/>
        <w:spacing w:after="0" w:line="268" w:lineRule="auto"/>
        <w:tabs>
          <w:tab w:leader="none" w:pos="407" w:val="left"/>
        </w:tabs>
        <w:numPr>
          <w:ilvl w:val="0"/>
          <w:numId w:val="5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Entire Agreement</w:t>
      </w:r>
      <w:r>
        <w:rPr>
          <w:rFonts w:ascii="Times New Roman" w:cs="Times New Roman" w:eastAsia="Times New Roman" w:hAnsi="Times New Roman"/>
          <w:sz w:val="17"/>
          <w:szCs w:val="17"/>
          <w:color w:val="auto"/>
        </w:rPr>
        <w:t>. This Agreement embodies the entire agreement of the parties hereto respecting the matters within its scope. As of the 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this Agreement supersedes all prior and contemporaneous agreements of the parties hereto that directly or indirectly bear upon the subject matter hereof (including the Prior Employment Agreement), and any prior negotiations, correspondence, agreements, proposals or understandings relating to the subject matter hereof shall be deemed to be of no force or effect, and the parties to any such other negotiations, commitments, agreements or writings shall have no further rights or obligations thereunder. The effectiveness of this Agreement is expressly made subject to and conditioned upon the consummation of the IPO. As of the Effective Date, the Prior Employment Agreement shall terminate and be of no further force or effect. There are no representations, warranties, or agreements, whether express or implied, or oral or written, with respect to the subject matter hereof, except as expressly set forth herein. For the avoidance of doubt, this Agreement shall not supersede the options (or any of the terms of such options including without limitation acceleration of vesting) to purchase common stock granted to Executive on or prior to the date hereof by the Corporation or Holdings.</w:t>
      </w:r>
    </w:p>
    <w:p>
      <w:pPr>
        <w:spacing w:after="0" w:line="172" w:lineRule="exact"/>
        <w:rPr>
          <w:rFonts w:ascii="Times New Roman" w:cs="Times New Roman" w:eastAsia="Times New Roman" w:hAnsi="Times New Roman"/>
          <w:sz w:val="17"/>
          <w:szCs w:val="17"/>
          <w:b w:val="1"/>
          <w:bCs w:val="1"/>
          <w:color w:val="auto"/>
        </w:rPr>
      </w:pPr>
    </w:p>
    <w:p>
      <w:pPr>
        <w:ind w:left="6" w:right="360" w:hanging="6"/>
        <w:spacing w:after="0" w:line="282" w:lineRule="auto"/>
        <w:tabs>
          <w:tab w:leader="none" w:pos="407" w:val="left"/>
        </w:tabs>
        <w:numPr>
          <w:ilvl w:val="0"/>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Modifications, Waivers</w:t>
      </w:r>
      <w:r>
        <w:rPr>
          <w:rFonts w:ascii="Times New Roman" w:cs="Times New Roman" w:eastAsia="Times New Roman" w:hAnsi="Times New Roman"/>
          <w:sz w:val="18"/>
          <w:szCs w:val="18"/>
          <w:color w:val="auto"/>
        </w:rPr>
        <w:t>. This Agreement may not be waived, amended, modified or changed (in whole or in part), except by an instrument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signed by both parties hereto.</w:t>
      </w:r>
    </w:p>
    <w:p>
      <w:pPr>
        <w:spacing w:after="0" w:line="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6"/>
          </w:cols>
          <w:pgMar w:left="494" w:top="264" w:right="499" w:bottom="1440" w:gutter="0" w:footer="0" w:header="0"/>
        </w:sectPr>
      </w:pPr>
    </w:p>
    <w:bookmarkStart w:id="602" w:name="page603"/>
    <w:bookmarkEnd w:id="602"/>
    <w:p>
      <w:pPr>
        <w:ind w:left="6" w:right="20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1">
                      <a:extLst>
                        <a:ext uri="{28A0092B-C50C-407E-A947-70E740481C1C}"/>
                      </a:extLst>
                    </a:blip>
                    <a:srcRect/>
                    <a:stretch>
                      <a:fillRect/>
                    </a:stretch>
                  </pic:blipFill>
                  <pic:spPr bwMode="auto">
                    <a:xfrm>
                      <a:off x="0" y="0"/>
                      <a:ext cx="7150735" cy="24765"/>
                    </a:xfrm>
                    <a:prstGeom prst="rect">
                      <a:avLst/>
                    </a:prstGeom>
                    <a:noFill/>
                  </pic:spPr>
                </pic:pic>
              </a:graphicData>
            </a:graphic>
          </wp:anchor>
        </w:drawing>
        <w:t>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159" w:lineRule="exact"/>
        <w:rPr>
          <w:sz w:val="20"/>
          <w:szCs w:val="20"/>
          <w:color w:val="auto"/>
        </w:rPr>
      </w:pPr>
    </w:p>
    <w:p>
      <w:pPr>
        <w:ind w:left="6" w:right="20" w:hanging="6"/>
        <w:spacing w:after="0" w:line="250" w:lineRule="auto"/>
        <w:tabs>
          <w:tab w:leader="none" w:pos="407" w:val="left"/>
        </w:tabs>
        <w:numPr>
          <w:ilvl w:val="0"/>
          <w:numId w:val="5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Arbitration</w:t>
      </w:r>
      <w:r>
        <w:rPr>
          <w:rFonts w:ascii="Times New Roman" w:cs="Times New Roman" w:eastAsia="Times New Roman" w:hAnsi="Times New Roman"/>
          <w:sz w:val="18"/>
          <w:szCs w:val="18"/>
          <w:color w:val="auto"/>
        </w:rPr>
        <w:t>. The parties hereto agree that to the extent permitted by law, any dispute or controversy arising out of, relating to, or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this Agreement, or the interpretation, validity, construction, performance, breach, or termination thereof, or the Executive’s employment by the Corporation or any termination thereof, will be settled by arbitration to be held at a location in Los Angeles, California in accordance with then applicable rules of JAMS specifically designed for the resolution of employment disputes, which are available at https://www.jamsadr.com/rules-employment-arbitration/english, or those of Signature Resolution, which are available at </w:t>
      </w:r>
      <w:r>
        <w:rPr>
          <w:rFonts w:ascii="Times New Roman" w:cs="Times New Roman" w:eastAsia="Times New Roman" w:hAnsi="Times New Roman"/>
          <w:sz w:val="18"/>
          <w:szCs w:val="18"/>
          <w:u w:val="single" w:color="auto"/>
          <w:color w:val="auto"/>
        </w:rPr>
        <w:t>https://signatureresolution.com/wp-content/uploads/2019/08/Signature-Resolution-Arbitration-Rules-eff-09-10-18.pdf</w:t>
      </w:r>
      <w:r>
        <w:rPr>
          <w:rFonts w:ascii="Times New Roman" w:cs="Times New Roman" w:eastAsia="Times New Roman" w:hAnsi="Times New Roman"/>
          <w:sz w:val="18"/>
          <w:szCs w:val="18"/>
          <w:color w:val="auto"/>
        </w:rPr>
        <w:t xml:space="preserve">. The arbitrator may grant injunctions or other relief in such dispute or controversy. The decision of the arbitrator will be final, conclusive and binding on the parties to the arbitration. Judgment may be entered on the arbitrator’s decision in any court having jurisdiction. The Corporation shall pay the costs associated with arbitration (arbitration fee, arbitrator hourly fees, and location fee,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party shall bear its own legal fees and expenses.</w:t>
      </w:r>
    </w:p>
    <w:p>
      <w:pPr>
        <w:spacing w:after="0" w:line="6" w:lineRule="exact"/>
        <w:rPr>
          <w:rFonts w:ascii="Times New Roman" w:cs="Times New Roman" w:eastAsia="Times New Roman" w:hAnsi="Times New Roman"/>
          <w:sz w:val="18"/>
          <w:szCs w:val="18"/>
          <w:b w:val="1"/>
          <w:bCs w:val="1"/>
          <w:color w:val="auto"/>
        </w:rPr>
      </w:pPr>
    </w:p>
    <w:p>
      <w:pPr>
        <w:ind w:left="6" w:right="20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AND THE CORPORATION UNDERSTAND THAT BY AGREEING TO ARBITRATE ANY ARBITRATION CLAIM, THEY WILL NOT HAVE THE RIGHT TO HAVE ANY ARBITRATION CLAIM DECIDED BY A JURY OR A COURT, BUT SHALL INSTEAD HAVE ANY ARBITRATION CLAIM DECIDED THROUGH ARBITRATION. THE EXECUTIVE AND THE CORPORATION WAIVE ANY CONSTITUTIONAL OR OTHER RIGHT TO BRING CLAIMS COVERED BY THIS AGREEMENT OTHER THAN IN THEIR INDIVIDUAL CAPACITIES. EXCEPT AS MAY BE PROHIBITED BY LAW, THIS WAIVER INCLUDES THE ABILITY TO ASSERT CLAIMS AS A PLAINTIFF OR CLASS MEMBER IN ANY PURPORTED CLASS OR REPRESENTATIVE PROCEEDING.</w:t>
      </w:r>
    </w:p>
    <w:p>
      <w:pPr>
        <w:spacing w:after="0" w:line="184" w:lineRule="exact"/>
        <w:rPr>
          <w:rFonts w:ascii="Times New Roman" w:cs="Times New Roman" w:eastAsia="Times New Roman" w:hAnsi="Times New Roman"/>
          <w:sz w:val="18"/>
          <w:szCs w:val="18"/>
          <w:b w:val="1"/>
          <w:bCs w:val="1"/>
          <w:color w:val="auto"/>
        </w:rPr>
      </w:pPr>
    </w:p>
    <w:p>
      <w:pPr>
        <w:ind w:left="6" w:hanging="6"/>
        <w:spacing w:after="0" w:line="259" w:lineRule="auto"/>
        <w:tabs>
          <w:tab w:leader="none" w:pos="407" w:val="left"/>
        </w:tabs>
        <w:numPr>
          <w:ilvl w:val="0"/>
          <w:numId w:val="5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demands and other communications required or permitted under this Agreement shall be in writing (including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formats) and shall be deemed to have been duly given and made if (i) on delivery if delivered by hand, (ii) one (1) business day after if sent to an email address of record provided receipt is confirmed, or (iii) three business days after sent by registered or certified mail, postage prepaid, return receipt requested. Any notice shall be duly addressed to the parties as follows:</w:t>
      </w:r>
    </w:p>
    <w:p>
      <w:pPr>
        <w:spacing w:after="0" w:line="179"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if to the Corporation:</w:t>
      </w:r>
    </w:p>
    <w:p>
      <w:pPr>
        <w:spacing w:after="0" w:line="220"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GoodRx, Inc.</w:t>
      </w:r>
    </w:p>
    <w:p>
      <w:pPr>
        <w:spacing w:after="0" w:line="26"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233 Wilshire Boulevard, Ste. 990</w:t>
      </w:r>
    </w:p>
    <w:p>
      <w:pPr>
        <w:spacing w:after="0" w:line="7"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Santa Monica, CA 90401</w:t>
      </w:r>
    </w:p>
    <w:p>
      <w:pPr>
        <w:spacing w:after="0" w:line="7"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202"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if to the Executive, to the address (or e-mail address) most recently on file in the personnel records of the Corporation.</w:t>
      </w:r>
    </w:p>
    <w:p>
      <w:pPr>
        <w:spacing w:after="0" w:line="154" w:lineRule="exact"/>
        <w:rPr>
          <w:sz w:val="20"/>
          <w:szCs w:val="20"/>
          <w:color w:val="auto"/>
        </w:rPr>
      </w:pPr>
    </w:p>
    <w:p>
      <w:pPr>
        <w:ind w:left="536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66"/>
          </w:cols>
          <w:pgMar w:left="494" w:top="267" w:right="539" w:bottom="1440" w:gutter="0" w:footer="0" w:header="0"/>
        </w:sectPr>
      </w:pPr>
    </w:p>
    <w:bookmarkStart w:id="603" w:name="page604"/>
    <w:bookmarkEnd w:id="603"/>
    <w:p>
      <w:pPr>
        <w:ind w:left="406" w:hanging="406"/>
        <w:spacing w:after="0"/>
        <w:tabs>
          <w:tab w:leader="none" w:pos="406" w:val="left"/>
        </w:tabs>
        <w:numPr>
          <w:ilvl w:val="0"/>
          <w:numId w:val="5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Code Section 409A</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6" w:firstLine="436"/>
        <w:spacing w:after="0" w:line="255" w:lineRule="auto"/>
        <w:rPr>
          <w:sz w:val="20"/>
          <w:szCs w:val="20"/>
          <w:color w:val="auto"/>
        </w:rPr>
      </w:pPr>
      <w:r>
        <w:rPr>
          <w:rFonts w:ascii="Times New Roman" w:cs="Times New Roman" w:eastAsia="Times New Roman" w:hAnsi="Times New Roman"/>
          <w:sz w:val="18"/>
          <w:szCs w:val="18"/>
          <w:color w:val="auto"/>
        </w:rPr>
        <w:t>This Agreement is intended to meet the requirements of Section 409A of the Code, and shall be interpreted and construed consistent with that intent. Each payment provided hereunder, whether part of the Severance Benefit or otherwise, is intended to be a separate payment for purposes of Section 409A of the Code, including Treasury Regulation 1.409A-2(b)(2). All payments of nonqualified deferred compensation subject to Section 409A to be made upon a termination of employment under this Agreement may only be made upon the Executive’s “separation from service” (within the meaning of Section 409A of the Code) (a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 w:firstLine="436"/>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no compensation or benefits, including without limitation any severance payments or benefits payable under Section 5.3, shall be paid to the Executive during the six-month period following the Executive’s Separation from Service if the Corporation determines that paying such amounts at the time or times indicated in this Agreement would be a prohibited distribution under</w:t>
      </w:r>
    </w:p>
    <w:p>
      <w:pPr>
        <w:ind w:left="6" w:right="120"/>
        <w:spacing w:after="0" w:line="250" w:lineRule="auto"/>
        <w:rPr>
          <w:sz w:val="20"/>
          <w:szCs w:val="20"/>
          <w:color w:val="auto"/>
        </w:rPr>
      </w:pPr>
      <w:r>
        <w:rPr>
          <w:rFonts w:ascii="Times New Roman" w:cs="Times New Roman" w:eastAsia="Times New Roman" w:hAnsi="Times New Roman"/>
          <w:sz w:val="18"/>
          <w:szCs w:val="18"/>
          <w:color w:val="auto"/>
        </w:rPr>
        <w:t>Section 409A(a)(2)(B)(i) of the Code. If the payment of any such amounts is delayed as a result of the previous sentence, then on the first day of the seventh month following the date of Separation from Service (or such earlier date upon which such amount can be paid under Section 409A without resulting in a prohibited distribution, including as a result of the Executive’s death), the Corporation shall pay the Executive a lump-sum amount equal to the cumulative amount that would have otherwise been payable to the Executive during such period.</w:t>
      </w:r>
    </w:p>
    <w:p>
      <w:pPr>
        <w:spacing w:after="0" w:line="187" w:lineRule="exact"/>
        <w:rPr>
          <w:sz w:val="20"/>
          <w:szCs w:val="20"/>
          <w:color w:val="auto"/>
        </w:rPr>
      </w:pPr>
    </w:p>
    <w:p>
      <w:pPr>
        <w:ind w:left="6" w:right="40" w:firstLine="436"/>
        <w:spacing w:after="0" w:line="255" w:lineRule="auto"/>
        <w:rPr>
          <w:sz w:val="20"/>
          <w:szCs w:val="20"/>
          <w:color w:val="auto"/>
        </w:rPr>
      </w:pPr>
      <w:r>
        <w:rPr>
          <w:rFonts w:ascii="Times New Roman" w:cs="Times New Roman" w:eastAsia="Times New Roman" w:hAnsi="Times New Roman"/>
          <w:sz w:val="18"/>
          <w:szCs w:val="18"/>
          <w:color w:val="auto"/>
        </w:rPr>
        <w:t>To the extent that any payments or reimbursements provided to the Executive under this Agreement are deemed to constitute compensation to the Executive to which Treasury Regulation Section 1.409A-3(i)(1)(iv) would apply, such amounts shall be made on or before the last day of the calendar year following the calendar year in which the relevant expense or benefit is incurred. The amount of expenses or benefits eligible for reimbursement, payment or provision during a calendar year shall not affect the expenses or benefits eligible for reimbursement, payment or provision in any other calendar year.</w:t>
      </w:r>
    </w:p>
    <w:p>
      <w:pPr>
        <w:spacing w:after="0" w:line="179" w:lineRule="exact"/>
        <w:rPr>
          <w:sz w:val="20"/>
          <w:szCs w:val="20"/>
          <w:color w:val="auto"/>
        </w:rPr>
      </w:pPr>
    </w:p>
    <w:p>
      <w:pPr>
        <w:jc w:val="both"/>
        <w:ind w:left="6" w:right="20" w:hanging="6"/>
        <w:spacing w:after="0" w:line="259" w:lineRule="auto"/>
        <w:tabs>
          <w:tab w:leader="none" w:pos="407" w:val="left"/>
        </w:tabs>
        <w:numPr>
          <w:ilvl w:val="0"/>
          <w:numId w:val="5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Sarbanes-Oxley Act of 2002</w:t>
      </w:r>
      <w:r>
        <w:rPr>
          <w:rFonts w:ascii="Times New Roman" w:cs="Times New Roman" w:eastAsia="Times New Roman" w:hAnsi="Times New Roman"/>
          <w:sz w:val="18"/>
          <w:szCs w:val="18"/>
          <w:color w:val="auto"/>
        </w:rPr>
        <w:t>. Notwithstanding anything herein to the contrary, if the Corporation determines, in its good faith judgment, that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or deemed transfer of funds hereunder is likely to be construed as a personal loan prohibited by Section 13(k) of the Securities Exchange Act of 1934, as amended, and the rules and regulations promulgated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then such transfer or deemed transfer shall be provided to the Executive as compensation (and not as a loan) to the Executive (and as such shall be subject to tax withholding obligations).</w:t>
      </w:r>
    </w:p>
    <w:p>
      <w:pPr>
        <w:spacing w:after="0" w:line="175" w:lineRule="exact"/>
        <w:rPr>
          <w:rFonts w:ascii="Times New Roman" w:cs="Times New Roman" w:eastAsia="Times New Roman" w:hAnsi="Times New Roman"/>
          <w:sz w:val="18"/>
          <w:szCs w:val="18"/>
          <w:b w:val="1"/>
          <w:bCs w:val="1"/>
          <w:color w:val="auto"/>
        </w:rPr>
      </w:pPr>
    </w:p>
    <w:p>
      <w:pPr>
        <w:ind w:left="6" w:right="40" w:hanging="6"/>
        <w:spacing w:after="0" w:line="254" w:lineRule="auto"/>
        <w:tabs>
          <w:tab w:leader="none" w:pos="407" w:val="left"/>
        </w:tabs>
        <w:numPr>
          <w:ilvl w:val="0"/>
          <w:numId w:val="5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Exceptions</w:t>
      </w:r>
      <w:r>
        <w:rPr>
          <w:rFonts w:ascii="Times New Roman" w:cs="Times New Roman" w:eastAsia="Times New Roman" w:hAnsi="Times New Roman"/>
          <w:sz w:val="18"/>
          <w:szCs w:val="18"/>
          <w:color w:val="auto"/>
        </w:rPr>
        <w:t>. Notwithstanding anything in this Agreement to the contrary, nothing contained in this Agreement shall prohibit either party (or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party’s attorney(s)) from (i) filing a charge with, reporting possible violations of federal law or regulation to, participating in any investigation by, or cooperating with the U.S. Securities and Exchange Commission, the Financial Industry Regulatory Authority, the Equal Employment Opportunity Commission, the National Labor Relations Board, the Occupational Safety and Health Administration, the U.S. Commodity Futures Trading Commission, the U.S. Department of Justice or any other securities regulatory agency, self-regulatory authority or federal, state or local regulatory authority</w:t>
      </w:r>
    </w:p>
    <w:p>
      <w:pPr>
        <w:spacing w:after="0" w:line="119"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46"/>
          </w:cols>
          <w:pgMar w:left="494" w:top="264" w:right="559" w:bottom="1440" w:gutter="0" w:footer="0" w:header="0"/>
        </w:sectPr>
      </w:pPr>
    </w:p>
    <w:bookmarkStart w:id="604" w:name="page605"/>
    <w:bookmarkEnd w:id="604"/>
    <w:p>
      <w:pPr>
        <w:ind w:left="6"/>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3">
                      <a:extLst>
                        <a:ext uri="{28A0092B-C50C-407E-A947-70E740481C1C}"/>
                      </a:extLst>
                    </a:blip>
                    <a:srcRect/>
                    <a:stretch>
                      <a:fillRect/>
                    </a:stretch>
                  </pic:blipFill>
                  <pic:spPr bwMode="auto">
                    <a:xfrm>
                      <a:off x="0" y="0"/>
                      <a:ext cx="7150735" cy="24765"/>
                    </a:xfrm>
                    <a:prstGeom prst="rect">
                      <a:avLst/>
                    </a:prstGeom>
                    <a:noFill/>
                  </pic:spPr>
                </pic:pic>
              </a:graphicData>
            </a:graphic>
          </wp:anchor>
        </w:drawing>
        <w:t>(collectively, “</w:t>
      </w:r>
      <w:r>
        <w:rPr>
          <w:rFonts w:ascii="Times New Roman" w:cs="Times New Roman" w:eastAsia="Times New Roman" w:hAnsi="Times New Roman"/>
          <w:sz w:val="18"/>
          <w:szCs w:val="18"/>
          <w:u w:val="single" w:color="auto"/>
          <w:color w:val="auto"/>
        </w:rPr>
        <w:t>Government Agencies</w:t>
      </w:r>
      <w:r>
        <w:rPr>
          <w:rFonts w:ascii="Times New Roman" w:cs="Times New Roman" w:eastAsia="Times New Roman" w:hAnsi="Times New Roman"/>
          <w:sz w:val="18"/>
          <w:szCs w:val="18"/>
          <w:color w:val="auto"/>
        </w:rPr>
        <w:t>”),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and/or (iii) receiving an award for information provided to any Government Agency. Pursuant to 18 USC Section 1833(b), the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Agreement is intended to or shall preclude either party from providing truthful testimony in response to a valid subpoena, court order, regulatory request or other judicial, administrative or legal process or otherwise as required by law. If the Executive is required to provide testimony, then unless otherwise directed or requested by a Government Agency or law enforcement, the Executive shall notify the Corporation as soon as reasonably practicable after receiving any such request of the anticipated testimony.</w:t>
      </w:r>
    </w:p>
    <w:p>
      <w:pPr>
        <w:spacing w:after="0" w:line="187" w:lineRule="exact"/>
        <w:rPr>
          <w:sz w:val="20"/>
          <w:szCs w:val="20"/>
          <w:color w:val="auto"/>
        </w:rPr>
      </w:pPr>
    </w:p>
    <w:p>
      <w:pPr>
        <w:jc w:val="both"/>
        <w:ind w:left="6" w:right="220" w:hanging="6"/>
        <w:spacing w:after="0" w:line="287" w:lineRule="auto"/>
        <w:tabs>
          <w:tab w:leader="none" w:pos="407" w:val="left"/>
        </w:tabs>
        <w:numPr>
          <w:ilvl w:val="0"/>
          <w:numId w:val="5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color w:val="auto"/>
        </w:rPr>
        <w:t>. This Agreement may be executed in any number of counterparts, each of which shall be deemed an original as against any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whose signature appears thereon, and all of which together shall constitute one and the same instrument. This Agreement shall become binding when one or more counterparts hereof, individually or taken together, shall bear the signatures of all of the parties reflected hereon as the signatories.</w:t>
      </w:r>
    </w:p>
    <w:p>
      <w:pPr>
        <w:spacing w:after="0" w:line="153" w:lineRule="exact"/>
        <w:rPr>
          <w:rFonts w:ascii="Times New Roman" w:cs="Times New Roman" w:eastAsia="Times New Roman" w:hAnsi="Times New Roman"/>
          <w:sz w:val="17"/>
          <w:szCs w:val="17"/>
          <w:b w:val="1"/>
          <w:bCs w:val="1"/>
          <w:color w:val="auto"/>
        </w:rPr>
      </w:pPr>
    </w:p>
    <w:p>
      <w:pPr>
        <w:ind w:left="6" w:right="80" w:hanging="6"/>
        <w:spacing w:after="0" w:line="256" w:lineRule="auto"/>
        <w:tabs>
          <w:tab w:leader="none" w:pos="407" w:val="left"/>
        </w:tabs>
        <w:numPr>
          <w:ilvl w:val="0"/>
          <w:numId w:val="5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Legal Counsel</w:t>
      </w:r>
      <w:r>
        <w:rPr>
          <w:rFonts w:ascii="Times New Roman" w:cs="Times New Roman" w:eastAsia="Times New Roman" w:hAnsi="Times New Roman"/>
          <w:sz w:val="18"/>
          <w:szCs w:val="18"/>
          <w:color w:val="auto"/>
        </w:rPr>
        <w:t>. Each party recognizes that this is a legally binding contract and acknowledges and agrees that they have had the opportunity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 with legal counsel of their choice. The Executive agrees and acknowledges that he has read and understands this Agreement, is entering into it freely and voluntarily, and has been advised to seek counsel prior to entering into this Agreement and has had ample opportunity to do so. This Agreement has resulted from negotiations and discussions between the parties and no one party shall be treated as drafting this Agreement for purposes of interpreting any provision hereof.</w:t>
      </w:r>
    </w:p>
    <w:p>
      <w:pPr>
        <w:spacing w:after="0" w:line="18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intentionally been left blank</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66"/>
          </w:cols>
          <w:pgMar w:left="494" w:top="267" w:right="539" w:bottom="1440" w:gutter="0" w:footer="0" w:header="0"/>
        </w:sectPr>
      </w:pPr>
    </w:p>
    <w:bookmarkStart w:id="605" w:name="page606"/>
    <w:bookmarkEnd w:id="605"/>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04">
                      <a:extLst>
                        <a:ext uri="{28A0092B-C50C-407E-A947-70E740481C1C}"/>
                      </a:extLst>
                    </a:blip>
                    <a:srcRect/>
                    <a:stretch>
                      <a:fillRect/>
                    </a:stretch>
                  </pic:blipFill>
                  <pic:spPr bwMode="auto">
                    <a:xfrm>
                      <a:off x="0" y="0"/>
                      <a:ext cx="7150735" cy="24765"/>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Corporation and the Executive have executed this Agreement as of the date set forth above.</w:t>
      </w:r>
    </w:p>
    <w:p>
      <w:pPr>
        <w:spacing w:after="0" w:line="25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2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15875</wp:posOffset>
            </wp:positionV>
            <wp:extent cx="240030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w:t>
      </w:r>
    </w:p>
    <w:p>
      <w:pPr>
        <w:spacing w:after="0" w:line="26"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w:t>
      </w:r>
    </w:p>
    <w:p>
      <w:pPr>
        <w:spacing w:after="0" w:line="19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15875</wp:posOffset>
            </wp:positionV>
            <wp:extent cx="240030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MPLOYMENT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9539"/>
          </w:cols>
          <w:pgMar w:left="920" w:top="263" w:right="1440" w:bottom="1440" w:gutter="0" w:footer="0" w:header="0"/>
        </w:sectPr>
      </w:pPr>
    </w:p>
    <w:bookmarkStart w:id="606" w:name="page607"/>
    <w:bookmarkEnd w:id="606"/>
    <w:tbl>
      <w:tblPr>
        <w:tblLayout w:type="fixed"/>
        <w:tblInd w:w="0" w:type="dxa"/>
        <w:tblCellMar>
          <w:top w:w="0" w:type="dxa"/>
          <w:left w:w="0" w:type="dxa"/>
          <w:bottom w:w="0" w:type="dxa"/>
          <w:right w:w="0" w:type="dxa"/>
        </w:tblCellMar>
      </w:tblPr>
      <w:tr>
        <w:trPr>
          <w:trHeight w:val="237"/>
        </w:trPr>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80" w:type="dxa"/>
            <w:vAlign w:val="bottom"/>
          </w:tcPr>
          <w:p>
            <w:pPr>
              <w:ind w:left="2340"/>
              <w:spacing w:after="0"/>
              <w:rPr>
                <w:sz w:val="20"/>
                <w:szCs w:val="20"/>
                <w:color w:val="auto"/>
              </w:rPr>
            </w:pPr>
            <w:r>
              <w:rPr>
                <w:rFonts w:ascii="Times New Roman" w:cs="Times New Roman" w:eastAsia="Times New Roman" w:hAnsi="Times New Roman"/>
                <w:sz w:val="18"/>
                <w:szCs w:val="18"/>
                <w:b w:val="1"/>
                <w:bCs w:val="1"/>
                <w:color w:val="auto"/>
                <w:w w:val="96"/>
              </w:rPr>
              <w:t>Exhibit A</w:t>
            </w:r>
          </w:p>
        </w:tc>
      </w:tr>
      <w:tr>
        <w:trPr>
          <w:trHeight w:val="427"/>
        </w:trPr>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GENERAL RELEASE OF ALL CLAIMS</w:t>
            </w:r>
          </w:p>
        </w:tc>
      </w:tr>
      <w:tr>
        <w:trPr>
          <w:trHeight w:val="387"/>
        </w:trPr>
        <w:tc>
          <w:tcPr>
            <w:tcW w:w="630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This General Release of all Claims (this “Agreement”) is entered into by [</w:t>
            </w:r>
          </w:p>
        </w:tc>
        <w:tc>
          <w:tcPr>
            <w:tcW w:w="4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(the “Executive”) and GoodRx, Inc., a Delaware</w:t>
            </w:r>
          </w:p>
        </w:tc>
      </w:tr>
      <w:tr>
        <w:trPr>
          <w:trHeight w:val="20"/>
        </w:trPr>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94"/>
        </w:trPr>
        <w:tc>
          <w:tcPr>
            <w:tcW w:w="36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corporation (the “Corporation”), effective as of [</w:t>
            </w:r>
          </w:p>
        </w:tc>
        <w:tc>
          <w:tcPr>
            <w:tcW w:w="560" w:type="dxa"/>
            <w:vAlign w:val="bottom"/>
          </w:tcPr>
          <w:p>
            <w:pPr>
              <w:spacing w:after="0"/>
              <w:rPr>
                <w:sz w:val="16"/>
                <w:szCs w:val="16"/>
                <w:color w:val="auto"/>
              </w:rPr>
            </w:pPr>
          </w:p>
        </w:tc>
        <w:tc>
          <w:tcPr>
            <w:tcW w:w="6700" w:type="dxa"/>
            <w:vAlign w:val="bottom"/>
            <w:gridSpan w:val="4"/>
          </w:tcPr>
          <w:p>
            <w:pPr>
              <w:ind w:left="140"/>
              <w:spacing w:after="0" w:line="194" w:lineRule="exact"/>
              <w:rPr>
                <w:sz w:val="20"/>
                <w:szCs w:val="20"/>
                <w:color w:val="auto"/>
              </w:rPr>
            </w:pPr>
            <w:r>
              <w:rPr>
                <w:rFonts w:ascii="Times New Roman" w:cs="Times New Roman" w:eastAsia="Times New Roman" w:hAnsi="Times New Roman"/>
                <w:sz w:val="18"/>
                <w:szCs w:val="18"/>
                <w:color w:val="auto"/>
                <w:w w:val="99"/>
              </w:rPr>
              <w:t>], but subject to the Executive’s right to revoke as set forth in Section 3(c). In consideration</w:t>
            </w:r>
          </w:p>
        </w:tc>
      </w:tr>
      <w:tr>
        <w:trPr>
          <w:trHeight w:val="20"/>
        </w:trPr>
        <w:tc>
          <w:tcPr>
            <w:tcW w:w="1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34"/>
        </w:trPr>
        <w:tc>
          <w:tcPr>
            <w:tcW w:w="6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the promises set forth herein, the Executive and the Corporation agree as follows:</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80" w:type="dxa"/>
            <w:vAlign w:val="bottom"/>
          </w:tcPr>
          <w:p>
            <w:pPr>
              <w:spacing w:after="0"/>
              <w:rPr>
                <w:sz w:val="20"/>
                <w:szCs w:val="20"/>
                <w:color w:val="auto"/>
              </w:rPr>
            </w:pPr>
          </w:p>
        </w:tc>
      </w:tr>
    </w:tbl>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ind w:right="40" w:firstLine="430"/>
        <w:spacing w:after="0" w:line="259" w:lineRule="auto"/>
        <w:tabs>
          <w:tab w:leader="none" w:pos="747" w:val="left"/>
        </w:tabs>
        <w:numPr>
          <w:ilvl w:val="0"/>
          <w:numId w:val="5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and Return of Property</w:t>
      </w:r>
      <w:r>
        <w:rPr>
          <w:rFonts w:ascii="Times New Roman" w:cs="Times New Roman" w:eastAsia="Times New Roman" w:hAnsi="Times New Roman"/>
          <w:sz w:val="18"/>
          <w:szCs w:val="18"/>
          <w:color w:val="auto"/>
        </w:rPr>
        <w:t>. The Executive’s employment with the Corporation in any capacity has terminated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[Separation Date]. All files, access keys and codes, desk keys, ID badges, computers, records, manuals, electronic devices, computer programs, papers, electronically stored information or documents, telephones and credit cards, and any other property of the Corporation or any affiliate thereof previously in the Employee’s possession or control has been returned to the Corporation [or will be returned on or before the Separation Date].</w:t>
      </w:r>
    </w:p>
    <w:p>
      <w:pPr>
        <w:spacing w:after="0" w:line="175" w:lineRule="exact"/>
        <w:rPr>
          <w:rFonts w:ascii="Times New Roman" w:cs="Times New Roman" w:eastAsia="Times New Roman" w:hAnsi="Times New Roman"/>
          <w:sz w:val="18"/>
          <w:szCs w:val="18"/>
          <w:b w:val="1"/>
          <w:bCs w:val="1"/>
          <w:color w:val="auto"/>
        </w:rPr>
      </w:pPr>
    </w:p>
    <w:p>
      <w:pPr>
        <w:ind w:left="740" w:hanging="310"/>
        <w:spacing w:after="0"/>
        <w:tabs>
          <w:tab w:leader="none" w:pos="740" w:val="left"/>
        </w:tabs>
        <w:numPr>
          <w:ilvl w:val="0"/>
          <w:numId w:val="5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Severance</w:t>
      </w:r>
      <w:r>
        <w:rPr>
          <w:rFonts w:ascii="Times New Roman" w:cs="Times New Roman" w:eastAsia="Times New Roman" w:hAnsi="Times New Roman"/>
          <w:sz w:val="18"/>
          <w:szCs w:val="18"/>
          <w:color w:val="auto"/>
        </w:rPr>
        <w:t>. The Corporation shall pay to the Executive the Severance Benefit (as defined in that certain Amended and Restated Employment</w:t>
      </w: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Agreement between the Corporation and the Executive dated as of [</w:t>
            </w:r>
          </w:p>
        </w:tc>
        <w:tc>
          <w:tcPr>
            <w:tcW w:w="5080" w:type="dxa"/>
            <w:vAlign w:val="bottom"/>
            <w:gridSpan w:val="3"/>
          </w:tcPr>
          <w:p>
            <w:pPr>
              <w:ind w:left="440"/>
              <w:spacing w:after="0" w:line="203" w:lineRule="exact"/>
              <w:rPr>
                <w:sz w:val="20"/>
                <w:szCs w:val="20"/>
                <w:color w:val="auto"/>
              </w:rPr>
            </w:pPr>
            <w:r>
              <w:rPr>
                <w:rFonts w:ascii="Times New Roman" w:cs="Times New Roman" w:eastAsia="Times New Roman" w:hAnsi="Times New Roman"/>
                <w:sz w:val="18"/>
                <w:szCs w:val="18"/>
                <w:color w:val="auto"/>
                <w:w w:val="98"/>
              </w:rPr>
              <w:t>], 2020 (the “Employment Agreement”)) in accordance with, and</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subject to, the provisions of the Employment Agreement.</w:t>
            </w:r>
          </w:p>
        </w:tc>
        <w:tc>
          <w:tcPr>
            <w:tcW w:w="138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940" w:type="dxa"/>
            <w:vAlign w:val="bottom"/>
          </w:tcPr>
          <w:p>
            <w:pPr>
              <w:spacing w:after="0"/>
              <w:rPr>
                <w:sz w:val="20"/>
                <w:szCs w:val="20"/>
                <w:color w:val="auto"/>
              </w:rPr>
            </w:pPr>
          </w:p>
        </w:tc>
      </w:tr>
    </w:tbl>
    <w:p>
      <w:pPr>
        <w:spacing w:after="0" w:line="298" w:lineRule="exact"/>
        <w:rPr>
          <w:sz w:val="20"/>
          <w:szCs w:val="20"/>
          <w:color w:val="auto"/>
        </w:rPr>
      </w:pPr>
    </w:p>
    <w:p>
      <w:pPr>
        <w:ind w:left="740" w:hanging="310"/>
        <w:spacing w:after="0"/>
        <w:tabs>
          <w:tab w:leader="none" w:pos="740" w:val="left"/>
        </w:tabs>
        <w:numPr>
          <w:ilvl w:val="0"/>
          <w:numId w:val="5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Release and Waiver of Claims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b w:val="1"/>
          <w:bCs w:val="1"/>
          <w:color w:val="auto"/>
        </w:rPr>
      </w:pPr>
    </w:p>
    <w:p>
      <w:pPr>
        <w:ind w:right="60" w:firstLine="975"/>
        <w:spacing w:after="0" w:line="250" w:lineRule="auto"/>
        <w:tabs>
          <w:tab w:leader="none" w:pos="1357"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 By Executive</w:t>
      </w:r>
      <w:r>
        <w:rPr>
          <w:rFonts w:ascii="Times New Roman" w:cs="Times New Roman" w:eastAsia="Times New Roman" w:hAnsi="Times New Roman"/>
          <w:sz w:val="18"/>
          <w:szCs w:val="18"/>
          <w:color w:val="auto"/>
        </w:rPr>
        <w:t>. Having consulted with counsel, the Executive, on behalf of himself and each of his respective heirs,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executors, administrators, representatives, agents, insurers, successors and assigns (collectively, and including the Executive, the “</w:t>
      </w:r>
      <w:r>
        <w:rPr>
          <w:rFonts w:ascii="Times New Roman" w:cs="Times New Roman" w:eastAsia="Times New Roman" w:hAnsi="Times New Roman"/>
          <w:sz w:val="18"/>
          <w:szCs w:val="18"/>
          <w:u w:val="single" w:color="auto"/>
          <w:color w:val="auto"/>
        </w:rPr>
        <w:t>Releasors</w:t>
      </w:r>
      <w:r>
        <w:rPr>
          <w:rFonts w:ascii="Times New Roman" w:cs="Times New Roman" w:eastAsia="Times New Roman" w:hAnsi="Times New Roman"/>
          <w:sz w:val="18"/>
          <w:szCs w:val="18"/>
          <w:color w:val="auto"/>
        </w:rPr>
        <w:t>”) hereby irrevocably and unconditionally releases and forever discharges the Corporation, its parents (including GoodRx Holdings, Inc.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subsidiaries and affiliates and each of their respective officers, employees, directors, members, shareholders, parents, subsidiaries and agents (collectively,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from any and all claims, actions, causes of action, rights, judgments, obligations, damages, demands, accountings or liabilities of whatever kind or character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which the Executive now has or may hereafter have against the Releasees, or any of them, by reason of any matter, cause, or thing whatsoever from the beginning of time to the date hereof (including, without limitation, any Claims under any federal, state, local or foreign law that they may have, or in the future may possess, arising out of the Executive’s employment relationship with and service as an employee, officer or director of the Corporation, its parent entity (including Holdings) or any other subsidiaries of such parent entity, and the termination of such relationship or service);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Executive does not release, discharge or waive any rights to (i) payments and benefits provided under this Agreement or under any other agreement between Executive and any of the Releasees that would, by their nature, survive the termination of employment, (ii) equity and other securities of Holdings or rights under agreements with any of the Releasees related to the Executive’s equity securities of Holdings, (iii) benefit claims under any employee benefit plans in which Executive is a participant by virtue of his employment with the Corporation, (iv) any indemnification, advance or reimbursement rights the Executive may have</w:t>
      </w:r>
    </w:p>
    <w:p>
      <w:pPr>
        <w:sectPr>
          <w:pgSz w:w="11900" w:h="16838" w:orient="portrait"/>
          <w:cols w:equalWidth="0" w:num="1">
            <w:col w:w="10900"/>
          </w:cols>
          <w:pgMar w:left="500" w:top="264" w:right="499" w:bottom="1440" w:gutter="0" w:footer="0" w:header="0"/>
        </w:sectPr>
      </w:pPr>
    </w:p>
    <w:bookmarkStart w:id="607" w:name="page608"/>
    <w:bookmarkEnd w:id="607"/>
    <w:p>
      <w:pPr>
        <w:ind w:right="1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08">
                      <a:extLst>
                        <a:ext uri="{28A0092B-C50C-407E-A947-70E740481C1C}"/>
                      </a:extLst>
                    </a:blip>
                    <a:srcRect/>
                    <a:stretch>
                      <a:fillRect/>
                    </a:stretch>
                  </pic:blipFill>
                  <pic:spPr bwMode="auto">
                    <a:xfrm>
                      <a:off x="0" y="0"/>
                      <a:ext cx="7150735" cy="24765"/>
                    </a:xfrm>
                    <a:prstGeom prst="rect">
                      <a:avLst/>
                    </a:prstGeom>
                    <a:noFill/>
                  </pic:spPr>
                </pic:pic>
              </a:graphicData>
            </a:graphic>
          </wp:anchor>
        </w:drawing>
        <w:t>in accordance with applicable law, indemnification agreements, certificate of incorporation or bylaws of Corporation, or under any director and officer liability insurance or other insurance maintained by the Corporation or a parent entity with respect to liabilities arising as a result of the Executive’s service as an officer and employee of such entities, and (v) claims that cannot be waived by an employee under applicable law. [This Paragraph 3(a) does not apply to any Claims that the Executive may have as of the date the Executive signs this Agreement arising under the Federal Age Discrimination in Employment Act of 1967, as amended, and the applicable rules and regulations promulgated thereunder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or any other claims that may not be released as a matter of law. Claims arising under ADEA are addressed in Paragraph 3(c) of this Agreement.]</w:t>
      </w:r>
    </w:p>
    <w:p>
      <w:pPr>
        <w:spacing w:after="0" w:line="183" w:lineRule="exact"/>
        <w:rPr>
          <w:sz w:val="20"/>
          <w:szCs w:val="20"/>
          <w:color w:val="auto"/>
        </w:rPr>
      </w:pPr>
    </w:p>
    <w:p>
      <w:pPr>
        <w:ind w:right="40" w:firstLine="975"/>
        <w:spacing w:after="0" w:line="254" w:lineRule="auto"/>
        <w:tabs>
          <w:tab w:leader="none" w:pos="1367"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Unknown Claims</w:t>
      </w:r>
      <w:r>
        <w:rPr>
          <w:rFonts w:ascii="Times New Roman" w:cs="Times New Roman" w:eastAsia="Times New Roman" w:hAnsi="Times New Roman"/>
          <w:sz w:val="18"/>
          <w:szCs w:val="18"/>
          <w:color w:val="auto"/>
        </w:rPr>
        <w:t>. The Executive acknowledges that he may hereafter discover Claims or facts in addition to or different from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Executive now knows or believes to exist with respect to the subject matter of this release and which, if known or suspected at the time of executing this release, may have materially affected this release or the Executive’s decision to enter into it. Nevertheless, the Executive hereby waives any right or Claim that might arise as a result of such different or additional Claims or facts. In addition, the Executive, on behalf of himself and the other Releasors, hereby waives any and all rights and benefits conferred upon him and the other Releasors by the provisions of Section 1542 of the Civil Code of the State of California, which provides as follows:</w:t>
      </w:r>
    </w:p>
    <w:p>
      <w:pPr>
        <w:spacing w:after="0" w:line="79" w:lineRule="exact"/>
        <w:rPr>
          <w:sz w:val="20"/>
          <w:szCs w:val="20"/>
          <w:color w:val="auto"/>
        </w:rPr>
      </w:pPr>
    </w:p>
    <w:p>
      <w:pPr>
        <w:ind w:left="980" w:right="160"/>
        <w:spacing w:after="0" w:line="257"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8" w:lineRule="exact"/>
        <w:rPr>
          <w:sz w:val="20"/>
          <w:szCs w:val="20"/>
          <w:color w:val="auto"/>
        </w:rPr>
      </w:pPr>
    </w:p>
    <w:p>
      <w:pPr>
        <w:ind w:firstLine="975"/>
        <w:spacing w:after="0" w:line="250" w:lineRule="auto"/>
        <w:tabs>
          <w:tab w:leader="none" w:pos="1357"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Specific Release of ADEA Claims</w:t>
      </w:r>
      <w:r>
        <w:rPr>
          <w:rFonts w:ascii="Times New Roman" w:cs="Times New Roman" w:eastAsia="Times New Roman" w:hAnsi="Times New Roman"/>
          <w:sz w:val="18"/>
          <w:szCs w:val="18"/>
          <w:color w:val="auto"/>
        </w:rPr>
        <w:t>. In further consideration of the payments and benefits provided to the Executive under this Agreement, the Executive, on behalf of himself and the other Releasors, hereby unconditionally releases and forever discharges the Releasees from any and all Claims arising under ADEA that the Releasors may have as of the date the Executive signs this Agreement. By signing this Agreement, the Executive hereby acknowledges and confirms the following: (i) the Executive was advised by the Corporation in connection with his termination to consult with an attorney of his choice prior to signing this Agreement and to have such attorney explain to the Executive the terms of this Agreement, including, without limitation, the terms relating to the Executive’s release of claims arising under ADEA, and the Executive has in fact consulted with an attorney; (ii) the Executive was given a period of not fewer than [twenty-one (21)] days to consider the terms of this Agreement and to consult with an attorney of his/her choosing with respect thereto; (iii) having read the terms of this Agreement, the Executive understands its terms and effects, and the Executive knowingly and voluntarily accepts the terms of this Agreement; and (iv) the Executive is providing this release and discharge only in exchange for consideration in addition to anything of value to which the Executive is already entitled, and acknowledges such consideration is adequate and satisfactory to the Executive. The Executive also understands that he has seven days following the date on which he signs this Agreement within which to revoke the release contained in this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500" w:top="267" w:right="499" w:bottom="1440" w:gutter="0" w:footer="0" w:header="0"/>
        </w:sectPr>
      </w:pPr>
    </w:p>
    <w:bookmarkStart w:id="608" w:name="page609"/>
    <w:bookmarkEnd w:id="608"/>
    <w:p>
      <w:pPr>
        <w:ind w:left="6" w:right="2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90170</wp:posOffset>
            </wp:positionV>
            <wp:extent cx="7150735" cy="254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paragraph, by providing the Corporation with a written notice of his revocation of the release and waiver contained in this paragraph. Any revocation must be in writing and sent to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via electronic mail at [</w:t>
      </w:r>
      <w:r>
        <w:rPr>
          <w:rFonts w:ascii="Times New Roman" w:cs="Times New Roman" w:eastAsia="Times New Roman" w:hAnsi="Times New Roman"/>
          <w:sz w:val="18"/>
          <w:szCs w:val="18"/>
          <w:i w:val="1"/>
          <w:iCs w:val="1"/>
          <w:color w:val="auto"/>
        </w:rPr>
        <w:t>email address</w:t>
      </w:r>
      <w:r>
        <w:rPr>
          <w:rFonts w:ascii="Times New Roman" w:cs="Times New Roman" w:eastAsia="Times New Roman" w:hAnsi="Times New Roman"/>
          <w:sz w:val="18"/>
          <w:szCs w:val="18"/>
          <w:color w:val="auto"/>
        </w:rPr>
        <w:t>], on or before [5:00 p.m. Pacific time] on the seventh day after this Agreement is executed by the Executive.]</w:t>
      </w:r>
    </w:p>
    <w:p>
      <w:pPr>
        <w:spacing w:after="0" w:line="173" w:lineRule="exact"/>
        <w:rPr>
          <w:sz w:val="20"/>
          <w:szCs w:val="20"/>
          <w:color w:val="auto"/>
        </w:rPr>
      </w:pPr>
    </w:p>
    <w:p>
      <w:pPr>
        <w:jc w:val="both"/>
        <w:ind w:left="6" w:right="240" w:firstLine="975"/>
        <w:spacing w:after="0" w:line="265" w:lineRule="auto"/>
        <w:tabs>
          <w:tab w:leader="none" w:pos="1373" w:val="left"/>
        </w:tabs>
        <w:numPr>
          <w:ilvl w:val="2"/>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Assignment</w:t>
      </w:r>
      <w:r>
        <w:rPr>
          <w:rFonts w:ascii="Times New Roman" w:cs="Times New Roman" w:eastAsia="Times New Roman" w:hAnsi="Times New Roman"/>
          <w:sz w:val="18"/>
          <w:szCs w:val="18"/>
          <w:color w:val="auto"/>
        </w:rPr>
        <w:t>. The Executive represents and warrants that he has not assigned or otherwise transferred any of the Claims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released under this Agreement. The Corporation may assign this Agreement, in whole or in part, to any affiliated entity, including subsidiaries of the Corporation, or any successor in interest to the Corporation.</w:t>
      </w:r>
    </w:p>
    <w:p>
      <w:pPr>
        <w:spacing w:after="0" w:line="276" w:lineRule="exact"/>
        <w:rPr>
          <w:rFonts w:ascii="Times New Roman" w:cs="Times New Roman" w:eastAsia="Times New Roman" w:hAnsi="Times New Roman"/>
          <w:sz w:val="18"/>
          <w:szCs w:val="18"/>
          <w:color w:val="auto"/>
        </w:rPr>
      </w:pPr>
    </w:p>
    <w:p>
      <w:pPr>
        <w:ind w:left="746" w:hanging="310"/>
        <w:spacing w:after="0"/>
        <w:tabs>
          <w:tab w:leader="none" w:pos="746" w:val="left"/>
        </w:tabs>
        <w:numPr>
          <w:ilvl w:val="1"/>
          <w:numId w:val="5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Proceedings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b w:val="1"/>
          <w:bCs w:val="1"/>
          <w:color w:val="auto"/>
        </w:rPr>
      </w:pPr>
    </w:p>
    <w:p>
      <w:pPr>
        <w:ind w:left="6" w:right="20" w:firstLine="975"/>
        <w:spacing w:after="0" w:line="254" w:lineRule="auto"/>
        <w:tabs>
          <w:tab w:leader="none" w:pos="1363" w:val="left"/>
        </w:tabs>
        <w:numPr>
          <w:ilvl w:val="2"/>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 Agreement Relating to Proceedings</w:t>
      </w:r>
      <w:r>
        <w:rPr>
          <w:rFonts w:ascii="Times New Roman" w:cs="Times New Roman" w:eastAsia="Times New Roman" w:hAnsi="Times New Roman"/>
          <w:sz w:val="18"/>
          <w:szCs w:val="18"/>
          <w:color w:val="auto"/>
        </w:rPr>
        <w:t>. The Executive has not filed, and except as provided in Paragraphs 4(b) and 4(c),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agrees not to initiate or cause to be initiated on his behalf, any complaint, charge, claim or proceeding that is released hereunder against any party released herein before any local, state or federal agency, court or other body, other than with respect to the obligations of the Corporation or any other party released herein to the Executive under this Agreement or any indemnification or other rights the Executive may have as listed in Paragraph 3(a) (each, individually,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and agrees not to participate voluntarily in any Proceeding. The Executive waives any right he may have to benefit in any manner from any relief (whether monetary or otherwise) arising out of any Proceeding.</w:t>
      </w:r>
    </w:p>
    <w:p>
      <w:pPr>
        <w:spacing w:after="0" w:line="181" w:lineRule="exact"/>
        <w:rPr>
          <w:rFonts w:ascii="Times New Roman" w:cs="Times New Roman" w:eastAsia="Times New Roman" w:hAnsi="Times New Roman"/>
          <w:sz w:val="18"/>
          <w:szCs w:val="18"/>
          <w:color w:val="auto"/>
        </w:rPr>
      </w:pPr>
    </w:p>
    <w:p>
      <w:pPr>
        <w:jc w:val="both"/>
        <w:ind w:left="6" w:firstLine="975"/>
        <w:spacing w:after="0" w:line="259" w:lineRule="auto"/>
        <w:tabs>
          <w:tab w:leader="none" w:pos="1373" w:val="left"/>
        </w:tabs>
        <w:numPr>
          <w:ilvl w:val="2"/>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Proceedings Under ADEA</w:t>
      </w:r>
      <w:r>
        <w:rPr>
          <w:rFonts w:ascii="Times New Roman" w:cs="Times New Roman" w:eastAsia="Times New Roman" w:hAnsi="Times New Roman"/>
          <w:sz w:val="18"/>
          <w:szCs w:val="18"/>
          <w:color w:val="auto"/>
        </w:rPr>
        <w:t>. Paragraph 4(a) shall not preclude the Executive from filing any complaint, charge, claim or proceeding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challenging the validity of the Executive waiver of Claims arising under ADEA (which is set forth in Paragraph 3(c) of this Agreement). However, both the Executive and the Corporation confirm their belief that the Executive’s waiver of claims under ADEA is valid and enforceable, and that their intention is that all claims under ADEA will be waived.</w:t>
      </w:r>
    </w:p>
    <w:p>
      <w:pPr>
        <w:spacing w:after="0" w:line="175" w:lineRule="exact"/>
        <w:rPr>
          <w:rFonts w:ascii="Times New Roman" w:cs="Times New Roman" w:eastAsia="Times New Roman" w:hAnsi="Times New Roman"/>
          <w:sz w:val="18"/>
          <w:szCs w:val="18"/>
          <w:color w:val="auto"/>
        </w:rPr>
      </w:pPr>
    </w:p>
    <w:p>
      <w:pPr>
        <w:ind w:left="6" w:right="160" w:firstLine="975"/>
        <w:spacing w:after="0" w:line="256" w:lineRule="auto"/>
        <w:tabs>
          <w:tab w:leader="none" w:pos="1363" w:val="left"/>
        </w:tabs>
        <w:numPr>
          <w:ilvl w:val="2"/>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Administrative Proceedings</w:t>
      </w:r>
      <w:r>
        <w:rPr>
          <w:rFonts w:ascii="Times New Roman" w:cs="Times New Roman" w:eastAsia="Times New Roman" w:hAnsi="Times New Roman"/>
          <w:sz w:val="18"/>
          <w:szCs w:val="18"/>
          <w:color w:val="auto"/>
        </w:rPr>
        <w:t>. In addition, Paragraph 4(a) shall not preclude the Executive from filing a charge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participating in any administrative investigation or proceeding by, the Equal Employment Opportunity Commission or another fair employment practices agency. The Executive is, however, waiving his right to recover money in connection with any such charge or investigation to the extent released hereunder. The Executive is also waiving his right to recover money in connection with a charge filed by any other entity or individual, or by any federal, state or local agency to the extent released hereunder.</w:t>
      </w:r>
    </w:p>
    <w:p>
      <w:pPr>
        <w:spacing w:after="0" w:line="178" w:lineRule="exact"/>
        <w:rPr>
          <w:rFonts w:ascii="Times New Roman" w:cs="Times New Roman" w:eastAsia="Times New Roman" w:hAnsi="Times New Roman"/>
          <w:sz w:val="18"/>
          <w:szCs w:val="18"/>
          <w:color w:val="auto"/>
        </w:rPr>
      </w:pPr>
    </w:p>
    <w:p>
      <w:pPr>
        <w:ind w:left="6" w:right="80" w:firstLine="430"/>
        <w:spacing w:after="0" w:line="271" w:lineRule="auto"/>
        <w:tabs>
          <w:tab w:leader="none" w:pos="753" w:val="left"/>
        </w:tabs>
        <w:numPr>
          <w:ilvl w:val="1"/>
          <w:numId w:val="5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Exceptions</w:t>
      </w:r>
      <w:r>
        <w:rPr>
          <w:rFonts w:ascii="Times New Roman" w:cs="Times New Roman" w:eastAsia="Times New Roman" w:hAnsi="Times New Roman"/>
          <w:sz w:val="17"/>
          <w:szCs w:val="17"/>
          <w:color w:val="auto"/>
        </w:rPr>
        <w:t>. Notwithstanding anything in this Agreement to the contrary, nothing contained in this Agreement shall prohibit the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(i) 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and/or</w:t>
      </w:r>
    </w:p>
    <w:p>
      <w:pPr>
        <w:spacing w:after="0" w:line="1" w:lineRule="exact"/>
        <w:rPr>
          <w:rFonts w:ascii="Times New Roman" w:cs="Times New Roman" w:eastAsia="Times New Roman" w:hAnsi="Times New Roman"/>
          <w:sz w:val="17"/>
          <w:szCs w:val="17"/>
          <w:b w:val="1"/>
          <w:bCs w:val="1"/>
          <w:color w:val="auto"/>
        </w:rPr>
      </w:pPr>
    </w:p>
    <w:p>
      <w:pPr>
        <w:ind w:left="6" w:right="60" w:hanging="6"/>
        <w:spacing w:after="0" w:line="251" w:lineRule="auto"/>
        <w:tabs>
          <w:tab w:leader="none" w:pos="268"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directly with, cooperating with, or providing information (including trade secrets) in confidence to, any federal, state or local government regulator (including, but not limited to, the U.S. Securities and Exchange Commission, the U.S. Commodity Futures Trading Commission, or the U.S. Department of Justice) for the purpose of reporting or investigating a</w:t>
      </w:r>
    </w:p>
    <w:p>
      <w:pPr>
        <w:spacing w:after="0" w:line="120" w:lineRule="exact"/>
        <w:rPr>
          <w:sz w:val="20"/>
          <w:szCs w:val="20"/>
          <w:color w:val="auto"/>
        </w:rPr>
      </w:pPr>
    </w:p>
    <w:p>
      <w:pPr>
        <w:jc w:val="center"/>
        <w:ind w:right="-6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26"/>
          </w:cols>
          <w:pgMar w:left="494" w:top="269" w:right="579" w:bottom="1440" w:gutter="0" w:footer="0" w:header="0"/>
        </w:sectPr>
      </w:pPr>
    </w:p>
    <w:bookmarkStart w:id="609" w:name="page610"/>
    <w:bookmarkEnd w:id="609"/>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suspected violation of law, or from providing such information to the Executive’s attorney or in a sealed complaint or other document filed in a lawsuit or other governmental proceeding. Pursuant to 18 USC Section 1833(b), the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w:t>
      </w:r>
    </w:p>
    <w:p>
      <w:pPr>
        <w:spacing w:after="0" w:line="179" w:lineRule="exact"/>
        <w:rPr>
          <w:sz w:val="20"/>
          <w:szCs w:val="20"/>
          <w:color w:val="auto"/>
        </w:rPr>
      </w:pPr>
    </w:p>
    <w:p>
      <w:pPr>
        <w:ind w:right="300" w:firstLine="430"/>
        <w:spacing w:after="0" w:line="282" w:lineRule="auto"/>
        <w:tabs>
          <w:tab w:leader="none" w:pos="747" w:val="left"/>
        </w:tabs>
        <w:numPr>
          <w:ilvl w:val="0"/>
          <w:numId w:val="5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 Clause</w:t>
      </w:r>
      <w:r>
        <w:rPr>
          <w:rFonts w:ascii="Times New Roman" w:cs="Times New Roman" w:eastAsia="Times New Roman" w:hAnsi="Times New Roman"/>
          <w:sz w:val="18"/>
          <w:szCs w:val="18"/>
          <w:color w:val="auto"/>
        </w:rPr>
        <w:t>. In the event that any provision or part of this Agreement is found to be invalid or unenforceable, only that particular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or part so found, and not the entire Agreement, shall be inoperative.</w:t>
      </w:r>
    </w:p>
    <w:p>
      <w:pPr>
        <w:spacing w:after="0" w:line="154" w:lineRule="exact"/>
        <w:rPr>
          <w:rFonts w:ascii="Times New Roman" w:cs="Times New Roman" w:eastAsia="Times New Roman" w:hAnsi="Times New Roman"/>
          <w:sz w:val="18"/>
          <w:szCs w:val="18"/>
          <w:b w:val="1"/>
          <w:bCs w:val="1"/>
          <w:color w:val="auto"/>
        </w:rPr>
      </w:pPr>
    </w:p>
    <w:p>
      <w:pPr>
        <w:ind w:right="140" w:firstLine="430"/>
        <w:spacing w:after="0" w:line="282" w:lineRule="auto"/>
        <w:tabs>
          <w:tab w:leader="none" w:pos="747" w:val="left"/>
        </w:tabs>
        <w:numPr>
          <w:ilvl w:val="0"/>
          <w:numId w:val="5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Nonadmission</w:t>
      </w:r>
      <w:r>
        <w:rPr>
          <w:rFonts w:ascii="Times New Roman" w:cs="Times New Roman" w:eastAsia="Times New Roman" w:hAnsi="Times New Roman"/>
          <w:sz w:val="18"/>
          <w:szCs w:val="18"/>
          <w:color w:val="auto"/>
        </w:rPr>
        <w:t>. Nothing contained in this Agreement shall be deemed or construed as an admission of wrongdoing or liability on the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or Executive.</w:t>
      </w:r>
    </w:p>
    <w:p>
      <w:pPr>
        <w:spacing w:after="0" w:line="154" w:lineRule="exact"/>
        <w:rPr>
          <w:rFonts w:ascii="Times New Roman" w:cs="Times New Roman" w:eastAsia="Times New Roman" w:hAnsi="Times New Roman"/>
          <w:sz w:val="18"/>
          <w:szCs w:val="18"/>
          <w:b w:val="1"/>
          <w:bCs w:val="1"/>
          <w:color w:val="auto"/>
        </w:rPr>
      </w:pPr>
    </w:p>
    <w:p>
      <w:pPr>
        <w:ind w:firstLine="430"/>
        <w:spacing w:after="0" w:line="265" w:lineRule="auto"/>
        <w:tabs>
          <w:tab w:leader="none" w:pos="747" w:val="left"/>
        </w:tabs>
        <w:numPr>
          <w:ilvl w:val="0"/>
          <w:numId w:val="5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and Forum</w:t>
      </w:r>
      <w:r>
        <w:rPr>
          <w:rFonts w:ascii="Times New Roman" w:cs="Times New Roman" w:eastAsia="Times New Roman" w:hAnsi="Times New Roman"/>
          <w:sz w:val="18"/>
          <w:szCs w:val="18"/>
          <w:color w:val="auto"/>
        </w:rPr>
        <w:t>. This Agreement and all matters or issues arising out of or relating to this Agreement shall be governed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California applicable to contracts entered into and performed entirely therein. Any action to enforce this Agreement shall be brought solely Los Angeles, California.</w:t>
      </w:r>
    </w:p>
    <w:p>
      <w:pPr>
        <w:spacing w:after="0" w:line="169" w:lineRule="exact"/>
        <w:rPr>
          <w:rFonts w:ascii="Times New Roman" w:cs="Times New Roman" w:eastAsia="Times New Roman" w:hAnsi="Times New Roman"/>
          <w:sz w:val="18"/>
          <w:szCs w:val="18"/>
          <w:b w:val="1"/>
          <w:bCs w:val="1"/>
          <w:color w:val="auto"/>
        </w:rPr>
      </w:pPr>
    </w:p>
    <w:p>
      <w:pPr>
        <w:ind w:right="20" w:firstLine="430"/>
        <w:spacing w:after="0" w:line="265" w:lineRule="auto"/>
        <w:tabs>
          <w:tab w:leader="none" w:pos="747" w:val="left"/>
        </w:tabs>
        <w:numPr>
          <w:ilvl w:val="0"/>
          <w:numId w:val="5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Arbitration</w:t>
      </w:r>
      <w:r>
        <w:rPr>
          <w:rFonts w:ascii="Times New Roman" w:cs="Times New Roman" w:eastAsia="Times New Roman" w:hAnsi="Times New Roman"/>
          <w:sz w:val="18"/>
          <w:szCs w:val="18"/>
          <w:color w:val="auto"/>
        </w:rPr>
        <w:t>. Any dispute or controversy arising under or in connection with this Agreement or otherwise in connection with the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by the Corporation that cannot be mutually resolved by the parties to this Agreement and their respective advisors and representatives shall be settled exclusively by arbitration in accordance with the provisions of Section 16 of the Employment Agreement.</w:t>
      </w:r>
    </w:p>
    <w:p>
      <w:pPr>
        <w:spacing w:after="0" w:line="169" w:lineRule="exact"/>
        <w:rPr>
          <w:rFonts w:ascii="Times New Roman" w:cs="Times New Roman" w:eastAsia="Times New Roman" w:hAnsi="Times New Roman"/>
          <w:sz w:val="18"/>
          <w:szCs w:val="18"/>
          <w:b w:val="1"/>
          <w:bCs w:val="1"/>
          <w:color w:val="auto"/>
        </w:rPr>
      </w:pPr>
    </w:p>
    <w:p>
      <w:pPr>
        <w:ind w:left="840" w:hanging="410"/>
        <w:spacing w:after="0"/>
        <w:tabs>
          <w:tab w:leader="none" w:pos="840" w:val="left"/>
        </w:tabs>
        <w:numPr>
          <w:ilvl w:val="0"/>
          <w:numId w:val="5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Notices under this Agreement must be given as is specified in Section 17 of the Employment Agreement.</w:t>
      </w:r>
    </w:p>
    <w:p>
      <w:pPr>
        <w:spacing w:after="0" w:line="118" w:lineRule="exact"/>
        <w:rPr>
          <w:sz w:val="20"/>
          <w:szCs w:val="20"/>
          <w:color w:val="auto"/>
        </w:rPr>
      </w:pPr>
    </w:p>
    <w:p>
      <w:pPr>
        <w:ind w:left="980" w:right="160"/>
        <w:spacing w:after="0" w:line="257" w:lineRule="auto"/>
        <w:rPr>
          <w:sz w:val="20"/>
          <w:szCs w:val="20"/>
          <w:color w:val="auto"/>
        </w:rPr>
      </w:pPr>
      <w:r>
        <w:rPr>
          <w:rFonts w:ascii="Times New Roman" w:cs="Times New Roman" w:eastAsia="Times New Roman" w:hAnsi="Times New Roman"/>
          <w:sz w:val="18"/>
          <w:szCs w:val="18"/>
          <w:color w:val="auto"/>
        </w:rPr>
        <w:t>THE EXECUTIVE ACKNOWLEDGES THAT HE HAS READ THIS AGREEMENT AND THAT HE FULLY KNOWS, UNDERSTANDS AND APPRECIATES ITS CONTENTS, AND THAT HE HEREBY EXECUTES THE SAME AND MAKES THIS AGREEMENT AND THE RELEASE AND AGREEMENTS PROVIDED FOR HEREIN VOLUNTARILY AND OF HIS OWN FREE WILL.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intentionally been left blank</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500" w:top="268" w:right="539" w:bottom="1440" w:gutter="0" w:footer="0" w:header="0"/>
        </w:sectPr>
      </w:pPr>
    </w:p>
    <w:bookmarkStart w:id="610" w:name="page611"/>
    <w:bookmarkEnd w:id="6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as of the dates set forth below.</w:t>
      </w:r>
    </w:p>
    <w:p>
      <w:pPr>
        <w:spacing w:after="0" w:line="24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w:t>
      </w:r>
    </w:p>
    <w:p>
      <w:pPr>
        <w:spacing w:after="0" w:line="23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15875</wp:posOffset>
            </wp:positionV>
            <wp:extent cx="240030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1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4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-635</wp:posOffset>
            </wp:positionV>
            <wp:extent cx="240030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1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-635</wp:posOffset>
            </wp:positionV>
            <wp:extent cx="240030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1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9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290195</wp:posOffset>
            </wp:positionV>
            <wp:extent cx="276542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5">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-635</wp:posOffset>
            </wp:positionV>
            <wp:extent cx="240030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1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3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ENERAL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ELEASE OF</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LL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LAIMS</w:t>
      </w:r>
      <w:r>
        <w:rPr>
          <w:rFonts w:ascii="Times New Roman" w:cs="Times New Roman" w:eastAsia="Times New Roman" w:hAnsi="Times New Roman"/>
          <w:sz w:val="18"/>
          <w:szCs w:val="18"/>
          <w:color w:val="auto"/>
        </w:rPr>
        <w:t>]</w:t>
      </w:r>
    </w:p>
    <w:p>
      <w:pPr>
        <w:sectPr>
          <w:pgSz w:w="11900" w:h="16838" w:orient="portrait"/>
          <w:cols w:equalWidth="0" w:num="1">
            <w:col w:w="9539"/>
          </w:cols>
          <w:pgMar w:left="920" w:top="264" w:right="1440" w:bottom="1440" w:gutter="0" w:footer="0" w:header="0"/>
        </w:sectPr>
      </w:pPr>
    </w:p>
    <w:bookmarkStart w:id="611" w:name="page612"/>
    <w:bookmarkEnd w:id="611"/>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u w:val="single" w:color="auto"/>
          <w:color w:val="auto"/>
        </w:rPr>
        <w:t>Execution Version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PURCHASE AGREEMENT</w:t>
      </w:r>
    </w:p>
    <w:p>
      <w:pPr>
        <w:spacing w:after="0" w:line="220" w:lineRule="exact"/>
        <w:rPr>
          <w:sz w:val="20"/>
          <w:szCs w:val="20"/>
          <w:color w:val="auto"/>
        </w:rPr>
      </w:pPr>
    </w:p>
    <w:p>
      <w:pPr>
        <w:jc w:val="both"/>
        <w:ind w:right="380" w:firstLine="436"/>
        <w:spacing w:after="0" w:line="265" w:lineRule="auto"/>
        <w:rPr>
          <w:sz w:val="20"/>
          <w:szCs w:val="20"/>
          <w:color w:val="auto"/>
        </w:rPr>
      </w:pPr>
      <w:r>
        <w:rPr>
          <w:rFonts w:ascii="Times New Roman" w:cs="Times New Roman" w:eastAsia="Times New Roman" w:hAnsi="Times New Roman"/>
          <w:sz w:val="18"/>
          <w:szCs w:val="18"/>
          <w:color w:val="auto"/>
        </w:rPr>
        <w:t>This STOCK PURCHASE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September 13, 2020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entered into by and among GoodRx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SLP Geology Aggregator, L.P., a Delaware limited partnership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right="3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Purchaser desires to purchase from the Company, and the Company desires to sell to the Purchaser, certain Class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of the Company, par value $ 0.0001 per share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pursuant to the terms and conditions of this Agreement (the “</w:t>
      </w:r>
      <w:r>
        <w:rPr>
          <w:rFonts w:ascii="Times New Roman" w:cs="Times New Roman" w:eastAsia="Times New Roman" w:hAnsi="Times New Roman"/>
          <w:sz w:val="18"/>
          <w:szCs w:val="18"/>
          <w:b w:val="1"/>
          <w:bCs w:val="1"/>
          <w:color w:val="auto"/>
        </w:rPr>
        <w:t>Financing</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right="24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have executed this Agreement on the Effective Date, which is prior to the filing and effectiveness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statement on Form 8-A (the </w:t>
      </w:r>
      <w:r>
        <w:rPr>
          <w:rFonts w:ascii="Times New Roman" w:cs="Times New Roman" w:eastAsia="Times New Roman" w:hAnsi="Times New Roman"/>
          <w:sz w:val="18"/>
          <w:szCs w:val="18"/>
          <w:b w:val="1"/>
          <w:bCs w:val="1"/>
          <w:color w:val="auto"/>
        </w:rPr>
        <w:t>“Form 8-A”</w:t>
      </w:r>
      <w:r>
        <w:rPr>
          <w:rFonts w:ascii="Times New Roman" w:cs="Times New Roman" w:eastAsia="Times New Roman" w:hAnsi="Times New Roman"/>
          <w:sz w:val="18"/>
          <w:szCs w:val="18"/>
          <w:color w:val="auto"/>
        </w:rPr>
        <w:t>) to be filed by the Company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registering the Class A Common Stock, par value $0.0001 per share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xml:space="preserve">”), under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certain stockholders intend to offer and sell shares of the Company’s Class A Common Stock pursuant to an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agreement (the “</w:t>
      </w:r>
      <w:r>
        <w:rPr>
          <w:rFonts w:ascii="Times New Roman" w:cs="Times New Roman" w:eastAsia="Times New Roman" w:hAnsi="Times New Roman"/>
          <w:sz w:val="18"/>
          <w:szCs w:val="18"/>
          <w:b w:val="1"/>
          <w:bCs w:val="1"/>
          <w:color w:val="auto"/>
        </w:rPr>
        <w:t>Underwriting Agreemen</w:t>
      </w:r>
      <w:r>
        <w:rPr>
          <w:rFonts w:ascii="Times New Roman" w:cs="Times New Roman" w:eastAsia="Times New Roman" w:hAnsi="Times New Roman"/>
          <w:sz w:val="18"/>
          <w:szCs w:val="18"/>
          <w:color w:val="auto"/>
        </w:rPr>
        <w:t>t”) to be entered into by and among the Company, the selling stockholders party thereto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Stockholders</w:t>
      </w:r>
      <w:r>
        <w:rPr>
          <w:rFonts w:ascii="Times New Roman" w:cs="Times New Roman" w:eastAsia="Times New Roman" w:hAnsi="Times New Roman"/>
          <w:sz w:val="18"/>
          <w:szCs w:val="18"/>
          <w:color w:val="auto"/>
        </w:rPr>
        <w:t>”) and certain underwriters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in connection with the Company’s initial public offering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pursuant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Company’s Registration Statement on Form S-1 (File No. 333-248465)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w:t>
      </w:r>
    </w:p>
    <w:p>
      <w:pPr>
        <w:spacing w:after="0" w:line="198" w:lineRule="exact"/>
        <w:rPr>
          <w:sz w:val="20"/>
          <w:szCs w:val="20"/>
          <w:color w:val="auto"/>
        </w:rPr>
      </w:pPr>
    </w:p>
    <w:p>
      <w:pPr>
        <w:ind w:right="240" w:firstLine="436"/>
        <w:spacing w:after="0" w:line="31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shares to be issued and sold by the Company pursuant to the Underwriting Agreement are referred to herein as “</w:t>
      </w:r>
      <w:r>
        <w:rPr>
          <w:rFonts w:ascii="Times New Roman" w:cs="Times New Roman" w:eastAsia="Times New Roman" w:hAnsi="Times New Roman"/>
          <w:sz w:val="17"/>
          <w:szCs w:val="17"/>
          <w:b w:val="1"/>
          <w:bCs w:val="1"/>
          <w:color w:val="auto"/>
        </w:rPr>
        <w:t>Primary Shares</w:t>
      </w:r>
      <w:r>
        <w:rPr>
          <w:rFonts w:ascii="Times New Roman" w:cs="Times New Roman" w:eastAsia="Times New Roman" w:hAnsi="Times New Roman"/>
          <w:sz w:val="17"/>
          <w:szCs w:val="17"/>
          <w:color w:val="auto"/>
        </w:rPr>
        <w:t>” and the shares to be sold by the Selling Stockholders pursuant to the Underwriting Agreement are referred to herein as “</w:t>
      </w:r>
      <w:r>
        <w:rPr>
          <w:rFonts w:ascii="Times New Roman" w:cs="Times New Roman" w:eastAsia="Times New Roman" w:hAnsi="Times New Roman"/>
          <w:sz w:val="17"/>
          <w:szCs w:val="17"/>
          <w:b w:val="1"/>
          <w:bCs w:val="1"/>
          <w:color w:val="auto"/>
        </w:rPr>
        <w:t>Secondary Shares</w:t>
      </w:r>
      <w:r>
        <w:rPr>
          <w:rFonts w:ascii="Times New Roman" w:cs="Times New Roman" w:eastAsia="Times New Roman" w:hAnsi="Times New Roman"/>
          <w:sz w:val="17"/>
          <w:szCs w:val="17"/>
          <w:color w:val="auto"/>
        </w:rPr>
        <w:t>.”</w:t>
      </w:r>
    </w:p>
    <w:p>
      <w:pPr>
        <w:spacing w:after="0" w:line="133" w:lineRule="exact"/>
        <w:rPr>
          <w:sz w:val="20"/>
          <w:szCs w:val="20"/>
          <w:color w:val="auto"/>
        </w:rPr>
      </w:pPr>
    </w:p>
    <w:p>
      <w:pPr>
        <w:ind w:right="1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foregoing premises and the mutual agreements contained herein,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sufficiency of which is hereby acknowledged, the parties hereto agree as follows:</w:t>
      </w:r>
    </w:p>
    <w:p>
      <w:pPr>
        <w:spacing w:after="0" w:line="159" w:lineRule="exact"/>
        <w:rPr>
          <w:sz w:val="20"/>
          <w:szCs w:val="20"/>
          <w:color w:val="auto"/>
        </w:rPr>
      </w:pPr>
    </w:p>
    <w:p>
      <w:pPr>
        <w:ind w:right="40" w:firstLine="430"/>
        <w:spacing w:after="0" w:line="252" w:lineRule="auto"/>
        <w:tabs>
          <w:tab w:leader="none" w:pos="747"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Shares</w:t>
      </w:r>
      <w:r>
        <w:rPr>
          <w:rFonts w:ascii="Times New Roman" w:cs="Times New Roman" w:eastAsia="Times New Roman" w:hAnsi="Times New Roman"/>
          <w:sz w:val="18"/>
          <w:szCs w:val="18"/>
          <w:color w:val="auto"/>
        </w:rPr>
        <w:t>. Subject to the terms and conditions of this Agreement, Purchaser agrees to purchase, and the Company agrees to sell and issue to Purchaser, the Shares (as defined below) at a price per share equal to the per share initial public offering price (before underwriting discounts and expenses) in the IPO (such price, as determined prior to the effectiveness of the Form 8-A and as approved by the board of directors of the Company or the 16b-3 Committee (as defined below) on the pricing date, the “</w:t>
      </w:r>
      <w:r>
        <w:rPr>
          <w:rFonts w:ascii="Times New Roman" w:cs="Times New Roman" w:eastAsia="Times New Roman" w:hAnsi="Times New Roman"/>
          <w:sz w:val="18"/>
          <w:szCs w:val="18"/>
          <w:b w:val="1"/>
          <w:bCs w:val="1"/>
          <w:color w:val="auto"/>
        </w:rPr>
        <w:t>IPO Price</w:t>
      </w:r>
      <w:r>
        <w:rPr>
          <w:rFonts w:ascii="Times New Roman" w:cs="Times New Roman" w:eastAsia="Times New Roman" w:hAnsi="Times New Roman"/>
          <w:sz w:val="18"/>
          <w:szCs w:val="18"/>
          <w:color w:val="auto"/>
        </w:rPr>
        <w:t>”), as will be set forth set forth on the cover of the final prospectus included in the Registration Statement.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mean the number of shares of Class A Common Stock equal to $100,000,000.00 divided by the IPO Price, rounded down to the nearest whole share (with the total purchase price correspondingly reduced for such fractional share amount).</w:t>
      </w:r>
    </w:p>
    <w:p>
      <w:pPr>
        <w:sectPr>
          <w:pgSz w:w="11900" w:h="16838" w:orient="portrait"/>
          <w:cols w:equalWidth="0" w:num="1">
            <w:col w:w="10900"/>
          </w:cols>
          <w:pgMar w:left="500" w:top="118" w:right="499" w:bottom="1440" w:gutter="0" w:footer="0" w:header="0"/>
        </w:sectPr>
      </w:pPr>
    </w:p>
    <w:bookmarkStart w:id="612" w:name="page613"/>
    <w:bookmarkEnd w:id="612"/>
    <w:p>
      <w:pPr>
        <w:ind w:left="740" w:hanging="310"/>
        <w:spacing w:after="0"/>
        <w:tabs>
          <w:tab w:leader="none" w:pos="74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Closing: Delivery</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right="120" w:firstLine="981"/>
        <w:spacing w:after="0" w:line="275"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The closing of the sale and purchase of the Shares (the “</w:t>
      </w:r>
      <w:r>
        <w:rPr>
          <w:rFonts w:ascii="Times New Roman" w:cs="Times New Roman" w:eastAsia="Times New Roman" w:hAnsi="Times New Roman"/>
          <w:sz w:val="17"/>
          <w:szCs w:val="17"/>
          <w:b w:val="1"/>
          <w:bCs w:val="1"/>
          <w:color w:val="auto"/>
        </w:rPr>
        <w:t>Closing</w:t>
      </w:r>
      <w:r>
        <w:rPr>
          <w:rFonts w:ascii="Times New Roman" w:cs="Times New Roman" w:eastAsia="Times New Roman" w:hAnsi="Times New Roman"/>
          <w:sz w:val="17"/>
          <w:szCs w:val="17"/>
          <w:color w:val="auto"/>
        </w:rPr>
        <w:t xml:space="preserve">”) will take place remotely via the exchange of documents and signatures after the satisfaction or waiver of each of the conditions set forth in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(other than those conditions that by their nature are to be satisfied at the Closing, but subject to the fulfillment or waiver of those conditions) on the earlier of (i) immediately following the issuance and sale of the Primary Shares in the IPO and prior to the sale of the Secondary Shares in the IPO, (ii) such other date or time following the closing of the IPO as specified by Purchaser upon three business days prior written notice to the Company and (iii) the fifty-ninth (59</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day following the date hereof.</w:t>
      </w:r>
    </w:p>
    <w:p>
      <w:pPr>
        <w:spacing w:after="0" w:line="166" w:lineRule="exact"/>
        <w:rPr>
          <w:sz w:val="20"/>
          <w:szCs w:val="20"/>
          <w:color w:val="auto"/>
        </w:rPr>
      </w:pPr>
    </w:p>
    <w:p>
      <w:pPr>
        <w:ind w:right="80" w:firstLine="981"/>
        <w:spacing w:after="0" w:line="277"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Delivery of Shares</w:t>
      </w:r>
      <w:r>
        <w:rPr>
          <w:rFonts w:ascii="Times New Roman" w:cs="Times New Roman" w:eastAsia="Times New Roman" w:hAnsi="Times New Roman"/>
          <w:sz w:val="18"/>
          <w:szCs w:val="18"/>
          <w:color w:val="auto"/>
        </w:rPr>
        <w:t>. At the Closing, the Company will make, or cause to be made, appropriate changes to the Company’s book-entry record evidencing the number of Shares that the Purchaser is purchasing at the Closing against payment of the aggregate purchase price therefor.</w:t>
      </w:r>
    </w:p>
    <w:p>
      <w:pPr>
        <w:spacing w:after="0" w:line="163" w:lineRule="exact"/>
        <w:rPr>
          <w:sz w:val="20"/>
          <w:szCs w:val="20"/>
          <w:color w:val="auto"/>
        </w:rPr>
      </w:pPr>
    </w:p>
    <w:p>
      <w:pPr>
        <w:ind w:left="420"/>
        <w:spacing w:after="0"/>
        <w:tabs>
          <w:tab w:leader="none" w:pos="7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u w:val="single" w:color="auto"/>
          <w:color w:val="auto"/>
        </w:rPr>
        <w:t>Representations and Warranties of the Purchaser</w:t>
      </w:r>
      <w:r>
        <w:rPr>
          <w:rFonts w:ascii="Times New Roman" w:cs="Times New Roman" w:eastAsia="Times New Roman" w:hAnsi="Times New Roman"/>
          <w:sz w:val="17"/>
          <w:szCs w:val="17"/>
          <w:color w:val="auto"/>
        </w:rPr>
        <w:t>. The Purchaser represents and warrants to the Company as follows:</w:t>
      </w:r>
    </w:p>
    <w:p>
      <w:pPr>
        <w:spacing w:after="0" w:line="220" w:lineRule="exact"/>
        <w:rPr>
          <w:sz w:val="20"/>
          <w:szCs w:val="20"/>
          <w:color w:val="auto"/>
        </w:rPr>
      </w:pPr>
    </w:p>
    <w:p>
      <w:pPr>
        <w:ind w:right="220" w:firstLine="981"/>
        <w:spacing w:after="0" w:line="257"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Purchaser has all requisite legal power and authority to execute and deliver this Agreement, to purchase the Shares hereunder and to carry out and perform its obligations under the terms of this Agreement. The execution and delivery by the Purchaser of this Agreement, the performance by the Purchaser of its obligations hereunder, and the consummation by the Purchaser of the transactions contemplated hereby have been duly authorized by all requisite legal action.</w:t>
      </w:r>
    </w:p>
    <w:p>
      <w:pPr>
        <w:spacing w:after="0" w:line="182" w:lineRule="exact"/>
        <w:rPr>
          <w:sz w:val="20"/>
          <w:szCs w:val="20"/>
          <w:color w:val="auto"/>
        </w:rPr>
      </w:pPr>
    </w:p>
    <w:p>
      <w:pPr>
        <w:ind w:right="20" w:firstLine="981"/>
        <w:spacing w:after="0" w:line="25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This Agreement, when executed and delivered by the Purchaser, will constitute a valid and legally binding obligation of the Purchaser, enforceable in accordance with its terms except as limited by applicable bankruptcy, insolvency, reorganization, moratorium and other laws of general application affecting enforcement of creditors’ rights generally, and as limited by laws relating to the availability of specific performance, injunctive relief or other equitable remedies or by general principles of equity.</w:t>
      </w:r>
    </w:p>
    <w:p>
      <w:pPr>
        <w:spacing w:after="0" w:line="182" w:lineRule="exact"/>
        <w:rPr>
          <w:sz w:val="20"/>
          <w:szCs w:val="20"/>
          <w:color w:val="auto"/>
        </w:rPr>
      </w:pPr>
    </w:p>
    <w:p>
      <w:pPr>
        <w:ind w:right="80" w:firstLine="981"/>
        <w:spacing w:after="0" w:line="26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No consent, approval, authorization, order, filing, registration or qualification of or with any court, governmental authority or third person is required to be obtained by the Purchaser in connection with the execution and delivery of this Agreement by the Purchaser or the performance of the Purchaser’s obligations hereunder.</w:t>
      </w:r>
    </w:p>
    <w:p>
      <w:pPr>
        <w:spacing w:after="0" w:line="177" w:lineRule="exact"/>
        <w:rPr>
          <w:sz w:val="20"/>
          <w:szCs w:val="20"/>
          <w:color w:val="auto"/>
        </w:rPr>
      </w:pPr>
    </w:p>
    <w:p>
      <w:pPr>
        <w:ind w:right="280" w:firstLine="981"/>
        <w:spacing w:after="0" w:line="277"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The Purchaser is acquiring the Shares for investment for its own account, not as a nominee or agent, and not with the view to, or for resale in connection with, any distribution thereof in violation of the Securities Act of 1933.</w:t>
      </w:r>
    </w:p>
    <w:p>
      <w:pPr>
        <w:spacing w:after="0" w:line="163" w:lineRule="exact"/>
        <w:rPr>
          <w:sz w:val="20"/>
          <w:szCs w:val="20"/>
          <w:color w:val="auto"/>
        </w:rPr>
      </w:pPr>
    </w:p>
    <w:p>
      <w:pPr>
        <w:ind w:firstLine="981"/>
        <w:spacing w:after="0" w:line="26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The Purchaser has not engaged any brokers, finders or agents, and neither the Company nor any other person or entity has, nor will, incur, directly or indirectly, as a result of any action taken by the Purchaser, any liability for brokerage or finders’ fees or agents’ commissions or any similar charges in connection with this Agreement.</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500" w:top="268" w:right="539" w:bottom="1440" w:gutter="0" w:footer="0" w:header="0"/>
        </w:sectPr>
      </w:pPr>
    </w:p>
    <w:bookmarkStart w:id="613" w:name="page614"/>
    <w:bookmarkEnd w:id="613"/>
    <w:p>
      <w:pPr>
        <w:ind w:right="320" w:firstLine="98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3.6 </w:t>
      </w:r>
      <w:r>
        <w:rPr>
          <w:rFonts w:ascii="Times New Roman" w:cs="Times New Roman" w:eastAsia="Times New Roman" w:hAnsi="Times New Roman"/>
          <w:sz w:val="18"/>
          <w:szCs w:val="18"/>
          <w:u w:val="single" w:color="auto"/>
          <w:color w:val="auto"/>
        </w:rPr>
        <w:t>Investment Experience</w:t>
      </w:r>
      <w:r>
        <w:rPr>
          <w:rFonts w:ascii="Times New Roman" w:cs="Times New Roman" w:eastAsia="Times New Roman" w:hAnsi="Times New Roman"/>
          <w:sz w:val="18"/>
          <w:szCs w:val="18"/>
          <w:color w:val="auto"/>
        </w:rPr>
        <w:t>. The Purchaser understands that the purchase of the Shares involves substantial risk. The Purchaser has experience as an investor in securities of companies and acknowledges that the Purchaser is able to fend for itself, can bear the economic risk of the Purchaser’s investment in the Shares, including a complete loss of the investment, and has such knowledge and experience in financial or business matters that the Purchaser is capable of evaluating the merits and risks of this investment in the Shares and protecting its own interests in connection with this investment.</w:t>
      </w:r>
    </w:p>
    <w:p>
      <w:pPr>
        <w:spacing w:after="0" w:line="183" w:lineRule="exact"/>
        <w:rPr>
          <w:sz w:val="20"/>
          <w:szCs w:val="20"/>
          <w:color w:val="auto"/>
        </w:rPr>
      </w:pPr>
    </w:p>
    <w:p>
      <w:pPr>
        <w:ind w:left="420"/>
        <w:spacing w:after="0"/>
        <w:tabs>
          <w:tab w:leader="none" w:pos="72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u w:val="single" w:color="auto"/>
          <w:color w:val="auto"/>
        </w:rPr>
        <w:t>Representations and Warranties of the Company</w:t>
      </w:r>
      <w:r>
        <w:rPr>
          <w:rFonts w:ascii="Times New Roman" w:cs="Times New Roman" w:eastAsia="Times New Roman" w:hAnsi="Times New Roman"/>
          <w:sz w:val="17"/>
          <w:szCs w:val="17"/>
          <w:color w:val="auto"/>
        </w:rPr>
        <w:t>. The Company represents and warrants to the Purchaser that:</w:t>
      </w:r>
    </w:p>
    <w:p>
      <w:pPr>
        <w:spacing w:after="0" w:line="220" w:lineRule="exact"/>
        <w:rPr>
          <w:sz w:val="20"/>
          <w:szCs w:val="20"/>
          <w:color w:val="auto"/>
        </w:rPr>
      </w:pPr>
    </w:p>
    <w:p>
      <w:pPr>
        <w:ind w:right="140" w:firstLine="981"/>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Due Incorporation; Qualification</w:t>
      </w:r>
      <w:r>
        <w:rPr>
          <w:rFonts w:ascii="Times New Roman" w:cs="Times New Roman" w:eastAsia="Times New Roman" w:hAnsi="Times New Roman"/>
          <w:sz w:val="18"/>
          <w:szCs w:val="18"/>
          <w:color w:val="auto"/>
        </w:rPr>
        <w:t>. The Company (a) is duly organized, validly existing and in good standing under the laws of the state of Delaware; (b) has the power and authority to own, lease and operate its properties and carry on its business as presently conducted; and (c) is duly qualified, licensed to do business and in good standing as a foreign corporation in each jurisdiction where the failure to be so qualified or licensed could reasonably be expected to have a material adverse effect on the condition (financial or otherwise), results of operations, shareholders’ equity, properties, business or prospects of the Company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981"/>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Company has all requisite legal power and authority to execute and deliver this Agreement, to sell the Shares hereunder and to carry out and perform its obligations under the terms of this Agreement. The execution and delivery by the Company of this Agreement, the performance by the Company of its obligations hereunder, and the consummation by the Company of the transactions contemplated hereby have been duly authorized by all requisite legal action. The Financing has been approved by the board of directors of the Company, or a committee of the board of directors that is composed solely of two or more Non-Employee Directors (as defined in Rule 16b-3(b)(3) under the Exchange Act) (the “</w:t>
      </w:r>
      <w:r>
        <w:rPr>
          <w:rFonts w:ascii="Times New Roman" w:cs="Times New Roman" w:eastAsia="Times New Roman" w:hAnsi="Times New Roman"/>
          <w:sz w:val="18"/>
          <w:szCs w:val="18"/>
          <w:b w:val="1"/>
          <w:bCs w:val="1"/>
          <w:color w:val="auto"/>
        </w:rPr>
        <w:t>16b-3 Committee</w:t>
      </w:r>
      <w:r>
        <w:rPr>
          <w:rFonts w:ascii="Times New Roman" w:cs="Times New Roman" w:eastAsia="Times New Roman" w:hAnsi="Times New Roman"/>
          <w:sz w:val="18"/>
          <w:szCs w:val="18"/>
          <w:color w:val="auto"/>
        </w:rPr>
        <w:t>”) for purposes of exempting the Financing from Section 16(b) of the Exchange Act under Rule 16b-3(d) and (e), including to the extent Purchaser and its affiliates are deemed a director by deputization.</w:t>
      </w:r>
    </w:p>
    <w:p>
      <w:pPr>
        <w:spacing w:after="0" w:line="189" w:lineRule="exact"/>
        <w:rPr>
          <w:sz w:val="20"/>
          <w:szCs w:val="20"/>
          <w:color w:val="auto"/>
        </w:rPr>
      </w:pPr>
    </w:p>
    <w:p>
      <w:pPr>
        <w:ind w:right="160" w:firstLine="981"/>
        <w:spacing w:after="0" w:line="26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This Agreement, when executed and delivered by the Company, will constitute a legal, valid and binding obligation of the Company, enforceable against the Company in accordance with its terms, except as limited by bankruptcy, insolvency or other laws of general application relating to or affecting the enforcement of creditors’ rights generally and general principles of equity.</w:t>
      </w:r>
    </w:p>
    <w:p>
      <w:pPr>
        <w:spacing w:after="0" w:line="177" w:lineRule="exact"/>
        <w:rPr>
          <w:sz w:val="20"/>
          <w:szCs w:val="20"/>
          <w:color w:val="auto"/>
        </w:rPr>
      </w:pPr>
    </w:p>
    <w:p>
      <w:pPr>
        <w:ind w:right="40" w:firstLine="981"/>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and delivery by the Company of this Agreement and the performance and consummation of the transactions contemplated hereby do not and will not violate (a) any provision of the Company’s governing or organizational documents, (b) any material judgment, order, writ, decree, statute, rule or regulation applicable to the Company or (c) or any contract, lease, license, indenture, note, bond, agreement, understanding, undertaking, concession, franchise or other instrument to which the Company or its subsidiaries is a party or by which any of their respective properties or assets is bound, except, with respect to clauses (b) and (c) as would not reasonably be expected to have a Material Adverse Effect.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500" w:top="268" w:right="519" w:bottom="1440" w:gutter="0" w:footer="0" w:header="0"/>
        </w:sectPr>
      </w:pPr>
    </w:p>
    <w:bookmarkStart w:id="614" w:name="page615"/>
    <w:bookmarkEnd w:id="614"/>
    <w:p>
      <w:pPr>
        <w:ind w:right="220" w:firstLine="981"/>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1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4.5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Shares, when issued and delivered in accordance with this Agreement, will be duly authorized, validly issued, fully paid and nonassessable, free and clear of any liens.</w:t>
      </w:r>
    </w:p>
    <w:p>
      <w:pPr>
        <w:spacing w:after="0" w:line="163" w:lineRule="exact"/>
        <w:rPr>
          <w:sz w:val="20"/>
          <w:szCs w:val="20"/>
          <w:color w:val="auto"/>
        </w:rPr>
      </w:pPr>
    </w:p>
    <w:p>
      <w:pPr>
        <w:ind w:right="80" w:firstLine="981"/>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of the date hereof, the Company’s Registration Statement and any prospectus contained therein complies in all material respects with the requirements of the Securities Act and the rules and regulations of the SEC promulgated thereunder, and does not contain any untrue statement of a material fact or omit to state a material fact required to be stated therein or necessary in order to make the statements therein, in light of the circumstances under which they were made, not misleading. As of the date of the hereof, the statements set forth in the Registration Statement, including the prospectus, under the caption “Description of Capital Stock,” insofar as they purport to constitute a summary of the terms of the Company’s capital stock and the Company’s capitalization, are accurate, complete and fair in all material respects.</w:t>
      </w:r>
    </w:p>
    <w:p>
      <w:pPr>
        <w:spacing w:after="0" w:line="187"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u w:val="single" w:color="auto"/>
          <w:color w:val="auto"/>
        </w:rPr>
        <w:t>Underwriting Agreement</w:t>
      </w:r>
      <w:r>
        <w:rPr>
          <w:rFonts w:ascii="Times New Roman" w:cs="Times New Roman" w:eastAsia="Times New Roman" w:hAnsi="Times New Roman"/>
          <w:sz w:val="17"/>
          <w:szCs w:val="17"/>
          <w:color w:val="auto"/>
        </w:rPr>
        <w:t>. The Underwriting Agreement has been duly authorized.</w:t>
      </w:r>
    </w:p>
    <w:p>
      <w:pPr>
        <w:spacing w:after="0" w:line="220" w:lineRule="exact"/>
        <w:rPr>
          <w:sz w:val="20"/>
          <w:szCs w:val="20"/>
          <w:color w:val="auto"/>
        </w:rPr>
      </w:pPr>
    </w:p>
    <w:p>
      <w:pPr>
        <w:jc w:val="both"/>
        <w:ind w:right="140" w:firstLine="981"/>
        <w:spacing w:after="0" w:line="26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The Company has not engaged any brokers, finders or agents in connection with this Agreement, and none of the Purchasers nor any other person or entity has, nor will, incur, directly or indirectly, as a result of any action taken by the Company, any liability for brokerage or finders’ fees or agents’ commissions or any similar charges in connection with this Agreement.</w:t>
      </w:r>
    </w:p>
    <w:p>
      <w:pPr>
        <w:spacing w:after="0" w:line="177" w:lineRule="exact"/>
        <w:rPr>
          <w:sz w:val="20"/>
          <w:szCs w:val="20"/>
          <w:color w:val="auto"/>
        </w:rPr>
      </w:pPr>
    </w:p>
    <w:p>
      <w:pPr>
        <w:ind w:firstLine="981"/>
        <w:spacing w:after="0" w:line="257"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Charter Documents; Capitalization</w:t>
      </w:r>
      <w:r>
        <w:rPr>
          <w:rFonts w:ascii="Times New Roman" w:cs="Times New Roman" w:eastAsia="Times New Roman" w:hAnsi="Times New Roman"/>
          <w:sz w:val="18"/>
          <w:szCs w:val="18"/>
          <w:color w:val="auto"/>
        </w:rPr>
        <w:t>. Upon consummation of the IPO, the Amended and Restated Certificate of Incorporation of the Company and the Amended and Restated Bylaws of the Company will be in the forms as filed as exhibits to the Registration Statement (collectively, the “</w:t>
      </w:r>
      <w:r>
        <w:rPr>
          <w:rFonts w:ascii="Times New Roman" w:cs="Times New Roman" w:eastAsia="Times New Roman" w:hAnsi="Times New Roman"/>
          <w:sz w:val="18"/>
          <w:szCs w:val="18"/>
          <w:b w:val="1"/>
          <w:bCs w:val="1"/>
          <w:color w:val="auto"/>
        </w:rPr>
        <w:t>Charter Documents</w:t>
      </w:r>
      <w:r>
        <w:rPr>
          <w:rFonts w:ascii="Times New Roman" w:cs="Times New Roman" w:eastAsia="Times New Roman" w:hAnsi="Times New Roman"/>
          <w:sz w:val="18"/>
          <w:szCs w:val="18"/>
          <w:color w:val="auto"/>
        </w:rPr>
        <w:t>”) and the capitalization of the Company will be as set forth in the Registration Statement. Upon consummation of the Financing the Class A Common Stock shall have the rights and privileges as set forth in such Charter Documents.</w:t>
      </w:r>
    </w:p>
    <w:p>
      <w:pPr>
        <w:spacing w:after="0" w:line="178" w:lineRule="exact"/>
        <w:rPr>
          <w:sz w:val="20"/>
          <w:szCs w:val="20"/>
          <w:color w:val="auto"/>
        </w:rPr>
      </w:pPr>
    </w:p>
    <w:p>
      <w:pPr>
        <w:ind w:right="40" w:firstLine="430"/>
        <w:spacing w:after="0" w:line="312" w:lineRule="auto"/>
        <w:tabs>
          <w:tab w:leader="none" w:pos="747" w:val="left"/>
        </w:tabs>
        <w:numPr>
          <w:ilvl w:val="0"/>
          <w:numId w:val="5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Conditions to the Purchaser’s Obligations at Closing</w:t>
      </w:r>
      <w:r>
        <w:rPr>
          <w:rFonts w:ascii="Times New Roman" w:cs="Times New Roman" w:eastAsia="Times New Roman" w:hAnsi="Times New Roman"/>
          <w:sz w:val="17"/>
          <w:szCs w:val="17"/>
          <w:color w:val="auto"/>
        </w:rPr>
        <w:t>. The obligations of the Purchaser to consummate the Closing are subject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fulfillment or waiver, on or by the Closing, of each of the following conditions, which waiver may be given by written communication to the Company:</w:t>
      </w:r>
    </w:p>
    <w:p>
      <w:pPr>
        <w:spacing w:after="0" w:line="137" w:lineRule="exact"/>
        <w:rPr>
          <w:sz w:val="20"/>
          <w:szCs w:val="20"/>
          <w:color w:val="auto"/>
        </w:rPr>
      </w:pPr>
    </w:p>
    <w:p>
      <w:pPr>
        <w:ind w:firstLine="981"/>
        <w:spacing w:after="0" w:line="271"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xml:space="preserve">. Each of the representations and warranties of the Company contained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(a) that are not qualified as to materiality or Material Adverse Effect shall be true and accurate in all material respects on and as of the Closing with the same force and effect as if they had been made at the Closing, except for those representations and warranties that address matters only as of a particular date (which shall remain true and correct in all material respects as of such particular date), and (b) that are qualified as to materiality or Material Adverse Effect shall be true and accurate in all respects on and as of the Closing with the same force and effect as if they had been made at the Closing, except for those representations and warranties that address matters only as of a particular date (which shall remain true and correct as of such particular date).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500" w:top="267" w:right="539" w:bottom="1440" w:gutter="0" w:footer="0" w:header="0"/>
        </w:sectPr>
      </w:pPr>
    </w:p>
    <w:bookmarkStart w:id="615" w:name="page616"/>
    <w:bookmarkEnd w:id="615"/>
    <w:p>
      <w:pPr>
        <w:ind w:right="340" w:firstLine="98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2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The Company shall have performed and complied in all material respects with all agreements, obligations and conditions contained in this Agreement that are required to be performed or complied with by it on or before the Closing and shall have obtained all approvals, consents and qualifications necessary to complete the purchase and sale described herein.</w:t>
      </w:r>
    </w:p>
    <w:p>
      <w:pPr>
        <w:spacing w:after="0" w:line="177" w:lineRule="exact"/>
        <w:rPr>
          <w:sz w:val="20"/>
          <w:szCs w:val="20"/>
          <w:color w:val="auto"/>
        </w:rPr>
      </w:pPr>
    </w:p>
    <w:p>
      <w:pPr>
        <w:ind w:right="20" w:firstLine="981"/>
        <w:spacing w:after="0" w:line="26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The Registration Statement shall have been declared effective by the SEC, the Underwriting Agreement shall have been validly executed and delivered by the Company and the underwriters party thereto, the price at which the shares of Class A Common Stock are offered to the public in the Company’s IPO shall be equal to the Per Share Purchase Price and the IPO shall have been consummated.</w:t>
      </w:r>
    </w:p>
    <w:p>
      <w:pPr>
        <w:spacing w:after="0" w:line="177"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u w:val="single" w:color="auto"/>
          <w:color w:val="auto"/>
        </w:rPr>
        <w:t>NASDAQ Listing</w:t>
      </w:r>
      <w:r>
        <w:rPr>
          <w:rFonts w:ascii="Times New Roman" w:cs="Times New Roman" w:eastAsia="Times New Roman" w:hAnsi="Times New Roman"/>
          <w:sz w:val="17"/>
          <w:szCs w:val="17"/>
          <w:color w:val="auto"/>
        </w:rPr>
        <w:t>: The Class A Common Stock shall have been approved for listing on the NASDAQ Global Select Market.</w:t>
      </w:r>
    </w:p>
    <w:p>
      <w:pPr>
        <w:spacing w:after="0" w:line="220" w:lineRule="exact"/>
        <w:rPr>
          <w:sz w:val="20"/>
          <w:szCs w:val="20"/>
          <w:color w:val="auto"/>
        </w:rPr>
      </w:pPr>
    </w:p>
    <w:p>
      <w:pPr>
        <w:ind w:right="60" w:firstLine="981"/>
        <w:spacing w:after="0" w:line="277"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HSR Waiting Period</w:t>
      </w:r>
      <w:r>
        <w:rPr>
          <w:rFonts w:ascii="Times New Roman" w:cs="Times New Roman" w:eastAsia="Times New Roman" w:hAnsi="Times New Roman"/>
          <w:sz w:val="18"/>
          <w:szCs w:val="18"/>
          <w:color w:val="auto"/>
        </w:rPr>
        <w:t>. If applicable, the filings of the Purchaser and the Company pursuant to the HSR Act shall have been made and the applicable waiting period and any extension thereof shall have expired or been terminated.</w:t>
      </w:r>
    </w:p>
    <w:p>
      <w:pPr>
        <w:spacing w:after="0" w:line="163" w:lineRule="exact"/>
        <w:rPr>
          <w:sz w:val="20"/>
          <w:szCs w:val="20"/>
          <w:color w:val="auto"/>
        </w:rPr>
      </w:pPr>
    </w:p>
    <w:p>
      <w:pPr>
        <w:ind w:right="100" w:firstLine="981"/>
        <w:spacing w:after="0" w:line="257"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Qualifications</w:t>
      </w:r>
      <w:r>
        <w:rPr>
          <w:rFonts w:ascii="Times New Roman" w:cs="Times New Roman" w:eastAsia="Times New Roman" w:hAnsi="Times New Roman"/>
          <w:sz w:val="18"/>
          <w:szCs w:val="18"/>
          <w:color w:val="auto"/>
        </w:rPr>
        <w:t>. All authorizations, approvals, waiting period expirations or terminations, or permits, if any, of any governmental authority or regulatory body of the United States or of any state that are required in connection with the lawful issuance and sale of the Shares pursuant to this Agreement shall be duly obtained and effective as of the Closing, other than (a) the filing pursuant to Regulation D, promulgated under the Securities Act, and (b) the filings required by applicable state “blue sky” securities laws, rules and regulations.</w:t>
      </w:r>
    </w:p>
    <w:p>
      <w:pPr>
        <w:spacing w:after="0" w:line="182" w:lineRule="exact"/>
        <w:rPr>
          <w:sz w:val="20"/>
          <w:szCs w:val="20"/>
          <w:color w:val="auto"/>
        </w:rPr>
      </w:pPr>
    </w:p>
    <w:p>
      <w:pPr>
        <w:ind w:firstLine="981"/>
        <w:spacing w:after="0" w:line="26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Absence of Injunctions and Decrees</w:t>
      </w:r>
      <w:r>
        <w:rPr>
          <w:rFonts w:ascii="Times New Roman" w:cs="Times New Roman" w:eastAsia="Times New Roman" w:hAnsi="Times New Roman"/>
          <w:sz w:val="18"/>
          <w:szCs w:val="18"/>
          <w:color w:val="auto"/>
        </w:rPr>
        <w:t>. During the period from the Effective Date to immediately prior to the Closing, no governmental authority of competent jurisdiction shall have enacted, issued, promulgated, enforced or entered any decision, injunction, decree, ruling, law or order enjoining or otherwise prohibiting or making illegal the consummation of the transactions contemplated at the Closing.</w:t>
      </w:r>
    </w:p>
    <w:p>
      <w:pPr>
        <w:spacing w:after="0" w:line="177" w:lineRule="exact"/>
        <w:rPr>
          <w:sz w:val="20"/>
          <w:szCs w:val="20"/>
          <w:color w:val="auto"/>
        </w:rPr>
      </w:pPr>
    </w:p>
    <w:p>
      <w:pPr>
        <w:ind w:right="160" w:firstLine="430"/>
        <w:spacing w:after="0" w:line="277" w:lineRule="auto"/>
        <w:tabs>
          <w:tab w:leader="none" w:pos="747"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 at any time upon the written consent of the Company and the Purchaser, or (b) on the fifty-ninth (59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date hereof if the IPO has not been consummated.</w:t>
      </w:r>
    </w:p>
    <w:p>
      <w:pPr>
        <w:spacing w:after="0" w:line="163" w:lineRule="exact"/>
        <w:rPr>
          <w:rFonts w:ascii="Times New Roman" w:cs="Times New Roman" w:eastAsia="Times New Roman" w:hAnsi="Times New Roman"/>
          <w:sz w:val="18"/>
          <w:szCs w:val="18"/>
          <w:color w:val="auto"/>
        </w:rPr>
      </w:pPr>
    </w:p>
    <w:p>
      <w:pPr>
        <w:ind w:right="20" w:firstLine="430"/>
        <w:spacing w:after="0" w:line="262" w:lineRule="auto"/>
        <w:tabs>
          <w:tab w:leader="none" w:pos="747"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Prior to the Closing, the Purchaser shall deliver to the Underwriters a Lock-up Agreement (as defined in the Underwriting Agreement) substantially in the form previously agreed on by the Purchaser and the Underwriters, which shall cover the Shares purchased hereunder.</w:t>
      </w:r>
    </w:p>
    <w:p>
      <w:pPr>
        <w:spacing w:after="0" w:line="283" w:lineRule="exact"/>
        <w:rPr>
          <w:rFonts w:ascii="Times New Roman" w:cs="Times New Roman" w:eastAsia="Times New Roman" w:hAnsi="Times New Roman"/>
          <w:sz w:val="18"/>
          <w:szCs w:val="18"/>
          <w:color w:val="auto"/>
        </w:rPr>
      </w:pPr>
    </w:p>
    <w:p>
      <w:pPr>
        <w:ind w:left="740" w:hanging="310"/>
        <w:spacing w:after="0"/>
        <w:tabs>
          <w:tab w:leader="none" w:pos="74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40" w:firstLine="981"/>
        <w:spacing w:after="0" w:line="277"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and all claims or causes of action (whether in tort, contract or otherwise)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shall be governed by and construed in accordance with the laws of the State of Delaware, regardless of the laws that might otherwise govern under applicable principles of conflicts of laws.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500" w:top="267" w:right="539" w:bottom="1440" w:gutter="0" w:footer="0" w:header="0"/>
        </w:sectPr>
      </w:pPr>
    </w:p>
    <w:bookmarkStart w:id="616" w:name="page617"/>
    <w:bookmarkEnd w:id="616"/>
    <w:p>
      <w:pPr>
        <w:ind w:left="900"/>
        <w:spacing w:after="0"/>
        <w:tabs>
          <w:tab w:leader="none" w:pos="12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8.2</w:t>
      </w:r>
      <w:r>
        <w:rPr>
          <w:sz w:val="20"/>
          <w:szCs w:val="20"/>
          <w:color w:val="auto"/>
        </w:rPr>
        <w:tab/>
      </w:r>
      <w:r>
        <w:rPr>
          <w:rFonts w:ascii="Times New Roman" w:cs="Times New Roman" w:eastAsia="Times New Roman" w:hAnsi="Times New Roman"/>
          <w:sz w:val="17"/>
          <w:szCs w:val="17"/>
          <w:color w:val="auto"/>
        </w:rPr>
        <w:t>Legends.</w:t>
      </w:r>
    </w:p>
    <w:p>
      <w:pPr>
        <w:spacing w:after="0" w:line="114" w:lineRule="exact"/>
        <w:rPr>
          <w:sz w:val="20"/>
          <w:szCs w:val="20"/>
          <w:color w:val="auto"/>
        </w:rPr>
      </w:pPr>
    </w:p>
    <w:p>
      <w:pPr>
        <w:ind w:left="-80" w:right="60" w:firstLine="975"/>
        <w:spacing w:after="0" w:line="277" w:lineRule="auto"/>
        <w:tabs>
          <w:tab w:leader="none" w:pos="1277"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that the book-entry credits evidencing the shares of Class A Common Stock issued hereunder may bear one or all of the following legends (or substantially similar legends):</w:t>
      </w:r>
    </w:p>
    <w:p>
      <w:pPr>
        <w:spacing w:after="0" w:line="57" w:lineRule="exact"/>
        <w:rPr>
          <w:sz w:val="20"/>
          <w:szCs w:val="20"/>
          <w:color w:val="auto"/>
        </w:rPr>
      </w:pPr>
    </w:p>
    <w:p>
      <w:pPr>
        <w:ind w:left="340" w:right="20"/>
        <w:spacing w:after="0" w:line="255"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OR THE SECURITIES LAWS OF ANY STATE, AND MAY NOT BE SOLD, TRANSFERRED, ASSIGNED, PLEDGED OR HYPOTHECATED UNLESS AND UNTIL REGISTERED UNDER SUCH ACT AND/OR APPLICABLE STATE SECURITIES LAWS, OR UNLESS THE COMPANY HAS RECEIVED AN OPINION OF COUNSEL OR OTHER EVIDENCE, REASONABLY SATISFACTORY TO THE COMPANY AND ITS COUNSEL, THAT SUCH REGISTRATION IS NOT REQUIRED.</w:t>
      </w:r>
    </w:p>
    <w:p>
      <w:pPr>
        <w:spacing w:after="0" w:line="290" w:lineRule="exact"/>
        <w:rPr>
          <w:sz w:val="20"/>
          <w:szCs w:val="20"/>
          <w:color w:val="auto"/>
        </w:rPr>
      </w:pPr>
    </w:p>
    <w:p>
      <w:pPr>
        <w:ind w:left="900"/>
        <w:spacing w:after="0"/>
        <w:tabs>
          <w:tab w:leader="none" w:pos="128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u w:val="single" w:color="auto"/>
          <w:color w:val="auto"/>
        </w:rPr>
        <w:t>Waiver of Jury Trial; Consent to Jurisdiction</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80" w:firstLine="975"/>
        <w:spacing w:after="0" w:line="252" w:lineRule="auto"/>
        <w:tabs>
          <w:tab w:leader="none" w:pos="1277"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acknowledges and consents that any legal action or proceeding brought with respect to this Agreement or any of the obligations arising under or relating to this Agreement may only be brought in the courts of the State of Delaware or in the United States District Court for the District of Delaware (collectively, the “</w:t>
      </w:r>
      <w:r>
        <w:rPr>
          <w:rFonts w:ascii="Times New Roman" w:cs="Times New Roman" w:eastAsia="Times New Roman" w:hAnsi="Times New Roman"/>
          <w:sz w:val="18"/>
          <w:szCs w:val="18"/>
          <w:b w:val="1"/>
          <w:bCs w:val="1"/>
          <w:color w:val="auto"/>
        </w:rPr>
        <w:t>Chosen Courts</w:t>
      </w:r>
      <w:r>
        <w:rPr>
          <w:rFonts w:ascii="Times New Roman" w:cs="Times New Roman" w:eastAsia="Times New Roman" w:hAnsi="Times New Roman"/>
          <w:sz w:val="18"/>
          <w:szCs w:val="18"/>
          <w:color w:val="auto"/>
        </w:rPr>
        <w:t>”) and each of the parties hereto hereby irrevocably submits to and accepts with regard to any such action or proceeding, for itself and in respect of its properly, generally and unconditionally, the exclusive jurisdiction of the Chosen Courts. Each party hereby further irrevocably waives any claim that any Chosen Court lacks jurisdiction over such party, and agrees not to plead or claim, in any legal action or proceeding with respect to this Agreement or the transactions contemplated hereby brought in the Chosen Courts, that any such court lacks jurisdiction over such party.</w:t>
      </w:r>
    </w:p>
    <w:p>
      <w:pPr>
        <w:spacing w:after="0" w:line="188" w:lineRule="exact"/>
        <w:rPr>
          <w:rFonts w:ascii="Times New Roman" w:cs="Times New Roman" w:eastAsia="Times New Roman" w:hAnsi="Times New Roman"/>
          <w:sz w:val="18"/>
          <w:szCs w:val="18"/>
          <w:color w:val="auto"/>
        </w:rPr>
      </w:pPr>
    </w:p>
    <w:p>
      <w:pPr>
        <w:ind w:left="-80" w:right="20" w:firstLine="975"/>
        <w:spacing w:after="0" w:line="252" w:lineRule="auto"/>
        <w:tabs>
          <w:tab w:leader="none" w:pos="1287"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irrevocably consents to the service of process in any legal action or proceeding brought with respect to this Agreement or any of the obligations arising under or relating to this Agreement by the mailing of copies thereof by registered or certified mail, postage prepaid, to such party, at its address for notices as provided in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of this Agreement, such service to become effective ten (10) days after such mailing. Each party hereby irrevocably waives any objection to such service of process and further irrevocably waives and agrees not to plead or claim in any action or proceeding commenced hereunder or under any other documents contemplated hereby, that service of process was in any way invalid or ineffective. Subject to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the foregoing shall not limit the rights of any party to serve process in any other manner permitted by applicable law. The foregoing consents to jurisdiction shall not constitute general consents to service of process in the State of Delaware for any purpose except as provided above and shall not be deemed to confer rights on any Person other than the respective parties to this Agreement.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40"/>
          </w:cols>
          <w:pgMar w:left="580" w:top="268" w:right="579" w:bottom="1440" w:gutter="0" w:footer="0" w:header="0"/>
        </w:sectPr>
      </w:pPr>
    </w:p>
    <w:bookmarkStart w:id="617" w:name="page618"/>
    <w:bookmarkEnd w:id="617"/>
    <w:p>
      <w:pPr>
        <w:ind w:firstLine="975"/>
        <w:spacing w:after="0" w:line="253" w:lineRule="auto"/>
        <w:tabs>
          <w:tab w:leader="none" w:pos="1357"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2">
                      <a:extLst>
                        <a:ext uri="{28A0092B-C50C-407E-A947-70E740481C1C}"/>
                      </a:extLst>
                    </a:blip>
                    <a:srcRect/>
                    <a:stretch>
                      <a:fillRect/>
                    </a:stretch>
                  </pic:blipFill>
                  <pic:spPr bwMode="auto">
                    <a:xfrm>
                      <a:off x="0" y="0"/>
                      <a:ext cx="7150735" cy="24765"/>
                    </a:xfrm>
                    <a:prstGeom prst="rect">
                      <a:avLst/>
                    </a:prstGeom>
                    <a:noFill/>
                  </pic:spPr>
                </pic:pic>
              </a:graphicData>
            </a:graphic>
          </wp:anchor>
        </w:drawing>
        <w:t>Each of the parties hereto hereby waives any right it may have under the laws of any jurisdiction to commence by publication any legal action or proceeding with respect to this Agreement or any of the obligations under or relating to this Agreement. To the fullest extent permitted by applicable law, each of the parties hereto hereby irrevocably waives the objection which it may now or hereafter have to the laying of the venue of any suit, action or proceeding with respect to this Agreement or any of the obligations arising under or relating to this Agreement in any of the Chosen Courts, and hereby further irrevocably waives and agrees not to plead or claim that any such Chosen Court is not a convenient forum for any such suit, action or proceeding.</w:t>
      </w:r>
    </w:p>
    <w:p>
      <w:pPr>
        <w:spacing w:after="0" w:line="186" w:lineRule="exact"/>
        <w:rPr>
          <w:rFonts w:ascii="Times New Roman" w:cs="Times New Roman" w:eastAsia="Times New Roman" w:hAnsi="Times New Roman"/>
          <w:sz w:val="18"/>
          <w:szCs w:val="18"/>
          <w:color w:val="auto"/>
        </w:rPr>
      </w:pPr>
    </w:p>
    <w:p>
      <w:pPr>
        <w:jc w:val="both"/>
        <w:ind w:right="60" w:firstLine="975"/>
        <w:spacing w:after="0" w:line="262" w:lineRule="auto"/>
        <w:tabs>
          <w:tab w:leader="none" w:pos="1363"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any judgment obtained by any party hereto or its successors or assigns in any action, suit or proceeding referred to above may, in the discretion of such party (or its successors or assigns), be enforced in any jurisdiction, to the extent permitted by applicable law.</w:t>
      </w:r>
    </w:p>
    <w:p>
      <w:pPr>
        <w:spacing w:after="0" w:line="177" w:lineRule="exact"/>
        <w:rPr>
          <w:rFonts w:ascii="Times New Roman" w:cs="Times New Roman" w:eastAsia="Times New Roman" w:hAnsi="Times New Roman"/>
          <w:sz w:val="18"/>
          <w:szCs w:val="18"/>
          <w:color w:val="auto"/>
        </w:rPr>
      </w:pPr>
    </w:p>
    <w:p>
      <w:pPr>
        <w:ind w:right="20" w:firstLine="975"/>
        <w:spacing w:after="0" w:line="252" w:lineRule="auto"/>
        <w:tabs>
          <w:tab w:leader="none" w:pos="1357"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HEREBY WAIVES TO THE FULLEST EXTENT PERMITTED BY APPLICABLE LAW ANY RIGHT IT MAY HAVE TO A TRIAL BY JURY WITH RESPECT TO ANY SUIT, ACTION OR PROCEEDING DIRECTLY OR INDIRECTLY ARISING OUT OF, UNDER OR IN CONNECTION WITH THIS AGREEMENT OR THE TRANSACTIONS CONTEMPLATED HEREBY. EACH OF THE PARTIES (I) CERTIFIES THAT NO REPRESENTATIVE, AGENT OR ATTORNEY OF ANY OTHER PARTY HAS REPRESENTED, EXPRESSLY OR OTHERWISE, THAT SUCH OTHER PARTY WOULD NOT, IN THE EVENT OF ANY SUIT, ACTION OR PROCEEDING, SEEK TO ENFORCE THE FOREGOING WAIVER AND (II) ACKNOWLEDGES THAT IT AND THE OTHER PARTIES HAVE BEEN INDUCED TO ENTER INTO THIS AGREEMENT OR ANY OF THE TRANSACTIONS CONTEMPLATED HEREBY BY, AMONG OTHER THINGS, THE MUTUAL WAIVERS AND CERTIFICATIONS IN THIS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160" w:firstLine="981"/>
        <w:spacing w:after="0" w:line="257"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bind and inure to the benefit of and be enforceable by the parties hereto and their respective successors and permitted assigns. The rights and obligations hereunder shall not be assignable without the prior written consent of the other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any Purchaser, without the consent of any other party, may assign, in whole or in part, any of its rights hereunder to any affiliate of such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no such assignment shall relive the assigning party of its obligations hereunder.</w:t>
      </w:r>
    </w:p>
    <w:p>
      <w:pPr>
        <w:spacing w:after="0" w:line="182" w:lineRule="exact"/>
        <w:rPr>
          <w:sz w:val="20"/>
          <w:szCs w:val="20"/>
          <w:color w:val="auto"/>
        </w:rPr>
      </w:pPr>
    </w:p>
    <w:p>
      <w:pPr>
        <w:jc w:val="both"/>
        <w:ind w:firstLine="981"/>
        <w:spacing w:after="0" w:line="26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embodies the complete agreement and understanding among the parties hereto with respect to the subject matter hereof and supersedes and preempts any prior understandings, agreements or representations by or among the parties, written or oral, that may have related to the subject matter hereof in any way.</w:t>
      </w:r>
    </w:p>
    <w:p>
      <w:pPr>
        <w:spacing w:after="0" w:line="177"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7"/>
          <w:szCs w:val="17"/>
          <w:u w:val="single" w:color="auto"/>
          <w:color w:val="auto"/>
        </w:rPr>
        <w:t>HSR Filings</w:t>
      </w:r>
      <w:r>
        <w:rPr>
          <w:rFonts w:ascii="Times New Roman" w:cs="Times New Roman" w:eastAsia="Times New Roman" w:hAnsi="Times New Roman"/>
          <w:sz w:val="17"/>
          <w:szCs w:val="17"/>
          <w:color w:val="auto"/>
        </w:rPr>
        <w:t>. The parties shall cooperate to make any required HSR filings as promptly as reasonably practicable.</w:t>
      </w:r>
    </w:p>
    <w:p>
      <w:pPr>
        <w:spacing w:after="0" w:line="220" w:lineRule="exact"/>
        <w:rPr>
          <w:sz w:val="20"/>
          <w:szCs w:val="20"/>
          <w:color w:val="auto"/>
        </w:rPr>
      </w:pPr>
    </w:p>
    <w:p>
      <w:pPr>
        <w:ind w:right="220" w:firstLine="981"/>
        <w:spacing w:after="0" w:line="277"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designations, offers, acceptances or other communications provided for herein shall be deemed to be sufficient if contained in a written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0"/>
          </w:cols>
          <w:pgMar w:left="500" w:top="267" w:right="539" w:bottom="1440" w:gutter="0" w:footer="0" w:header="0"/>
        </w:sectPr>
      </w:pPr>
    </w:p>
    <w:bookmarkStart w:id="618" w:name="page619"/>
    <w:bookmarkEnd w:id="618"/>
    <w:p>
      <w:pPr>
        <w:ind w:left="6" w:right="4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instrument delivered in person or sent by facsimile, e-mail, nationally-recognized overnight courier or first class registered or certified mail, return receipt requested, postage prepaid, which shall be addressed, (a) in the case of the Company, to its principal office, Attention: GoodRx, Inc.,</w:t>
      </w:r>
    </w:p>
    <w:p>
      <w:pPr>
        <w:ind w:left="6"/>
        <w:spacing w:after="0"/>
        <w:rPr>
          <w:sz w:val="20"/>
          <w:szCs w:val="20"/>
          <w:color w:val="auto"/>
        </w:rPr>
      </w:pPr>
      <w:r>
        <w:rPr>
          <w:rFonts w:ascii="Times New Roman" w:cs="Times New Roman" w:eastAsia="Times New Roman" w:hAnsi="Times New Roman"/>
          <w:sz w:val="18"/>
          <w:szCs w:val="18"/>
          <w:color w:val="auto"/>
        </w:rPr>
        <w:t>233 Wilshire Blvd., Suite 990, Santa Monica, CA 90401, attention: Trevor Bezdek, with copy (which shall not constitute notice) to Latham &amp; Watkins</w:t>
      </w:r>
    </w:p>
    <w:p>
      <w:pPr>
        <w:spacing w:after="0" w:line="7" w:lineRule="exact"/>
        <w:rPr>
          <w:sz w:val="20"/>
          <w:szCs w:val="20"/>
          <w:color w:val="auto"/>
        </w:rPr>
      </w:pPr>
    </w:p>
    <w:p>
      <w:pPr>
        <w:ind w:left="6" w:right="460"/>
        <w:spacing w:after="0" w:line="255" w:lineRule="auto"/>
        <w:rPr>
          <w:sz w:val="20"/>
          <w:szCs w:val="20"/>
          <w:color w:val="auto"/>
        </w:rPr>
      </w:pPr>
      <w:r>
        <w:rPr>
          <w:rFonts w:ascii="Times New Roman" w:cs="Times New Roman" w:eastAsia="Times New Roman" w:hAnsi="Times New Roman"/>
          <w:sz w:val="18"/>
          <w:szCs w:val="18"/>
          <w:color w:val="auto"/>
        </w:rPr>
        <w:t>LLP, 885 Third Avenue, New York, NY 10022, attention: Benjamin Cohen; or (b) in the case of any other party hereto, to the following respective addresses, e-mail addresses or telecopy numbers:</w:t>
      </w:r>
    </w:p>
    <w:p>
      <w:pPr>
        <w:spacing w:after="0" w:line="76"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If to the Purchaser, to:</w:t>
      </w:r>
    </w:p>
    <w:p>
      <w:pPr>
        <w:spacing w:after="0" w:line="114"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c/o Silver Lake</w:t>
      </w:r>
    </w:p>
    <w:p>
      <w:pPr>
        <w:spacing w:after="0" w:line="26"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55 Hudson Yards</w:t>
      </w:r>
    </w:p>
    <w:p>
      <w:pPr>
        <w:spacing w:after="0" w:line="5"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550 West 34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40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7"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Attention: Andrew J. Schader</w:t>
      </w:r>
    </w:p>
    <w:p>
      <w:pPr>
        <w:spacing w:after="0" w:line="95"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4"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6"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Three Embarcadero Center</w:t>
      </w:r>
    </w:p>
    <w:p>
      <w:pPr>
        <w:spacing w:after="0" w:line="7"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San Francisco, CA 94111-4006</w:t>
      </w:r>
    </w:p>
    <w:p>
      <w:pPr>
        <w:spacing w:after="0" w:line="7" w:lineRule="exact"/>
        <w:rPr>
          <w:sz w:val="20"/>
          <w:szCs w:val="20"/>
          <w:color w:val="auto"/>
        </w:rPr>
      </w:pPr>
    </w:p>
    <w:p>
      <w:pPr>
        <w:ind w:left="966"/>
        <w:spacing w:after="0"/>
        <w:tabs>
          <w:tab w:leader="none" w:pos="2146"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Thomas Holden</w:t>
      </w:r>
    </w:p>
    <w:p>
      <w:pPr>
        <w:spacing w:after="0" w:line="7" w:lineRule="exact"/>
        <w:rPr>
          <w:sz w:val="20"/>
          <w:szCs w:val="20"/>
          <w:color w:val="auto"/>
        </w:rPr>
      </w:pPr>
    </w:p>
    <w:p>
      <w:pPr>
        <w:ind w:left="2166"/>
        <w:spacing w:after="0"/>
        <w:rPr>
          <w:sz w:val="20"/>
          <w:szCs w:val="20"/>
          <w:color w:val="auto"/>
        </w:rPr>
      </w:pPr>
      <w:r>
        <w:rPr>
          <w:rFonts w:ascii="Times New Roman" w:cs="Times New Roman" w:eastAsia="Times New Roman" w:hAnsi="Times New Roman"/>
          <w:sz w:val="18"/>
          <w:szCs w:val="18"/>
          <w:color w:val="auto"/>
        </w:rPr>
        <w:t>Eric Issadore</w:t>
      </w:r>
    </w:p>
    <w:p>
      <w:pPr>
        <w:spacing w:after="0" w:line="2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Any and all notices, designations, offers, acceptances or other communications shall be conclusively deemed to have been given, delivered or received</w:t>
      </w:r>
    </w:p>
    <w:p>
      <w:pPr>
        <w:spacing w:after="0" w:line="26" w:lineRule="exact"/>
        <w:rPr>
          <w:sz w:val="20"/>
          <w:szCs w:val="20"/>
          <w:color w:val="auto"/>
        </w:rPr>
      </w:pPr>
    </w:p>
    <w:p>
      <w:pPr>
        <w:ind w:left="6" w:hanging="6"/>
        <w:spacing w:after="0" w:line="249" w:lineRule="auto"/>
        <w:tabs>
          <w:tab w:leader="none" w:pos="219"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personal delivery, on the day of actual delivery thereof, (ii) in the case of e-mail, on the day of transmittal thereof if given during the normal business hours of the recipient, and on the Business Day during which such normal business hours next occur if not given during such hours on any day, (iii) in the case of dispatch by nationally-recognized overnight courier, on the next Business Day following the disposition with such nationally-recognized overnight courier and (iv) in the case of mailing, on the third (3rd) Business Day after the posting thereof. By notice complying with the foregoing provisions of this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each party shall have the right to change its address for the notices and communications to such party. As used herein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other day on which banks located in San Francisco, California are authorized or required by law to close.</w:t>
      </w:r>
    </w:p>
    <w:p>
      <w:pPr>
        <w:spacing w:after="0" w:line="188" w:lineRule="exact"/>
        <w:rPr>
          <w:sz w:val="20"/>
          <w:szCs w:val="20"/>
          <w:color w:val="auto"/>
        </w:rPr>
      </w:pPr>
    </w:p>
    <w:p>
      <w:pPr>
        <w:ind w:left="6" w:right="20" w:firstLine="981"/>
        <w:spacing w:after="0" w:line="277"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This Agreement may only be amended or modified, in whole or in part, by a written instrument signed by the Company and the Purchaser.</w:t>
      </w:r>
    </w:p>
    <w:p>
      <w:pPr>
        <w:spacing w:after="0" w:line="163" w:lineRule="exact"/>
        <w:rPr>
          <w:sz w:val="20"/>
          <w:szCs w:val="20"/>
          <w:color w:val="auto"/>
        </w:rPr>
      </w:pPr>
    </w:p>
    <w:p>
      <w:pPr>
        <w:ind w:left="6" w:right="60" w:firstLine="981"/>
        <w:spacing w:after="0" w:line="277"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held to be invalid, illegal or incapable of being enforced by any rule of law or public policy, all other conditions and provisions of this Agreement shall nevertheless remain in full force and effect so</w:t>
      </w:r>
    </w:p>
    <w:p>
      <w:pPr>
        <w:spacing w:after="0" w:line="9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6"/>
          </w:cols>
          <w:pgMar w:left="494" w:top="268" w:right="519" w:bottom="1440" w:gutter="0" w:footer="0" w:header="0"/>
        </w:sectPr>
      </w:pPr>
    </w:p>
    <w:bookmarkStart w:id="619" w:name="page620"/>
    <w:bookmarkEnd w:id="619"/>
    <w:p>
      <w:pPr>
        <w:ind w:right="10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24">
                      <a:extLst>
                        <a:ext uri="{28A0092B-C50C-407E-A947-70E740481C1C}"/>
                      </a:extLst>
                    </a:blip>
                    <a:srcRect/>
                    <a:stretch>
                      <a:fillRect/>
                    </a:stretch>
                  </pic:blipFill>
                  <pic:spPr bwMode="auto">
                    <a:xfrm>
                      <a:off x="0" y="0"/>
                      <a:ext cx="7150735" cy="24765"/>
                    </a:xfrm>
                    <a:prstGeom prst="rect">
                      <a:avLst/>
                    </a:prstGeom>
                    <a:noFill/>
                  </pic:spPr>
                </pic:pic>
              </a:graphicData>
            </a:graphic>
          </wp:anchor>
        </w:drawing>
        <w:t>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herby be consummated as originally contemplated to the fullest extent possible.</w:t>
      </w:r>
    </w:p>
    <w:p>
      <w:pPr>
        <w:spacing w:after="0" w:line="182" w:lineRule="exact"/>
        <w:rPr>
          <w:sz w:val="20"/>
          <w:szCs w:val="20"/>
          <w:color w:val="auto"/>
        </w:rPr>
      </w:pPr>
    </w:p>
    <w:p>
      <w:pPr>
        <w:ind w:right="60" w:firstLine="981"/>
        <w:spacing w:after="0" w:line="257"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any time or from time to time after the date hereof, the parties agree to cooperate with each other, and at the request of any other party, to execute and deliver any further instruments or documents and to take all such further action as the other party may reasonably request in order to evidence or effectuate the consummation of the transactions contemplated hereby and to otherwise carry out the intent of the parties hereunder.</w:t>
      </w:r>
    </w:p>
    <w:p>
      <w:pPr>
        <w:spacing w:after="0" w:line="182" w:lineRule="exact"/>
        <w:rPr>
          <w:sz w:val="20"/>
          <w:szCs w:val="20"/>
          <w:color w:val="auto"/>
        </w:rPr>
      </w:pPr>
    </w:p>
    <w:p>
      <w:pPr>
        <w:ind w:right="20" w:firstLine="981"/>
        <w:spacing w:after="0" w:line="257"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acknowledge that the remedies at law of the other parties for a breach or threatened breach of this Agreement would be inadequate and, in recognition of this fact, any party to this Agreement, without posting any bond, and in addition to all other remedies that may be available, shall be entitled to equitable relief in the form of specific performance, a temporary restraining order, a temporary or permanent injunction or any other equitable remedy that may then be available.</w:t>
      </w:r>
    </w:p>
    <w:p>
      <w:pPr>
        <w:spacing w:after="0" w:line="182" w:lineRule="exact"/>
        <w:rPr>
          <w:sz w:val="20"/>
          <w:szCs w:val="20"/>
          <w:color w:val="auto"/>
        </w:rPr>
      </w:pPr>
    </w:p>
    <w:p>
      <w:pPr>
        <w:ind w:right="700" w:firstLine="981"/>
        <w:spacing w:after="0" w:line="262"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and by the different parties hereto in separate counterparts, each of which when executed shall be deemed to be an original but all of which taken together shall constitute one and the same agreement.</w:t>
      </w:r>
    </w:p>
    <w:p>
      <w:pPr>
        <w:spacing w:after="0" w:line="177" w:lineRule="exact"/>
        <w:rPr>
          <w:sz w:val="20"/>
          <w:szCs w:val="20"/>
          <w:color w:val="auto"/>
        </w:rPr>
      </w:pPr>
    </w:p>
    <w:p>
      <w:pPr>
        <w:ind w:right="280" w:firstLine="981"/>
        <w:spacing w:after="0" w:line="277"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Costs, Expenses</w:t>
      </w:r>
      <w:r>
        <w:rPr>
          <w:rFonts w:ascii="Times New Roman" w:cs="Times New Roman" w:eastAsia="Times New Roman" w:hAnsi="Times New Roman"/>
          <w:sz w:val="18"/>
          <w:szCs w:val="18"/>
          <w:color w:val="auto"/>
        </w:rPr>
        <w:t>. The Company and the Purchaser will each bear its own expenses in connection with the preparation, execution and delivery of this Agreement and the consummation of the Financing.</w:t>
      </w:r>
    </w:p>
    <w:p>
      <w:pPr>
        <w:spacing w:after="0" w:line="163" w:lineRule="exact"/>
        <w:rPr>
          <w:sz w:val="20"/>
          <w:szCs w:val="20"/>
          <w:color w:val="auto"/>
        </w:rPr>
      </w:pPr>
    </w:p>
    <w:p>
      <w:pPr>
        <w:ind w:firstLine="981"/>
        <w:spacing w:after="0" w:line="250"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Other Definitional and Interpretative Provisions</w:t>
      </w:r>
      <w:r>
        <w:rPr>
          <w:rFonts w:ascii="Times New Roman" w:cs="Times New Roman" w:eastAsia="Times New Roman" w:hAnsi="Times New Roman"/>
          <w:sz w:val="18"/>
          <w:szCs w:val="18"/>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Schedules are to Sections and Schedules of this Agreement unless otherwise specified. All Schedules annexed hereto or referred to herein are hereby incorporated in and made a part of this Agreement as if set forth in full herein. Any capitalized term used in any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500" w:top="268" w:right="519" w:bottom="1440" w:gutter="0" w:footer="0" w:header="0"/>
        </w:sectPr>
      </w:pPr>
    </w:p>
    <w:bookmarkStart w:id="620" w:name="page621"/>
    <w:bookmarkEnd w:id="620"/>
    <w:p>
      <w:pPr>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5">
                      <a:extLst>
                        <a:ext uri="{28A0092B-C50C-407E-A947-70E740481C1C}"/>
                      </a:extLst>
                    </a:blip>
                    <a:srcRect/>
                    <a:stretch>
                      <a:fillRect/>
                    </a:stretch>
                  </pic:blipFill>
                  <pic:spPr bwMode="auto">
                    <a:xfrm>
                      <a:off x="0" y="0"/>
                      <a:ext cx="7150735" cy="24765"/>
                    </a:xfrm>
                    <a:prstGeom prst="rect">
                      <a:avLst/>
                    </a:prstGeom>
                    <a:noFill/>
                  </pic:spPr>
                </pic:pic>
              </a:graphicData>
            </a:graphic>
          </wp:anchor>
        </w:drawing>
        <w:t>hereof and thereof. References to any person include the successors and permitted assigns of that person. References from or through any date mean, unless otherwise specified, from and including or through and including, respectively.</w:t>
      </w:r>
    </w:p>
    <w:p>
      <w:pPr>
        <w:spacing w:after="0" w:line="16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5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00"/>
          </w:cols>
          <w:pgMar w:left="500" w:top="267" w:right="799" w:bottom="1440" w:gutter="0" w:footer="0" w:header="0"/>
        </w:sectPr>
      </w:pPr>
    </w:p>
    <w:bookmarkStart w:id="621" w:name="page622"/>
    <w:bookmarkEnd w:id="621"/>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undersigned have executed this Agreement to be effective as of the date first above written.</w:t>
      </w:r>
    </w:p>
    <w:p>
      <w:pPr>
        <w:spacing w:after="0" w:line="24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GOODRX HOLDINGS, INC.</w:t>
      </w:r>
    </w:p>
    <w:p>
      <w:pPr>
        <w:spacing w:after="0" w:line="23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27">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Name: Karsten Voermann</w:t>
      </w:r>
    </w:p>
    <w:p>
      <w:pPr>
        <w:spacing w:after="0" w:line="26"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color w:val="auto"/>
        </w:rPr>
        <w:t>Title: CFO</w:t>
      </w:r>
    </w:p>
    <w:p>
      <w:pPr>
        <w:spacing w:after="0" w:line="2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THE PURCHASER</w:t>
      </w:r>
    </w:p>
    <w:p>
      <w:pPr>
        <w:spacing w:after="0" w:line="22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SLP GEOLOGY AGGREGATOR, L.P.</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SLP Geology GP, L.L.C., its general partner</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Silver Lake Technology Associates V, L.P., its</w:t>
      </w:r>
    </w:p>
    <w:p>
      <w:pPr>
        <w:spacing w:after="0" w:line="2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SLTA V (GP), L.L.C., its general partner</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Silver Lake Group, L.L.C., its managing member</w:t>
      </w:r>
    </w:p>
    <w:p>
      <w:pPr>
        <w:spacing w:after="0" w:line="220" w:lineRule="exact"/>
        <w:rPr>
          <w:sz w:val="20"/>
          <w:szCs w:val="20"/>
          <w:color w:val="auto"/>
        </w:rPr>
      </w:pPr>
    </w:p>
    <w:p>
      <w:pPr>
        <w:ind w:left="6540"/>
        <w:spacing w:after="0"/>
        <w:tabs>
          <w:tab w:leader="none" w:pos="6960" w:val="left"/>
        </w:tabs>
        <w:rPr>
          <w:sz w:val="20"/>
          <w:szCs w:val="20"/>
          <w:color w:val="auto"/>
        </w:rPr>
      </w:pPr>
      <w:r>
        <w:rPr>
          <w:rFonts w:ascii="Times New Roman" w:cs="Times New Roman" w:eastAsia="Times New Roman" w:hAnsi="Times New Roman"/>
          <w:sz w:val="18"/>
          <w:szCs w:val="18"/>
          <w:color w:val="auto"/>
        </w:rPr>
        <w:t>By:</w:t>
        <w:tab/>
        <w:t>/s/ Gregory Mondre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28">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Name: Gregory Mondre</w:t>
      </w:r>
    </w:p>
    <w:p>
      <w:pPr>
        <w:spacing w:after="0" w:line="2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Stock Purchase Agreement</w:t>
      </w:r>
      <w:r>
        <w:rPr>
          <w:rFonts w:ascii="Times New Roman" w:cs="Times New Roman" w:eastAsia="Times New Roman" w:hAnsi="Times New Roman"/>
          <w:sz w:val="18"/>
          <w:szCs w:val="18"/>
          <w:color w:val="auto"/>
        </w:rPr>
        <w:t>]</w:t>
      </w:r>
    </w:p>
    <w:p>
      <w:pPr>
        <w:sectPr>
          <w:pgSz w:w="11900" w:h="16838" w:orient="portrait"/>
          <w:cols w:equalWidth="0" w:num="1">
            <w:col w:w="10420"/>
          </w:cols>
          <w:pgMar w:left="500" w:top="268" w:right="979" w:bottom="1440" w:gutter="0" w:footer="0" w:header="0"/>
        </w:sectPr>
      </w:pPr>
    </w:p>
    <w:bookmarkStart w:id="622" w:name="page623"/>
    <w:bookmarkEnd w:id="62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We hereby consent to the use in this Registration Statement on Form S-1 of GoodRx Holdings, Inc. of our report dated April 27, 2020, except for Note 17 and the effects of disclosing earnings per share information discussed in Note 16 to the consolidated financial statements, as to which the date is July 2, 2020, relating to the financial statements of GoodRx Holdings, Inc., which appears in this Registration Statement. We also consent to the reference to us under the heading “Experts” in such Registration Statement.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13, 2020</w:t>
      </w:r>
    </w:p>
    <w:sectPr>
      <w:pgSz w:w="11900" w:h="16838" w:orient="portrait"/>
      <w:cols w:equalWidth="0" w:num="1">
        <w:col w:w="10900"/>
      </w:cols>
      <w:pgMar w:left="500" w:top="11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EBB1F2A"/>
    <w:multiLevelType w:val="hybridMultilevel"/>
    <w:lvl w:ilvl="0">
      <w:lvlJc w:val="left"/>
      <w:lvlText w:val="(%1)"/>
      <w:numFmt w:val="decimal"/>
      <w:start w:val="1"/>
    </w:lvl>
  </w:abstractNum>
  <w:abstractNum w:abstractNumId="1">
    <w:nsid w:val="6FBF29CB"/>
    <w:multiLevelType w:val="hybridMultilevel"/>
    <w:lvl w:ilvl="0">
      <w:lvlJc w:val="left"/>
      <w:lvlText w:val="(%1)"/>
      <w:numFmt w:val="decimal"/>
      <w:start w:val="1"/>
    </w:lvl>
  </w:abstractNum>
  <w:abstractNum w:abstractNumId="2">
    <w:nsid w:val="550B8808"/>
    <w:multiLevelType w:val="hybridMultilevel"/>
    <w:lvl w:ilvl="0">
      <w:lvlJc w:val="left"/>
      <w:lvlText w:val="•"/>
      <w:numFmt w:val="bullet"/>
      <w:start w:val="1"/>
    </w:lvl>
  </w:abstractNum>
  <w:abstractNum w:abstractNumId="3">
    <w:nsid w:val="34CC3ACF"/>
    <w:multiLevelType w:val="hybridMultilevel"/>
    <w:lvl w:ilvl="0">
      <w:lvlJc w:val="left"/>
      <w:lvlText w:val="•"/>
      <w:numFmt w:val="bullet"/>
      <w:start w:val="1"/>
    </w:lvl>
    <w:lvl w:ilvl="1">
      <w:lvlJc w:val="left"/>
      <w:lvlText w:val="-"/>
      <w:numFmt w:val="bullet"/>
      <w:start w:val="1"/>
    </w:lvl>
  </w:abstractNum>
  <w:abstractNum w:abstractNumId="4">
    <w:nsid w:val="4E556261"/>
    <w:multiLevelType w:val="hybridMultilevel"/>
    <w:lvl w:ilvl="0">
      <w:lvlJc w:val="left"/>
      <w:lvlText w:val="•"/>
      <w:numFmt w:val="bullet"/>
      <w:start w:val="1"/>
    </w:lvl>
  </w:abstractNum>
  <w:abstractNum w:abstractNumId="5">
    <w:nsid w:val="4C672FC9"/>
    <w:multiLevelType w:val="hybridMultilevel"/>
    <w:lvl w:ilvl="0">
      <w:lvlJc w:val="left"/>
      <w:lvlText w:val="•"/>
      <w:numFmt w:val="bullet"/>
      <w:start w:val="1"/>
    </w:lvl>
    <w:lvl w:ilvl="1">
      <w:lvlJc w:val="left"/>
      <w:lvlText w:val="-"/>
      <w:numFmt w:val="bullet"/>
      <w:start w:val="1"/>
    </w:lvl>
  </w:abstractNum>
  <w:abstractNum w:abstractNumId="6">
    <w:nsid w:val="52A311C3"/>
    <w:multiLevelType w:val="hybridMultilevel"/>
    <w:lvl w:ilvl="0">
      <w:lvlJc w:val="left"/>
      <w:lvlText w:val="•"/>
      <w:numFmt w:val="bullet"/>
      <w:start w:val="1"/>
    </w:lvl>
    <w:lvl w:ilvl="1">
      <w:lvlJc w:val="left"/>
      <w:lvlText w:val="•"/>
      <w:numFmt w:val="bullet"/>
      <w:start w:val="1"/>
    </w:lvl>
  </w:abstractNum>
  <w:abstractNum w:abstractNumId="7">
    <w:nsid w:val="44EF6B80"/>
    <w:multiLevelType w:val="hybridMultilevel"/>
    <w:lvl w:ilvl="0">
      <w:lvlJc w:val="left"/>
      <w:lvlText w:val="•"/>
      <w:numFmt w:val="bullet"/>
      <w:start w:val="1"/>
    </w:lvl>
    <w:lvl w:ilvl="1">
      <w:lvlJc w:val="left"/>
      <w:lvlText w:val="-"/>
      <w:numFmt w:val="bullet"/>
      <w:start w:val="1"/>
    </w:lvl>
  </w:abstractNum>
  <w:abstractNum w:abstractNumId="8">
    <w:nsid w:val="12FCDE5E"/>
    <w:multiLevelType w:val="hybridMultilevel"/>
    <w:lvl w:ilvl="0">
      <w:lvlJc w:val="left"/>
      <w:lvlText w:val="•"/>
      <w:numFmt w:val="bullet"/>
      <w:start w:val="1"/>
    </w:lvl>
  </w:abstractNum>
  <w:abstractNum w:abstractNumId="9">
    <w:nsid w:val="4A1D606E"/>
    <w:multiLevelType w:val="hybridMultilevel"/>
    <w:lvl w:ilvl="0">
      <w:lvlJc w:val="left"/>
      <w:lvlText w:val="•"/>
      <w:numFmt w:val="bullet"/>
      <w:start w:val="1"/>
    </w:lvl>
    <w:lvl w:ilvl="1">
      <w:lvlJc w:val="left"/>
      <w:lvlText w:val="-"/>
      <w:numFmt w:val="bullet"/>
      <w:start w:val="1"/>
    </w:lvl>
  </w:abstractNum>
  <w:abstractNum w:abstractNumId="10">
    <w:nsid w:val="4382503"/>
    <w:multiLevelType w:val="hybridMultilevel"/>
    <w:lvl w:ilvl="0">
      <w:lvlJc w:val="left"/>
      <w:lvlText w:val="•"/>
      <w:numFmt w:val="bullet"/>
      <w:start w:val="1"/>
    </w:lvl>
    <w:lvl w:ilvl="1">
      <w:lvlJc w:val="left"/>
      <w:lvlText w:val="-"/>
      <w:numFmt w:val="bullet"/>
      <w:start w:val="1"/>
    </w:lvl>
  </w:abstractNum>
  <w:abstractNum w:abstractNumId="11">
    <w:nsid w:val="59B76E28"/>
    <w:multiLevelType w:val="hybridMultilevel"/>
    <w:lvl w:ilvl="0">
      <w:lvlJc w:val="left"/>
      <w:lvlText w:val="•"/>
      <w:numFmt w:val="bullet"/>
      <w:start w:val="1"/>
    </w:lvl>
  </w:abstractNum>
  <w:abstractNum w:abstractNumId="12">
    <w:nsid w:val="4252C2DA"/>
    <w:multiLevelType w:val="hybridMultilevel"/>
    <w:lvl w:ilvl="0">
      <w:lvlJc w:val="left"/>
      <w:lvlText w:val="•"/>
      <w:numFmt w:val="bullet"/>
      <w:start w:val="1"/>
    </w:lvl>
    <w:lvl w:ilvl="1">
      <w:lvlJc w:val="left"/>
      <w:lvlText w:val="-"/>
      <w:numFmt w:val="bullet"/>
      <w:start w:val="1"/>
    </w:lvl>
  </w:abstractNum>
  <w:abstractNum w:abstractNumId="13">
    <w:nsid w:val="6A92EF4C"/>
    <w:multiLevelType w:val="hybridMultilevel"/>
    <w:lvl w:ilvl="0">
      <w:lvlJc w:val="left"/>
      <w:lvlText w:val="(%1)"/>
      <w:numFmt w:val="decimal"/>
      <w:start w:val="1"/>
    </w:lvl>
  </w:abstractNum>
  <w:abstractNum w:abstractNumId="14">
    <w:nsid w:val="41ED20D7"/>
    <w:multiLevelType w:val="hybridMultilevel"/>
    <w:lvl w:ilvl="0">
      <w:lvlJc w:val="left"/>
      <w:lvlText w:val="(%1)"/>
      <w:numFmt w:val="decimal"/>
      <w:start w:val="2"/>
    </w:lvl>
  </w:abstractNum>
  <w:abstractNum w:abstractNumId="15">
    <w:nsid w:val="E6B3F6A"/>
    <w:multiLevelType w:val="hybridMultilevel"/>
    <w:lvl w:ilvl="0">
      <w:lvlJc w:val="left"/>
      <w:lvlText w:val="(%1)"/>
      <w:numFmt w:val="decimal"/>
      <w:start w:val="3"/>
    </w:lvl>
  </w:abstractNum>
  <w:abstractNum w:abstractNumId="16">
    <w:nsid w:val="3EB21819"/>
    <w:multiLevelType w:val="hybridMultilevel"/>
    <w:lvl w:ilvl="0">
      <w:lvlJc w:val="left"/>
      <w:lvlText w:val="(%1)"/>
      <w:numFmt w:val="decimal"/>
      <w:start w:val="1"/>
    </w:lvl>
  </w:abstractNum>
  <w:abstractNum w:abstractNumId="17">
    <w:nsid w:val="41531DED"/>
    <w:multiLevelType w:val="hybridMultilevel"/>
    <w:lvl w:ilvl="0">
      <w:lvlJc w:val="left"/>
      <w:lvlText w:val="(%1)"/>
      <w:numFmt w:val="decimal"/>
      <w:start w:val="1"/>
    </w:lvl>
    <w:lvl w:ilvl="1">
      <w:lvlJc w:val="left"/>
      <w:lvlText w:val="-"/>
      <w:numFmt w:val="bullet"/>
      <w:start w:val="1"/>
    </w:lvl>
  </w:abstractNum>
  <w:abstractNum w:abstractNumId="18">
    <w:nsid w:val="6353CD2"/>
    <w:multiLevelType w:val="hybridMultilevel"/>
    <w:lvl w:ilvl="0">
      <w:lvlJc w:val="left"/>
      <w:lvlText w:val="•"/>
      <w:numFmt w:val="bullet"/>
      <w:start w:val="1"/>
    </w:lvl>
    <w:lvl w:ilvl="1">
      <w:lvlJc w:val="left"/>
      <w:lvlText w:val="-"/>
      <w:numFmt w:val="bullet"/>
      <w:start w:val="1"/>
    </w:lvl>
  </w:abstractNum>
  <w:abstractNum w:abstractNumId="19">
    <w:nsid w:val="683CAAD3"/>
    <w:multiLevelType w:val="hybridMultilevel"/>
    <w:lvl w:ilvl="0">
      <w:lvlJc w:val="left"/>
      <w:lvlText w:val="•"/>
      <w:numFmt w:val="bullet"/>
      <w:start w:val="1"/>
    </w:lvl>
    <w:lvl w:ilvl="1">
      <w:lvlJc w:val="left"/>
      <w:lvlText w:val="-"/>
      <w:numFmt w:val="bullet"/>
      <w:start w:val="1"/>
    </w:lvl>
  </w:abstractNum>
  <w:abstractNum w:abstractNumId="20">
    <w:nsid w:val="313C7C99"/>
    <w:multiLevelType w:val="hybridMultilevel"/>
    <w:lvl w:ilvl="0">
      <w:lvlJc w:val="left"/>
      <w:lvlText w:val="•"/>
      <w:numFmt w:val="bullet"/>
      <w:start w:val="1"/>
    </w:lvl>
  </w:abstractNum>
  <w:abstractNum w:abstractNumId="21">
    <w:nsid w:val="519EB94C"/>
    <w:multiLevelType w:val="hybridMultilevel"/>
    <w:lvl w:ilvl="0">
      <w:lvlJc w:val="left"/>
      <w:lvlText w:val="•"/>
      <w:numFmt w:val="bullet"/>
      <w:start w:val="1"/>
    </w:lvl>
  </w:abstractNum>
  <w:abstractNum w:abstractNumId="22">
    <w:nsid w:val="39DF2579"/>
    <w:multiLevelType w:val="hybridMultilevel"/>
    <w:lvl w:ilvl="0">
      <w:lvlJc w:val="left"/>
      <w:lvlText w:val="•"/>
      <w:numFmt w:val="bullet"/>
      <w:start w:val="1"/>
    </w:lvl>
    <w:lvl w:ilvl="1">
      <w:lvlJc w:val="left"/>
      <w:lvlText w:val="-"/>
      <w:numFmt w:val="bullet"/>
      <w:start w:val="1"/>
    </w:lvl>
  </w:abstractNum>
  <w:abstractNum w:abstractNumId="23">
    <w:nsid w:val="126E008B"/>
    <w:multiLevelType w:val="hybridMultilevel"/>
    <w:lvl w:ilvl="0">
      <w:lvlJc w:val="left"/>
      <w:lvlText w:val="•"/>
      <w:numFmt w:val="bullet"/>
      <w:start w:val="1"/>
    </w:lvl>
  </w:abstractNum>
  <w:abstractNum w:abstractNumId="24">
    <w:nsid w:val="34DFBC00"/>
    <w:multiLevelType w:val="hybridMultilevel"/>
    <w:lvl w:ilvl="0">
      <w:lvlJc w:val="left"/>
      <w:lvlText w:val="•"/>
      <w:numFmt w:val="bullet"/>
      <w:start w:val="1"/>
    </w:lvl>
    <w:lvl w:ilvl="1">
      <w:lvlJc w:val="left"/>
      <w:lvlText w:val="-"/>
      <w:numFmt w:val="bullet"/>
      <w:start w:val="1"/>
    </w:lvl>
  </w:abstractNum>
  <w:abstractNum w:abstractNumId="25">
    <w:nsid w:val="1F9EC322"/>
    <w:multiLevelType w:val="hybridMultilevel"/>
    <w:lvl w:ilvl="0">
      <w:lvlJc w:val="left"/>
      <w:lvlText w:val="•"/>
      <w:numFmt w:val="bullet"/>
      <w:start w:val="1"/>
    </w:lvl>
  </w:abstractNum>
  <w:abstractNum w:abstractNumId="26">
    <w:nsid w:val="3410ED56"/>
    <w:multiLevelType w:val="hybridMultilevel"/>
    <w:lvl w:ilvl="0">
      <w:lvlJc w:val="left"/>
      <w:lvlText w:val="•"/>
      <w:numFmt w:val="bullet"/>
      <w:start w:val="1"/>
    </w:lvl>
  </w:abstractNum>
  <w:abstractNum w:abstractNumId="27">
    <w:nsid w:val="23C049A"/>
    <w:multiLevelType w:val="hybridMultilevel"/>
    <w:lvl w:ilvl="0">
      <w:lvlJc w:val="left"/>
      <w:lvlText w:val="•"/>
      <w:numFmt w:val="bullet"/>
      <w:start w:val="1"/>
    </w:lvl>
  </w:abstractNum>
  <w:abstractNum w:abstractNumId="28">
    <w:nsid w:val="5BDA35D4"/>
    <w:multiLevelType w:val="hybridMultilevel"/>
    <w:lvl w:ilvl="0">
      <w:lvlJc w:val="left"/>
      <w:lvlText w:val="•"/>
      <w:numFmt w:val="bullet"/>
      <w:start w:val="1"/>
    </w:lvl>
  </w:abstractNum>
  <w:abstractNum w:abstractNumId="29">
    <w:nsid w:val="496FB218"/>
    <w:multiLevelType w:val="hybridMultilevel"/>
    <w:lvl w:ilvl="0">
      <w:lvlJc w:val="left"/>
      <w:lvlText w:val="•"/>
      <w:numFmt w:val="bullet"/>
      <w:start w:val="1"/>
    </w:lvl>
    <w:lvl w:ilvl="1">
      <w:lvlJc w:val="left"/>
      <w:lvlText w:val="-"/>
      <w:numFmt w:val="bullet"/>
      <w:start w:val="1"/>
    </w:lvl>
  </w:abstractNum>
  <w:abstractNum w:abstractNumId="30">
    <w:nsid w:val="680EA5D1"/>
    <w:multiLevelType w:val="hybridMultilevel"/>
    <w:lvl w:ilvl="0">
      <w:lvlJc w:val="left"/>
      <w:lvlText w:val="•"/>
      <w:numFmt w:val="bullet"/>
      <w:start w:val="1"/>
    </w:lvl>
  </w:abstractNum>
  <w:abstractNum w:abstractNumId="31">
    <w:nsid w:val="4A9554FE"/>
    <w:multiLevelType w:val="hybridMultilevel"/>
    <w:lvl w:ilvl="0">
      <w:lvlJc w:val="left"/>
      <w:lvlText w:val="(%1)"/>
      <w:numFmt w:val="lowerRoman"/>
      <w:start w:val="1"/>
    </w:lvl>
    <w:lvl w:ilvl="1">
      <w:lvlJc w:val="left"/>
      <w:lvlText w:val="-"/>
      <w:numFmt w:val="bullet"/>
      <w:start w:val="1"/>
    </w:lvl>
  </w:abstractNum>
  <w:abstractNum w:abstractNumId="32">
    <w:nsid w:val="392EDBE4"/>
    <w:multiLevelType w:val="hybridMultilevel"/>
    <w:lvl w:ilvl="0">
      <w:lvlJc w:val="left"/>
      <w:lvlText w:val="•"/>
      <w:numFmt w:val="bullet"/>
      <w:start w:val="1"/>
    </w:lvl>
    <w:lvl w:ilvl="1">
      <w:lvlJc w:val="left"/>
      <w:lvlText w:val="-"/>
      <w:numFmt w:val="bullet"/>
      <w:start w:val="1"/>
    </w:lvl>
  </w:abstractNum>
  <w:abstractNum w:abstractNumId="33">
    <w:nsid w:val="3D1A2DD9"/>
    <w:multiLevelType w:val="hybridMultilevel"/>
    <w:lvl w:ilvl="0">
      <w:lvlJc w:val="left"/>
      <w:lvlText w:val="•"/>
      <w:numFmt w:val="bullet"/>
      <w:start w:val="1"/>
    </w:lvl>
  </w:abstractNum>
  <w:abstractNum w:abstractNumId="34">
    <w:nsid w:val="7F618FCD"/>
    <w:multiLevelType w:val="hybridMultilevel"/>
    <w:lvl w:ilvl="0">
      <w:lvlJc w:val="left"/>
      <w:lvlText w:val="•"/>
      <w:numFmt w:val="bullet"/>
      <w:start w:val="1"/>
    </w:lvl>
    <w:lvl w:ilvl="1">
      <w:lvlJc w:val="left"/>
      <w:lvlText w:val="-"/>
      <w:numFmt w:val="bullet"/>
      <w:start w:val="1"/>
    </w:lvl>
  </w:abstractNum>
  <w:abstractNum w:abstractNumId="35">
    <w:nsid w:val="7843E45"/>
    <w:multiLevelType w:val="hybridMultilevel"/>
    <w:lvl w:ilvl="0">
      <w:lvlJc w:val="left"/>
      <w:lvlText w:val="•"/>
      <w:numFmt w:val="bullet"/>
      <w:start w:val="1"/>
    </w:lvl>
  </w:abstractNum>
  <w:abstractNum w:abstractNumId="36">
    <w:nsid w:val="9815DA3"/>
    <w:multiLevelType w:val="hybridMultilevel"/>
    <w:lvl w:ilvl="0">
      <w:lvlJc w:val="left"/>
      <w:lvlText w:val="(%1)"/>
      <w:numFmt w:val="decimal"/>
      <w:start w:val="1"/>
    </w:lvl>
  </w:abstractNum>
  <w:abstractNum w:abstractNumId="37">
    <w:nsid w:val="5204A191"/>
    <w:multiLevelType w:val="hybridMultilevel"/>
    <w:lvl w:ilvl="0">
      <w:lvlJc w:val="left"/>
      <w:lvlText w:val="(%1)"/>
      <w:numFmt w:val="decimal"/>
      <w:start w:val="1"/>
    </w:lvl>
  </w:abstractNum>
  <w:abstractNum w:abstractNumId="38">
    <w:nsid w:val="4C73A9C6"/>
    <w:multiLevelType w:val="hybridMultilevel"/>
    <w:lvl w:ilvl="0">
      <w:lvlJc w:val="left"/>
      <w:lvlText w:val="•"/>
      <w:numFmt w:val="bullet"/>
      <w:start w:val="1"/>
    </w:lvl>
    <w:lvl w:ilvl="1">
      <w:lvlJc w:val="left"/>
      <w:lvlText w:val="-"/>
      <w:numFmt w:val="bullet"/>
      <w:start w:val="1"/>
    </w:lvl>
  </w:abstractNum>
  <w:abstractNum w:abstractNumId="39">
    <w:nsid w:val="1C7E3C01"/>
    <w:multiLevelType w:val="hybridMultilevel"/>
    <w:lvl w:ilvl="0">
      <w:lvlJc w:val="left"/>
      <w:lvlText w:val="•"/>
      <w:numFmt w:val="bullet"/>
      <w:start w:val="1"/>
    </w:lvl>
    <w:lvl w:ilvl="1">
      <w:lvlJc w:val="left"/>
      <w:lvlText w:val="-"/>
      <w:numFmt w:val="bullet"/>
      <w:start w:val="1"/>
    </w:lvl>
  </w:abstractNum>
  <w:abstractNum w:abstractNumId="40">
    <w:nsid w:val="1C2201FF"/>
    <w:multiLevelType w:val="hybridMultilevel"/>
    <w:lvl w:ilvl="0">
      <w:lvlJc w:val="left"/>
      <w:lvlText w:val="•"/>
      <w:numFmt w:val="bullet"/>
      <w:start w:val="1"/>
    </w:lvl>
    <w:lvl w:ilvl="1">
      <w:lvlJc w:val="left"/>
      <w:lvlText w:val="-"/>
      <w:numFmt w:val="bullet"/>
      <w:start w:val="1"/>
    </w:lvl>
  </w:abstractNum>
  <w:abstractNum w:abstractNumId="41">
    <w:nsid w:val="50ABCEC9"/>
    <w:multiLevelType w:val="hybridMultilevel"/>
    <w:lvl w:ilvl="0">
      <w:lvlJc w:val="left"/>
      <w:lvlText w:val="•"/>
      <w:numFmt w:val="bullet"/>
      <w:start w:val="1"/>
    </w:lvl>
    <w:lvl w:ilvl="1">
      <w:lvlJc w:val="left"/>
      <w:lvlText w:val="(%2)"/>
      <w:numFmt w:val="decimal"/>
      <w:start w:val="2"/>
    </w:lvl>
    <w:lvl w:ilvl="2">
      <w:lvlJc w:val="left"/>
      <w:lvlText w:val="-"/>
      <w:numFmt w:val="bullet"/>
      <w:start w:val="1"/>
    </w:lvl>
  </w:abstractNum>
  <w:abstractNum w:abstractNumId="42">
    <w:nsid w:val="7635AA2A"/>
    <w:multiLevelType w:val="hybridMultilevel"/>
    <w:lvl w:ilvl="0">
      <w:lvlJc w:val="left"/>
      <w:lvlText w:val="(%1)"/>
      <w:numFmt w:val="decimal"/>
      <w:start w:val="1"/>
    </w:lvl>
  </w:abstractNum>
  <w:abstractNum w:abstractNumId="43">
    <w:nsid w:val="5E74C4D9"/>
    <w:multiLevelType w:val="hybridMultilevel"/>
    <w:lvl w:ilvl="0">
      <w:lvlJc w:val="left"/>
      <w:lvlText w:val="(%1)"/>
      <w:numFmt w:val="decimal"/>
      <w:start w:val="2"/>
    </w:lvl>
  </w:abstractNum>
  <w:abstractNum w:abstractNumId="44">
    <w:nsid w:val="3B3EBE15"/>
    <w:multiLevelType w:val="hybridMultilevel"/>
    <w:lvl w:ilvl="0">
      <w:lvlJc w:val="left"/>
      <w:lvlText w:val="(%1)"/>
      <w:numFmt w:val="decimal"/>
      <w:start w:val="3"/>
    </w:lvl>
    <w:lvl w:ilvl="1">
      <w:lvlJc w:val="left"/>
      <w:lvlText w:val="-"/>
      <w:numFmt w:val="bullet"/>
      <w:start w:val="1"/>
    </w:lvl>
  </w:abstractNum>
  <w:abstractNum w:abstractNumId="45">
    <w:nsid w:val="3822CB01"/>
    <w:multiLevelType w:val="hybridMultilevel"/>
    <w:lvl w:ilvl="0">
      <w:lvlJc w:val="left"/>
      <w:lvlText w:val="(%1)"/>
      <w:numFmt w:val="decimal"/>
      <w:start w:val="1"/>
    </w:lvl>
  </w:abstractNum>
  <w:abstractNum w:abstractNumId="46">
    <w:nsid w:val="6CE00443"/>
    <w:multiLevelType w:val="hybridMultilevel"/>
    <w:lvl w:ilvl="0">
      <w:lvlJc w:val="left"/>
      <w:lvlText w:val="(%1)"/>
      <w:numFmt w:val="decimal"/>
      <w:start w:val="1"/>
    </w:lvl>
    <w:lvl w:ilvl="1">
      <w:lvlJc w:val="left"/>
      <w:lvlText w:val="-"/>
      <w:numFmt w:val="bullet"/>
      <w:start w:val="1"/>
    </w:lvl>
  </w:abstractNum>
  <w:abstractNum w:abstractNumId="47">
    <w:nsid w:val="79F0D62F"/>
    <w:multiLevelType w:val="hybridMultilevel"/>
    <w:lvl w:ilvl="0">
      <w:lvlJc w:val="left"/>
      <w:lvlText w:val="(%1)"/>
      <w:numFmt w:val="decimal"/>
      <w:start w:val="1"/>
    </w:lvl>
    <w:lvl w:ilvl="1">
      <w:lvlJc w:val="left"/>
      <w:lvlText w:val="-"/>
      <w:numFmt w:val="bullet"/>
      <w:start w:val="1"/>
    </w:lvl>
  </w:abstractNum>
  <w:abstractNum w:abstractNumId="48">
    <w:nsid w:val="7975E8EE"/>
    <w:multiLevelType w:val="hybridMultilevel"/>
    <w:lvl w:ilvl="0">
      <w:lvlJc w:val="left"/>
      <w:lvlText w:val="•"/>
      <w:numFmt w:val="bullet"/>
      <w:start w:val="1"/>
    </w:lvl>
    <w:lvl w:ilvl="1">
      <w:lvlJc w:val="left"/>
      <w:lvlText w:val="-"/>
      <w:numFmt w:val="bullet"/>
      <w:start w:val="1"/>
    </w:lvl>
  </w:abstractNum>
  <w:abstractNum w:abstractNumId="49">
    <w:nsid w:val="73154115"/>
    <w:multiLevelType w:val="hybridMultilevel"/>
    <w:lvl w:ilvl="0">
      <w:lvlJc w:val="left"/>
      <w:lvlText w:val="%1)"/>
      <w:numFmt w:val="upperLetter"/>
      <w:start w:val="4"/>
    </w:lvl>
  </w:abstractNum>
  <w:abstractNum w:abstractNumId="50">
    <w:nsid w:val="622D8102"/>
    <w:multiLevelType w:val="hybridMultilevel"/>
    <w:lvl w:ilvl="0">
      <w:lvlJc w:val="left"/>
      <w:lvlText w:val="•"/>
      <w:numFmt w:val="bullet"/>
      <w:start w:val="1"/>
    </w:lvl>
    <w:lvl w:ilvl="1">
      <w:lvlJc w:val="left"/>
      <w:lvlText w:val="-"/>
      <w:numFmt w:val="bullet"/>
      <w:start w:val="1"/>
    </w:lvl>
  </w:abstractNum>
  <w:abstractNum w:abstractNumId="51">
    <w:nsid w:val="2AB26587"/>
    <w:multiLevelType w:val="hybridMultilevel"/>
    <w:lvl w:ilvl="0">
      <w:lvlJc w:val="left"/>
      <w:lvlText w:val="•"/>
      <w:numFmt w:val="bullet"/>
      <w:start w:val="1"/>
    </w:lvl>
    <w:lvl w:ilvl="1">
      <w:lvlJc w:val="left"/>
      <w:lvlText w:val="-"/>
      <w:numFmt w:val="bullet"/>
      <w:start w:val="1"/>
    </w:lvl>
  </w:abstractNum>
  <w:abstractNum w:abstractNumId="52">
    <w:nsid w:val="44B3FA61"/>
    <w:multiLevelType w:val="hybridMultilevel"/>
    <w:lvl w:ilvl="0">
      <w:lvlJc w:val="left"/>
      <w:lvlText w:val="•"/>
      <w:numFmt w:val="bullet"/>
      <w:start w:val="1"/>
    </w:lvl>
  </w:abstractNum>
  <w:abstractNum w:abstractNumId="53">
    <w:nsid w:val="1C0CA67C"/>
    <w:multiLevelType w:val="hybridMultilevel"/>
    <w:lvl w:ilvl="0">
      <w:lvlJc w:val="left"/>
      <w:lvlText w:val="•"/>
      <w:numFmt w:val="bullet"/>
      <w:start w:val="1"/>
    </w:lvl>
    <w:lvl w:ilvl="1">
      <w:lvlJc w:val="left"/>
      <w:lvlText w:val="-"/>
      <w:numFmt w:val="bullet"/>
      <w:start w:val="1"/>
    </w:lvl>
  </w:abstractNum>
  <w:abstractNum w:abstractNumId="54">
    <w:nsid w:val="3D206613"/>
    <w:multiLevelType w:val="hybridMultilevel"/>
    <w:lvl w:ilvl="0">
      <w:lvlJc w:val="left"/>
      <w:lvlText w:val="•"/>
      <w:numFmt w:val="bullet"/>
      <w:start w:val="1"/>
    </w:lvl>
  </w:abstractNum>
  <w:abstractNum w:abstractNumId="55">
    <w:nsid w:val="7993B662"/>
    <w:multiLevelType w:val="hybridMultilevel"/>
    <w:lvl w:ilvl="0">
      <w:lvlJc w:val="left"/>
      <w:lvlText w:val="*"/>
      <w:numFmt w:val="bullet"/>
      <w:start w:val="1"/>
    </w:lvl>
  </w:abstractNum>
  <w:abstractNum w:abstractNumId="56">
    <w:nsid w:val="3BAB699E"/>
    <w:multiLevelType w:val="hybridMultilevel"/>
    <w:lvl w:ilvl="0">
      <w:lvlJc w:val="left"/>
      <w:lvlText w:val="*"/>
      <w:numFmt w:val="bullet"/>
      <w:start w:val="1"/>
    </w:lvl>
  </w:abstractNum>
  <w:abstractNum w:abstractNumId="57">
    <w:nsid w:val="71315369"/>
    <w:multiLevelType w:val="hybridMultilevel"/>
    <w:lvl w:ilvl="0">
      <w:lvlJc w:val="left"/>
      <w:lvlText w:val="(%1)"/>
      <w:numFmt w:val="decimal"/>
      <w:start w:val="1"/>
    </w:lvl>
  </w:abstractNum>
  <w:abstractNum w:abstractNumId="58">
    <w:nsid w:val="7BCFBAFC"/>
    <w:multiLevelType w:val="hybridMultilevel"/>
    <w:lvl w:ilvl="0">
      <w:lvlJc w:val="left"/>
      <w:lvlText w:val="(%1)"/>
      <w:numFmt w:val="decimal"/>
      <w:start w:val="1"/>
    </w:lvl>
    <w:lvl w:ilvl="1">
      <w:lvlJc w:val="left"/>
      <w:lvlText w:val="-"/>
      <w:numFmt w:val="bullet"/>
      <w:start w:val="1"/>
    </w:lvl>
  </w:abstractNum>
  <w:abstractNum w:abstractNumId="59">
    <w:nsid w:val="17859F72"/>
    <w:multiLevelType w:val="hybridMultilevel"/>
    <w:lvl w:ilvl="0">
      <w:lvlJc w:val="left"/>
      <w:lvlText w:val="(%1)"/>
      <w:numFmt w:val="decimal"/>
      <w:start w:val="1"/>
    </w:lvl>
  </w:abstractNum>
  <w:abstractNum w:abstractNumId="60">
    <w:nsid w:val="3AA10581"/>
    <w:multiLevelType w:val="hybridMultilevel"/>
    <w:lvl w:ilvl="0">
      <w:lvlJc w:val="left"/>
      <w:lvlText w:val="•"/>
      <w:numFmt w:val="bullet"/>
      <w:start w:val="1"/>
    </w:lvl>
  </w:abstractNum>
  <w:abstractNum w:abstractNumId="61">
    <w:nsid w:val="63DE60CD"/>
    <w:multiLevelType w:val="hybridMultilevel"/>
    <w:lvl w:ilvl="0">
      <w:lvlJc w:val="left"/>
      <w:lvlText w:val="•"/>
      <w:numFmt w:val="bullet"/>
      <w:start w:val="1"/>
    </w:lvl>
    <w:lvl w:ilvl="1">
      <w:lvlJc w:val="left"/>
      <w:lvlText w:val="-"/>
      <w:numFmt w:val="bullet"/>
      <w:start w:val="1"/>
    </w:lvl>
  </w:abstractNum>
  <w:abstractNum w:abstractNumId="62">
    <w:nsid w:val="621AF471"/>
    <w:multiLevelType w:val="hybridMultilevel"/>
    <w:lvl w:ilvl="0">
      <w:lvlJc w:val="left"/>
      <w:lvlText w:val="•"/>
      <w:numFmt w:val="bullet"/>
      <w:start w:val="1"/>
    </w:lvl>
  </w:abstractNum>
  <w:abstractNum w:abstractNumId="63">
    <w:nsid w:val="73CFE165"/>
    <w:multiLevelType w:val="hybridMultilevel"/>
    <w:lvl w:ilvl="0">
      <w:lvlJc w:val="left"/>
      <w:lvlText w:val="•"/>
      <w:numFmt w:val="bullet"/>
      <w:start w:val="1"/>
    </w:lvl>
    <w:lvl w:ilvl="1">
      <w:lvlJc w:val="left"/>
      <w:lvlText w:val="-"/>
      <w:numFmt w:val="bullet"/>
      <w:start w:val="1"/>
    </w:lvl>
  </w:abstractNum>
  <w:abstractNum w:abstractNumId="64">
    <w:nsid w:val="20F88EA6"/>
    <w:multiLevelType w:val="hybridMultilevel"/>
    <w:lvl w:ilvl="0">
      <w:lvlJc w:val="left"/>
      <w:lvlText w:val="•"/>
      <w:numFmt w:val="bullet"/>
      <w:start w:val="1"/>
    </w:lvl>
  </w:abstractNum>
  <w:abstractNum w:abstractNumId="65">
    <w:nsid w:val="617C843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6">
    <w:nsid w:val="7B541F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7">
    <w:nsid w:val="2A79EC49"/>
    <w:multiLevelType w:val="hybridMultilevel"/>
    <w:lvl w:ilvl="0">
      <w:lvlJc w:val="left"/>
      <w:lvlText w:val="•"/>
      <w:numFmt w:val="bullet"/>
      <w:start w:val="1"/>
    </w:lvl>
  </w:abstractNum>
  <w:abstractNum w:abstractNumId="68">
    <w:nsid w:val="338125CF"/>
    <w:multiLevelType w:val="hybridMultilevel"/>
    <w:lvl w:ilvl="0">
      <w:lvlJc w:val="left"/>
      <w:lvlText w:val="•"/>
      <w:numFmt w:val="bullet"/>
      <w:start w:val="1"/>
    </w:lvl>
    <w:lvl w:ilvl="1">
      <w:lvlJc w:val="left"/>
      <w:lvlText w:val="-"/>
      <w:numFmt w:val="bullet"/>
      <w:start w:val="1"/>
    </w:lvl>
  </w:abstractNum>
  <w:abstractNum w:abstractNumId="69">
    <w:nsid w:val="47C7C971"/>
    <w:multiLevelType w:val="hybridMultilevel"/>
    <w:lvl w:ilvl="0">
      <w:lvlJc w:val="left"/>
      <w:lvlText w:val="•"/>
      <w:numFmt w:val="bullet"/>
      <w:start w:val="1"/>
    </w:lvl>
    <w:lvl w:ilvl="1">
      <w:lvlJc w:val="left"/>
      <w:lvlText w:val="-"/>
      <w:numFmt w:val="bullet"/>
      <w:start w:val="1"/>
    </w:lvl>
  </w:abstractNum>
  <w:abstractNum w:abstractNumId="70">
    <w:nsid w:val="46F8284B"/>
    <w:multiLevelType w:val="hybridMultilevel"/>
    <w:lvl w:ilvl="0">
      <w:lvlJc w:val="left"/>
      <w:lvlText w:val="•"/>
      <w:numFmt w:val="bullet"/>
      <w:start w:val="1"/>
    </w:lvl>
    <w:lvl w:ilvl="1">
      <w:lvlJc w:val="left"/>
      <w:lvlText w:val="-"/>
      <w:numFmt w:val="bullet"/>
      <w:start w:val="1"/>
    </w:lvl>
  </w:abstractNum>
  <w:abstractNum w:abstractNumId="71">
    <w:nsid w:val="4FA327CE"/>
    <w:multiLevelType w:val="hybridMultilevel"/>
    <w:lvl w:ilvl="0">
      <w:lvlJc w:val="left"/>
      <w:lvlText w:val="•"/>
      <w:numFmt w:val="bullet"/>
      <w:start w:val="1"/>
    </w:lvl>
  </w:abstractNum>
  <w:abstractNum w:abstractNumId="72">
    <w:nsid w:val="1873983A"/>
    <w:multiLevelType w:val="hybridMultilevel"/>
    <w:lvl w:ilvl="0">
      <w:lvlJc w:val="left"/>
      <w:lvlText w:val="•"/>
      <w:numFmt w:val="bullet"/>
      <w:start w:val="1"/>
    </w:lvl>
    <w:lvl w:ilvl="1">
      <w:lvlJc w:val="left"/>
      <w:lvlText w:val="-"/>
      <w:numFmt w:val="bullet"/>
      <w:start w:val="1"/>
    </w:lvl>
  </w:abstractNum>
  <w:abstractNum w:abstractNumId="73">
    <w:nsid w:val="3D2DD275"/>
    <w:multiLevelType w:val="hybridMultilevel"/>
    <w:lvl w:ilvl="0">
      <w:lvlJc w:val="left"/>
      <w:lvlText w:val="•"/>
      <w:numFmt w:val="bullet"/>
      <w:start w:val="1"/>
    </w:lvl>
  </w:abstractNum>
  <w:abstractNum w:abstractNumId="74">
    <w:nsid w:val="2E17ECA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5">
    <w:nsid w:val="53B2564F"/>
    <w:multiLevelType w:val="hybridMultilevel"/>
    <w:lvl w:ilvl="0">
      <w:lvlJc w:val="left"/>
      <w:lvlText w:val="•"/>
      <w:numFmt w:val="bullet"/>
      <w:start w:val="1"/>
    </w:lvl>
    <w:lvl w:ilvl="1">
      <w:lvlJc w:val="left"/>
      <w:lvlText w:val="•"/>
      <w:numFmt w:val="bullet"/>
      <w:start w:val="1"/>
    </w:lvl>
  </w:abstractNum>
  <w:abstractNum w:abstractNumId="76">
    <w:nsid w:val="75509D76"/>
    <w:multiLevelType w:val="hybridMultilevel"/>
    <w:lvl w:ilvl="0">
      <w:lvlJc w:val="left"/>
      <w:lvlText w:val="•"/>
      <w:numFmt w:val="bullet"/>
      <w:start w:val="1"/>
    </w:lvl>
    <w:lvl w:ilvl="1">
      <w:lvlJc w:val="left"/>
      <w:lvlText w:val="-"/>
      <w:numFmt w:val="bullet"/>
      <w:start w:val="1"/>
    </w:lvl>
  </w:abstractNum>
  <w:abstractNum w:abstractNumId="77">
    <w:nsid w:val="1AF7F0EA"/>
    <w:multiLevelType w:val="hybridMultilevel"/>
    <w:lvl w:ilvl="0">
      <w:lvlJc w:val="left"/>
      <w:lvlText w:val="•"/>
      <w:numFmt w:val="bullet"/>
      <w:start w:val="1"/>
    </w:lvl>
  </w:abstractNum>
  <w:abstractNum w:abstractNumId="78">
    <w:nsid w:val="4DA32C7E"/>
    <w:multiLevelType w:val="hybridMultilevel"/>
    <w:lvl w:ilvl="0">
      <w:lvlJc w:val="left"/>
      <w:lvlText w:val="•"/>
      <w:numFmt w:val="bullet"/>
      <w:start w:val="1"/>
    </w:lvl>
    <w:lvl w:ilvl="1">
      <w:lvlJc w:val="left"/>
      <w:lvlText w:val="-"/>
      <w:numFmt w:val="bullet"/>
      <w:start w:val="1"/>
    </w:lvl>
  </w:abstractNum>
  <w:abstractNum w:abstractNumId="79">
    <w:nsid w:val="6EC68664"/>
    <w:multiLevelType w:val="hybridMultilevel"/>
    <w:lvl w:ilvl="0">
      <w:lvlJc w:val="left"/>
      <w:lvlText w:val="•"/>
      <w:numFmt w:val="bullet"/>
      <w:start w:val="1"/>
    </w:lvl>
    <w:lvl w:ilvl="1">
      <w:lvlJc w:val="left"/>
      <w:lvlText w:val="•"/>
      <w:numFmt w:val="bullet"/>
      <w:start w:val="1"/>
    </w:lvl>
  </w:abstractNum>
  <w:abstractNum w:abstractNumId="80">
    <w:nsid w:val="E0D31FF"/>
    <w:multiLevelType w:val="hybridMultilevel"/>
    <w:lvl w:ilvl="0">
      <w:lvlJc w:val="left"/>
      <w:lvlText w:val="•"/>
      <w:numFmt w:val="bullet"/>
      <w:start w:val="1"/>
    </w:lvl>
  </w:abstractNum>
  <w:abstractNum w:abstractNumId="81">
    <w:nsid w:val="2FD0AD81"/>
    <w:multiLevelType w:val="hybridMultilevel"/>
    <w:lvl w:ilvl="0">
      <w:lvlJc w:val="left"/>
      <w:lvlText w:val="(%1)"/>
      <w:numFmt w:val="decimal"/>
      <w:start w:val="1"/>
    </w:lvl>
  </w:abstractNum>
  <w:abstractNum w:abstractNumId="82">
    <w:nsid w:val="1978EBEB"/>
    <w:multiLevelType w:val="hybridMultilevel"/>
    <w:lvl w:ilvl="0">
      <w:lvlJc w:val="left"/>
      <w:lvlText w:val="•"/>
      <w:numFmt w:val="bullet"/>
      <w:start w:val="1"/>
    </w:lvl>
  </w:abstractNum>
  <w:abstractNum w:abstractNumId="83">
    <w:nsid w:val="52C12C61"/>
    <w:multiLevelType w:val="hybridMultilevel"/>
    <w:lvl w:ilvl="0">
      <w:lvlJc w:val="left"/>
      <w:lvlText w:val="•"/>
      <w:numFmt w:val="bullet"/>
      <w:start w:val="1"/>
    </w:lvl>
  </w:abstractNum>
  <w:abstractNum w:abstractNumId="84">
    <w:nsid w:val="4BDD53FD"/>
    <w:multiLevelType w:val="hybridMultilevel"/>
    <w:lvl w:ilvl="0">
      <w:lvlJc w:val="left"/>
      <w:lvlText w:val="•"/>
      <w:numFmt w:val="bullet"/>
      <w:start w:val="1"/>
    </w:lvl>
  </w:abstractNum>
  <w:abstractNum w:abstractNumId="85">
    <w:nsid w:val="569951FE"/>
    <w:multiLevelType w:val="hybridMultilevel"/>
    <w:lvl w:ilvl="0">
      <w:lvlJc w:val="left"/>
      <w:lvlText w:val="•"/>
      <w:numFmt w:val="bullet"/>
      <w:start w:val="1"/>
    </w:lvl>
  </w:abstractNum>
  <w:abstractNum w:abstractNumId="86">
    <w:nsid w:val="4C54E2C3"/>
    <w:multiLevelType w:val="hybridMultilevel"/>
    <w:lvl w:ilvl="0">
      <w:lvlJc w:val="left"/>
      <w:lvlText w:val="(%1)"/>
      <w:numFmt w:val="decimal"/>
      <w:start w:val="1"/>
    </w:lvl>
  </w:abstractNum>
  <w:abstractNum w:abstractNumId="87">
    <w:nsid w:val="788BD9B"/>
    <w:multiLevelType w:val="hybridMultilevel"/>
    <w:lvl w:ilvl="0">
      <w:lvlJc w:val="left"/>
      <w:lvlText w:val="•"/>
      <w:numFmt w:val="bullet"/>
      <w:start w:val="1"/>
    </w:lvl>
  </w:abstractNum>
  <w:abstractNum w:abstractNumId="88">
    <w:nsid w:val="47CAA567"/>
    <w:multiLevelType w:val="hybridMultilevel"/>
    <w:lvl w:ilvl="0">
      <w:lvlJc w:val="left"/>
      <w:lvlText w:val="•"/>
      <w:numFmt w:val="bullet"/>
      <w:start w:val="1"/>
    </w:lvl>
  </w:abstractNum>
  <w:abstractNum w:abstractNumId="89">
    <w:nsid w:val="48249DBF"/>
    <w:multiLevelType w:val="hybridMultilevel"/>
    <w:lvl w:ilvl="0">
      <w:lvlJc w:val="left"/>
      <w:lvlText w:val="•"/>
      <w:numFmt w:val="bullet"/>
      <w:start w:val="1"/>
    </w:lvl>
  </w:abstractNum>
  <w:abstractNum w:abstractNumId="90">
    <w:nsid w:val="1F0E5D0D"/>
    <w:multiLevelType w:val="hybridMultilevel"/>
    <w:lvl w:ilvl="0">
      <w:lvlJc w:val="left"/>
      <w:lvlText w:val="(%1)"/>
      <w:numFmt w:val="decimal"/>
      <w:start w:val="1"/>
    </w:lvl>
  </w:abstractNum>
  <w:abstractNum w:abstractNumId="91">
    <w:nsid w:val="26BAAE9"/>
    <w:multiLevelType w:val="hybridMultilevel"/>
    <w:lvl w:ilvl="0">
      <w:lvlJc w:val="left"/>
      <w:lvlText w:val="(%1)"/>
      <w:numFmt w:val="lowerRoman"/>
      <w:start w:val="2"/>
    </w:lvl>
    <w:lvl w:ilvl="1">
      <w:lvlJc w:val="left"/>
      <w:lvlText w:val="-"/>
      <w:numFmt w:val="bullet"/>
      <w:start w:val="1"/>
    </w:lvl>
  </w:abstractNum>
  <w:abstractNum w:abstractNumId="92">
    <w:nsid w:val="2C02FE8C"/>
    <w:multiLevelType w:val="hybridMultilevel"/>
    <w:lvl w:ilvl="0">
      <w:lvlJc w:val="left"/>
      <w:lvlText w:val="•"/>
      <w:numFmt w:val="bullet"/>
      <w:start w:val="1"/>
    </w:lvl>
    <w:lvl w:ilvl="1">
      <w:lvlJc w:val="left"/>
      <w:lvlText w:val="•"/>
      <w:numFmt w:val="bullet"/>
      <w:start w:val="1"/>
    </w:lvl>
  </w:abstractNum>
  <w:abstractNum w:abstractNumId="93">
    <w:nsid w:val="129517E"/>
    <w:multiLevelType w:val="hybridMultilevel"/>
    <w:lvl w:ilvl="0">
      <w:lvlJc w:val="left"/>
      <w:lvlText w:val="•"/>
      <w:numFmt w:val="bullet"/>
      <w:start w:val="1"/>
    </w:lvl>
  </w:abstractNum>
  <w:abstractNum w:abstractNumId="94">
    <w:nsid w:val="763B8C4E"/>
    <w:multiLevelType w:val="hybridMultilevel"/>
    <w:lvl w:ilvl="0">
      <w:lvlJc w:val="left"/>
      <w:lvlText w:val="•"/>
      <w:numFmt w:val="bullet"/>
      <w:start w:val="1"/>
    </w:lvl>
    <w:lvl w:ilvl="1">
      <w:lvlJc w:val="left"/>
      <w:lvlText w:val="-"/>
      <w:numFmt w:val="bullet"/>
      <w:start w:val="1"/>
    </w:lvl>
  </w:abstractNum>
  <w:abstractNum w:abstractNumId="95">
    <w:nsid w:val="4CFB8D32"/>
    <w:multiLevelType w:val="hybridMultilevel"/>
    <w:lvl w:ilvl="0">
      <w:lvlJc w:val="left"/>
      <w:lvlText w:val="•"/>
      <w:numFmt w:val="bullet"/>
      <w:start w:val="1"/>
    </w:lvl>
    <w:lvl w:ilvl="1">
      <w:lvlJc w:val="left"/>
      <w:lvlText w:val="-"/>
      <w:numFmt w:val="bullet"/>
      <w:start w:val="1"/>
    </w:lvl>
  </w:abstractNum>
  <w:abstractNum w:abstractNumId="96">
    <w:nsid w:val="62A5D5BD"/>
    <w:multiLevelType w:val="hybridMultilevel"/>
    <w:lvl w:ilvl="0">
      <w:lvlJc w:val="left"/>
      <w:lvlText w:val="•"/>
      <w:numFmt w:val="bullet"/>
      <w:start w:val="1"/>
    </w:lvl>
  </w:abstractNum>
  <w:abstractNum w:abstractNumId="97">
    <w:nsid w:val="718FABF9"/>
    <w:multiLevelType w:val="hybridMultilevel"/>
    <w:lvl w:ilvl="0">
      <w:lvlJc w:val="left"/>
      <w:lvlText w:val="(%1)"/>
      <w:numFmt w:val="decimal"/>
      <w:start w:val="6"/>
    </w:lvl>
  </w:abstractNum>
  <w:abstractNum w:abstractNumId="98">
    <w:nsid w:val="7775797C"/>
    <w:multiLevelType w:val="hybridMultilevel"/>
    <w:lvl w:ilvl="0">
      <w:lvlJc w:val="left"/>
      <w:lvlText w:val="(%1)"/>
      <w:numFmt w:val="decimal"/>
      <w:start w:val="24"/>
    </w:lvl>
  </w:abstractNum>
  <w:abstractNum w:abstractNumId="99">
    <w:nsid w:val="1626FB8C"/>
    <w:multiLevelType w:val="hybridMultilevel"/>
    <w:lvl w:ilvl="0">
      <w:lvlJc w:val="left"/>
      <w:lvlText w:val="•"/>
      <w:numFmt w:val="bullet"/>
      <w:start w:val="1"/>
    </w:lvl>
  </w:abstractNum>
  <w:abstractNum w:abstractNumId="100">
    <w:nsid w:val="3957756A"/>
    <w:multiLevelType w:val="hybridMultilevel"/>
    <w:lvl w:ilvl="0">
      <w:lvlJc w:val="left"/>
      <w:lvlText w:val="•"/>
      <w:numFmt w:val="bullet"/>
      <w:start w:val="1"/>
    </w:lvl>
  </w:abstractNum>
  <w:abstractNum w:abstractNumId="101">
    <w:nsid w:val="3E6DA1C7"/>
    <w:multiLevelType w:val="hybridMultilevel"/>
    <w:lvl w:ilvl="0">
      <w:lvlJc w:val="left"/>
      <w:lvlText w:val="*"/>
      <w:numFmt w:val="bullet"/>
      <w:start w:val="1"/>
    </w:lvl>
  </w:abstractNum>
  <w:abstractNum w:abstractNumId="102">
    <w:nsid w:val="65CA235B"/>
    <w:multiLevelType w:val="hybridMultilevel"/>
    <w:lvl w:ilvl="0">
      <w:lvlJc w:val="left"/>
      <w:lvlText w:val="(%1)"/>
      <w:numFmt w:val="decimal"/>
      <w:start w:val="1"/>
    </w:lvl>
    <w:lvl w:ilvl="1">
      <w:lvlJc w:val="left"/>
      <w:lvlText w:val="-"/>
      <w:numFmt w:val="bullet"/>
      <w:start w:val="1"/>
    </w:lvl>
  </w:abstractNum>
  <w:abstractNum w:abstractNumId="103">
    <w:nsid w:val="51CB0DA4"/>
    <w:multiLevelType w:val="hybridMultilevel"/>
    <w:lvl w:ilvl="0">
      <w:lvlJc w:val="left"/>
      <w:lvlText w:val="(%1)"/>
      <w:numFmt w:val="decimal"/>
      <w:start w:val="3"/>
    </w:lvl>
    <w:lvl w:ilvl="1">
      <w:lvlJc w:val="left"/>
      <w:lvlText w:val="-"/>
      <w:numFmt w:val="bullet"/>
      <w:start w:val="1"/>
    </w:lvl>
  </w:abstractNum>
  <w:abstractNum w:abstractNumId="104">
    <w:nsid w:val="7B9B743C"/>
    <w:multiLevelType w:val="hybridMultilevel"/>
    <w:lvl w:ilvl="0">
      <w:lvlJc w:val="left"/>
      <w:lvlText w:val="(%1)"/>
      <w:numFmt w:val="decimal"/>
      <w:start w:val="14"/>
    </w:lvl>
    <w:lvl w:ilvl="1">
      <w:lvlJc w:val="left"/>
      <w:lvlText w:val="-"/>
      <w:numFmt w:val="bullet"/>
      <w:start w:val="1"/>
    </w:lvl>
  </w:abstractNum>
  <w:abstractNum w:abstractNumId="105">
    <w:nsid w:val="13E21002"/>
    <w:multiLevelType w:val="hybridMultilevel"/>
    <w:lvl w:ilvl="0">
      <w:lvlJc w:val="left"/>
      <w:lvlText w:val="(%1)"/>
      <w:numFmt w:val="decimal"/>
      <w:start w:val="1"/>
    </w:lvl>
    <w:lvl w:ilvl="1">
      <w:lvlJc w:val="left"/>
      <w:lvlText w:val="-"/>
      <w:numFmt w:val="bullet"/>
      <w:start w:val="1"/>
    </w:lvl>
  </w:abstractNum>
  <w:abstractNum w:abstractNumId="106">
    <w:nsid w:val="257D63F4"/>
    <w:multiLevelType w:val="hybridMultilevel"/>
    <w:lvl w:ilvl="0">
      <w:lvlJc w:val="left"/>
      <w:lvlText w:val="(%1)"/>
      <w:numFmt w:val="decimal"/>
      <w:start w:val="2"/>
    </w:lvl>
  </w:abstractNum>
  <w:abstractNum w:abstractNumId="107">
    <w:nsid w:val="70EC11B2"/>
    <w:multiLevelType w:val="hybridMultilevel"/>
    <w:lvl w:ilvl="0">
      <w:lvlJc w:val="left"/>
      <w:lvlText w:val="•"/>
      <w:numFmt w:val="bullet"/>
      <w:start w:val="1"/>
    </w:lvl>
    <w:lvl w:ilvl="1">
      <w:lvlJc w:val="left"/>
      <w:lvlText w:val="-"/>
      <w:numFmt w:val="bullet"/>
      <w:start w:val="1"/>
    </w:lvl>
  </w:abstractNum>
  <w:abstractNum w:abstractNumId="108">
    <w:nsid w:val="2EDA00ED"/>
    <w:multiLevelType w:val="hybridMultilevel"/>
    <w:lvl w:ilvl="0">
      <w:lvlJc w:val="left"/>
      <w:lvlText w:val="•"/>
      <w:numFmt w:val="bullet"/>
      <w:start w:val="1"/>
    </w:lvl>
  </w:abstractNum>
  <w:abstractNum w:abstractNumId="109">
    <w:nsid w:val="73209072"/>
    <w:multiLevelType w:val="hybridMultilevel"/>
    <w:lvl w:ilvl="0">
      <w:lvlJc w:val="left"/>
      <w:lvlText w:val="(%1)"/>
      <w:numFmt w:val="upperLetter"/>
      <w:start w:val="1"/>
    </w:lvl>
  </w:abstractNum>
  <w:abstractNum w:abstractNumId="110">
    <w:nsid w:val="5FB29816"/>
    <w:multiLevelType w:val="hybridMultilevel"/>
    <w:lvl w:ilvl="0">
      <w:lvlJc w:val="left"/>
      <w:lvlText w:val="•"/>
      <w:numFmt w:val="bullet"/>
      <w:start w:val="1"/>
    </w:lvl>
  </w:abstractNum>
  <w:abstractNum w:abstractNumId="111">
    <w:nsid w:val="3CE732EC"/>
    <w:multiLevelType w:val="hybridMultilevel"/>
    <w:lvl w:ilvl="0">
      <w:lvlJc w:val="left"/>
      <w:lvlText w:val="•"/>
      <w:numFmt w:val="bullet"/>
      <w:start w:val="1"/>
    </w:lvl>
  </w:abstractNum>
  <w:abstractNum w:abstractNumId="112">
    <w:nsid w:val="22F13DF3"/>
    <w:multiLevelType w:val="hybridMultilevel"/>
    <w:lvl w:ilvl="0">
      <w:lvlJc w:val="left"/>
      <w:lvlText w:val="•"/>
      <w:numFmt w:val="bullet"/>
      <w:start w:val="1"/>
    </w:lvl>
  </w:abstractNum>
  <w:abstractNum w:abstractNumId="113">
    <w:nsid w:val="792B8401"/>
    <w:multiLevelType w:val="hybridMultilevel"/>
    <w:lvl w:ilvl="0">
      <w:lvlJc w:val="left"/>
      <w:lvlText w:val="•"/>
      <w:numFmt w:val="bullet"/>
      <w:start w:val="1"/>
    </w:lvl>
  </w:abstractNum>
  <w:abstractNum w:abstractNumId="114">
    <w:nsid w:val="FA85F4D"/>
    <w:multiLevelType w:val="hybridMultilevel"/>
    <w:lvl w:ilvl="0">
      <w:lvlJc w:val="left"/>
      <w:lvlText w:val="$"/>
      <w:numFmt w:val="bullet"/>
      <w:start w:val="1"/>
    </w:lvl>
  </w:abstractNum>
  <w:abstractNum w:abstractNumId="115">
    <w:nsid w:val="6ECE91F0"/>
    <w:multiLevelType w:val="hybridMultilevel"/>
    <w:lvl w:ilvl="0">
      <w:lvlJc w:val="left"/>
      <w:lvlText w:val="•"/>
      <w:numFmt w:val="bullet"/>
      <w:start w:val="1"/>
    </w:lvl>
  </w:abstractNum>
  <w:abstractNum w:abstractNumId="116">
    <w:nsid w:val="4FC4D600"/>
    <w:multiLevelType w:val="hybridMultilevel"/>
    <w:lvl w:ilvl="0">
      <w:lvlJc w:val="left"/>
      <w:lvlText w:val="(%1)"/>
      <w:numFmt w:val="lowerLetter"/>
      <w:start w:val="7"/>
    </w:lvl>
  </w:abstractNum>
  <w:abstractNum w:abstractNumId="117">
    <w:nsid w:val="5BFD4210"/>
    <w:multiLevelType w:val="hybridMultilevel"/>
    <w:lvl w:ilvl="0">
      <w:lvlJc w:val="left"/>
      <w:lvlText w:val="•"/>
      <w:numFmt w:val="bullet"/>
      <w:start w:val="1"/>
    </w:lvl>
  </w:abstractNum>
  <w:abstractNum w:abstractNumId="118">
    <w:nsid w:val="76574F8B"/>
    <w:multiLevelType w:val="hybridMultilevel"/>
    <w:lvl w:ilvl="0">
      <w:lvlJc w:val="left"/>
      <w:lvlText w:val="•"/>
      <w:numFmt w:val="bullet"/>
      <w:start w:val="1"/>
    </w:lvl>
  </w:abstractNum>
  <w:abstractNum w:abstractNumId="119">
    <w:nsid w:val="178F7B67"/>
    <w:multiLevelType w:val="hybridMultilevel"/>
    <w:lvl w:ilvl="0">
      <w:lvlJc w:val="left"/>
      <w:lvlText w:val="•"/>
      <w:numFmt w:val="bullet"/>
      <w:start w:val="1"/>
    </w:lvl>
  </w:abstractNum>
  <w:abstractNum w:abstractNumId="120">
    <w:nsid w:val="2421DFCF"/>
    <w:multiLevelType w:val="hybridMultilevel"/>
    <w:lvl w:ilvl="0">
      <w:lvlJc w:val="left"/>
      <w:lvlText w:val="•"/>
      <w:numFmt w:val="bullet"/>
      <w:start w:val="1"/>
    </w:lvl>
    <w:lvl w:ilvl="1">
      <w:lvlJc w:val="left"/>
      <w:lvlText w:val="-"/>
      <w:numFmt w:val="bullet"/>
      <w:start w:val="1"/>
    </w:lvl>
  </w:abstractNum>
  <w:abstractNum w:abstractNumId="121">
    <w:nsid w:val="1565AC99"/>
    <w:multiLevelType w:val="hybridMultilevel"/>
    <w:lvl w:ilvl="0">
      <w:lvlJc w:val="left"/>
      <w:lvlText w:val="•"/>
      <w:numFmt w:val="bullet"/>
      <w:start w:val="1"/>
    </w:lvl>
    <w:lvl w:ilvl="1">
      <w:lvlJc w:val="left"/>
      <w:lvlText w:val="○"/>
      <w:numFmt w:val="bullet"/>
      <w:start w:val="1"/>
    </w:lvl>
  </w:abstractNum>
  <w:abstractNum w:abstractNumId="122">
    <w:nsid w:val="19FB2650"/>
    <w:multiLevelType w:val="hybridMultilevel"/>
    <w:lvl w:ilvl="0">
      <w:lvlJc w:val="left"/>
      <w:lvlText w:val="%1."/>
      <w:numFmt w:val="decimal"/>
      <w:start w:val="1"/>
    </w:lvl>
  </w:abstractNum>
  <w:abstractNum w:abstractNumId="123">
    <w:nsid w:val="5024DE5B"/>
    <w:multiLevelType w:val="hybridMultilevel"/>
    <w:lvl w:ilvl="0">
      <w:lvlJc w:val="left"/>
      <w:lvlText w:val="(%1)"/>
      <w:numFmt w:val="decimal"/>
      <w:start w:val="1"/>
    </w:lvl>
  </w:abstractNum>
  <w:abstractNum w:abstractNumId="124">
    <w:nsid w:val="168EFE17"/>
    <w:multiLevelType w:val="hybridMultilevel"/>
    <w:lvl w:ilvl="0">
      <w:lvlJc w:val="left"/>
      <w:lvlText w:val="•"/>
      <w:numFmt w:val="bullet"/>
      <w:start w:val="1"/>
    </w:lvl>
  </w:abstractNum>
  <w:abstractNum w:abstractNumId="125">
    <w:nsid w:val="1036B29F"/>
    <w:multiLevelType w:val="hybridMultilevel"/>
    <w:lvl w:ilvl="0">
      <w:lvlJc w:val="left"/>
      <w:lvlText w:val="•"/>
      <w:numFmt w:val="bullet"/>
      <w:start w:val="1"/>
    </w:lvl>
  </w:abstractNum>
  <w:abstractNum w:abstractNumId="126">
    <w:nsid w:val="1D206B8E"/>
    <w:multiLevelType w:val="hybridMultilevel"/>
    <w:lvl w:ilvl="0">
      <w:lvlJc w:val="left"/>
      <w:lvlText w:val="%1."/>
      <w:numFmt w:val="decimal"/>
      <w:start w:val="3"/>
    </w:lvl>
  </w:abstractNum>
  <w:abstractNum w:abstractNumId="127">
    <w:nsid w:val="7934D3D4"/>
    <w:multiLevelType w:val="hybridMultilevel"/>
    <w:lvl w:ilvl="0">
      <w:lvlJc w:val="left"/>
      <w:lvlText w:val="%1."/>
      <w:numFmt w:val="decimal"/>
      <w:start w:val="4"/>
    </w:lvl>
  </w:abstractNum>
  <w:abstractNum w:abstractNumId="128">
    <w:nsid w:val="1C65E98"/>
    <w:multiLevelType w:val="hybridMultilevel"/>
    <w:lvl w:ilvl="0">
      <w:lvlJc w:val="left"/>
      <w:lvlText w:val="%1."/>
      <w:numFmt w:val="decimal"/>
      <w:start w:val="5"/>
    </w:lvl>
  </w:abstractNum>
  <w:abstractNum w:abstractNumId="129">
    <w:nsid w:val="1495E50A"/>
    <w:multiLevelType w:val="hybridMultilevel"/>
    <w:lvl w:ilvl="0">
      <w:lvlJc w:val="left"/>
      <w:lvlText w:val="%1."/>
      <w:numFmt w:val="decimal"/>
      <w:start w:val="6"/>
    </w:lvl>
  </w:abstractNum>
  <w:abstractNum w:abstractNumId="130">
    <w:nsid w:val="F5BCF61"/>
    <w:multiLevelType w:val="hybridMultilevel"/>
    <w:lvl w:ilvl="0">
      <w:lvlJc w:val="left"/>
      <w:lvlText w:val="%1."/>
      <w:numFmt w:val="decimal"/>
      <w:start w:val="7"/>
    </w:lvl>
  </w:abstractNum>
  <w:abstractNum w:abstractNumId="131">
    <w:nsid w:val="3B1DD403"/>
    <w:multiLevelType w:val="hybridMultilevel"/>
    <w:lvl w:ilvl="0">
      <w:lvlJc w:val="left"/>
      <w:lvlText w:val="%1."/>
      <w:numFmt w:val="decimal"/>
      <w:start w:val="8"/>
    </w:lvl>
  </w:abstractNum>
  <w:abstractNum w:abstractNumId="132">
    <w:nsid w:val="530386D1"/>
    <w:multiLevelType w:val="hybridMultilevel"/>
    <w:lvl w:ilvl="0">
      <w:lvlJc w:val="left"/>
      <w:lvlText w:val="%1."/>
      <w:numFmt w:val="decimal"/>
      <w:start w:val="9"/>
    </w:lvl>
  </w:abstractNum>
  <w:abstractNum w:abstractNumId="133">
    <w:nsid w:val="7525F2BC"/>
    <w:multiLevelType w:val="hybridMultilevel"/>
    <w:lvl w:ilvl="0">
      <w:lvlJc w:val="left"/>
      <w:lvlText w:val="%1."/>
      <w:numFmt w:val="decimal"/>
      <w:start w:val="10"/>
    </w:lvl>
  </w:abstractNum>
  <w:abstractNum w:abstractNumId="134">
    <w:nsid w:val="CE8E1A7"/>
    <w:multiLevelType w:val="hybridMultilevel"/>
    <w:lvl w:ilvl="0">
      <w:lvlJc w:val="left"/>
      <w:lvlText w:val="%1."/>
      <w:numFmt w:val="decimal"/>
      <w:start w:val="11"/>
    </w:lvl>
  </w:abstractNum>
  <w:abstractNum w:abstractNumId="135">
    <w:nsid w:val="4E9EFB0D"/>
    <w:multiLevelType w:val="hybridMultilevel"/>
    <w:lvl w:ilvl="0">
      <w:lvlJc w:val="left"/>
      <w:lvlText w:val="%1."/>
      <w:numFmt w:val="decimal"/>
      <w:start w:val="12"/>
    </w:lvl>
  </w:abstractNum>
  <w:abstractNum w:abstractNumId="136">
    <w:nsid w:val="90802BE"/>
    <w:multiLevelType w:val="hybridMultilevel"/>
    <w:lvl w:ilvl="0">
      <w:lvlJc w:val="left"/>
      <w:lvlText w:val="%1."/>
      <w:numFmt w:val="decimal"/>
      <w:start w:val="13"/>
    </w:lvl>
  </w:abstractNum>
  <w:abstractNum w:abstractNumId="137">
    <w:nsid w:val="3266459B"/>
    <w:multiLevelType w:val="hybridMultilevel"/>
    <w:lvl w:ilvl="0">
      <w:lvlJc w:val="left"/>
      <w:lvlText w:val="%1."/>
      <w:numFmt w:val="decimal"/>
      <w:start w:val="15"/>
    </w:lvl>
  </w:abstractNum>
  <w:abstractNum w:abstractNumId="138">
    <w:nsid w:val="3F8B0CBF"/>
    <w:multiLevelType w:val="hybridMultilevel"/>
    <w:lvl w:ilvl="0">
      <w:lvlJc w:val="left"/>
      <w:lvlText w:val="%1."/>
      <w:numFmt w:val="decimal"/>
      <w:start w:val="16"/>
    </w:lvl>
  </w:abstractNum>
  <w:abstractNum w:abstractNumId="139">
    <w:nsid w:val="37E203AB"/>
    <w:multiLevelType w:val="hybridMultilevel"/>
    <w:lvl w:ilvl="0">
      <w:lvlJc w:val="left"/>
      <w:lvlText w:val="%1."/>
      <w:numFmt w:val="decimal"/>
      <w:start w:val="17"/>
    </w:lvl>
  </w:abstractNum>
  <w:abstractNum w:abstractNumId="140">
    <w:nsid w:val="2586D60E"/>
    <w:multiLevelType w:val="hybridMultilevel"/>
    <w:lvl w:ilvl="0">
      <w:lvlJc w:val="left"/>
      <w:lvlText w:val="%1."/>
      <w:numFmt w:val="decimal"/>
      <w:start w:val="18"/>
    </w:lvl>
  </w:abstractNum>
  <w:abstractNum w:abstractNumId="141">
    <w:nsid w:val="1F3DA4D5"/>
    <w:multiLevelType w:val="hybridMultilevel"/>
    <w:lvl w:ilvl="0">
      <w:lvlJc w:val="left"/>
      <w:lvlText w:val="%1."/>
      <w:numFmt w:val="decimal"/>
      <w:start w:val="1"/>
    </w:lvl>
  </w:abstractNum>
  <w:abstractNum w:abstractNumId="142">
    <w:nsid w:val="74C93698"/>
    <w:multiLevelType w:val="hybridMultilevel"/>
    <w:lvl w:ilvl="0">
      <w:lvlJc w:val="left"/>
      <w:lvlText w:val="%1."/>
      <w:numFmt w:val="decimal"/>
      <w:start w:val="5"/>
    </w:lvl>
  </w:abstractNum>
  <w:abstractNum w:abstractNumId="143">
    <w:nsid w:val="48781401"/>
    <w:multiLevelType w:val="hybridMultilevel"/>
    <w:lvl w:ilvl="0">
      <w:lvlJc w:val="left"/>
      <w:lvlText w:val="%1."/>
      <w:numFmt w:val="decimal"/>
      <w:start w:val="6"/>
    </w:lvl>
  </w:abstractNum>
  <w:abstractNum w:abstractNumId="144">
    <w:nsid w:val="186928D6"/>
    <w:multiLevelType w:val="hybridMultilevel"/>
    <w:lvl w:ilvl="0">
      <w:lvlJc w:val="left"/>
      <w:lvlText w:val="%1."/>
      <w:numFmt w:val="decimal"/>
      <w:start w:val="7"/>
    </w:lvl>
  </w:abstractNum>
  <w:abstractNum w:abstractNumId="145">
    <w:nsid w:val="47195E5"/>
    <w:multiLevelType w:val="hybridMultilevel"/>
    <w:lvl w:ilvl="0">
      <w:lvlJc w:val="left"/>
      <w:lvlText w:val="%1."/>
      <w:numFmt w:val="decimal"/>
      <w:start w:val="8"/>
    </w:lvl>
  </w:abstractNum>
  <w:abstractNum w:abstractNumId="146">
    <w:nsid w:val="3746A5F2"/>
    <w:multiLevelType w:val="hybridMultilevel"/>
    <w:lvl w:ilvl="0">
      <w:lvlJc w:val="left"/>
      <w:lvlText w:val="%1."/>
      <w:numFmt w:val="decimal"/>
      <w:start w:val="9"/>
    </w:lvl>
  </w:abstractNum>
  <w:abstractNum w:abstractNumId="147">
    <w:nsid w:val="682DFED6"/>
    <w:multiLevelType w:val="hybridMultilevel"/>
    <w:lvl w:ilvl="0">
      <w:lvlJc w:val="left"/>
      <w:lvlText w:val="%1."/>
      <w:numFmt w:val="decimal"/>
      <w:start w:val="10"/>
    </w:lvl>
  </w:abstractNum>
  <w:abstractNum w:abstractNumId="148">
    <w:nsid w:val="606ED7F6"/>
    <w:multiLevelType w:val="hybridMultilevel"/>
    <w:lvl w:ilvl="0">
      <w:lvlJc w:val="left"/>
      <w:lvlText w:val="%1."/>
      <w:numFmt w:val="decimal"/>
      <w:start w:val="1"/>
    </w:lvl>
  </w:abstractNum>
  <w:abstractNum w:abstractNumId="149">
    <w:nsid w:val="2D9DF57D"/>
    <w:multiLevelType w:val="hybridMultilevel"/>
    <w:lvl w:ilvl="0">
      <w:lvlJc w:val="left"/>
      <w:lvlText w:val="%1."/>
      <w:numFmt w:val="decimal"/>
      <w:start w:val="701"/>
    </w:lvl>
  </w:abstractNum>
  <w:abstractNum w:abstractNumId="150">
    <w:nsid w:val="7FBD7A3E"/>
    <w:multiLevelType w:val="hybridMultilevel"/>
    <w:lvl w:ilvl="0">
      <w:lvlJc w:val="left"/>
      <w:lvlText w:val="(%1)"/>
      <w:numFmt w:val="lowerLetter"/>
      <w:start w:val="1"/>
    </w:lvl>
  </w:abstractNum>
  <w:abstractNum w:abstractNumId="151">
    <w:nsid w:val="490B7C5"/>
    <w:multiLevelType w:val="hybridMultilevel"/>
    <w:lvl w:ilvl="0">
      <w:lvlJc w:val="left"/>
      <w:lvlText w:val="*"/>
      <w:numFmt w:val="bullet"/>
      <w:start w:val="1"/>
    </w:lvl>
  </w:abstractNum>
  <w:abstractNum w:abstractNumId="152">
    <w:nsid w:val="4303A216"/>
    <w:multiLevelType w:val="hybridMultilevel"/>
    <w:lvl w:ilvl="0">
      <w:lvlJc w:val="left"/>
      <w:lvlText w:val="†"/>
      <w:numFmt w:val="bullet"/>
      <w:start w:val="1"/>
    </w:lvl>
  </w:abstractNum>
  <w:abstractNum w:abstractNumId="153">
    <w:nsid w:val="19B8A08E"/>
    <w:multiLevelType w:val="hybridMultilevel"/>
    <w:lvl w:ilvl="0">
      <w:lvlJc w:val="left"/>
      <w:lvlText w:val="#"/>
      <w:numFmt w:val="bullet"/>
      <w:start w:val="1"/>
    </w:lvl>
  </w:abstractNum>
  <w:abstractNum w:abstractNumId="154">
    <w:nsid w:val="54B59621"/>
    <w:multiLevelType w:val="hybridMultilevel"/>
    <w:lvl w:ilvl="0">
      <w:lvlJc w:val="left"/>
      <w:lvlText w:val="(%1)"/>
      <w:numFmt w:val="lowerLetter"/>
      <w:start w:val="2"/>
    </w:lvl>
  </w:abstractNum>
  <w:abstractNum w:abstractNumId="155">
    <w:nsid w:val="5992A02E"/>
    <w:multiLevelType w:val="hybridMultilevel"/>
    <w:lvl w:ilvl="0">
      <w:lvlJc w:val="left"/>
      <w:lvlText w:val="(%1)"/>
      <w:numFmt w:val="decimal"/>
      <w:start w:val="1"/>
    </w:lvl>
  </w:abstractNum>
  <w:abstractNum w:abstractNumId="156">
    <w:nsid w:val="29EF532D"/>
    <w:multiLevelType w:val="hybridMultilevel"/>
    <w:lvl w:ilvl="0">
      <w:lvlJc w:val="left"/>
      <w:lvlText w:val="%1."/>
      <w:numFmt w:val="decimal"/>
      <w:start w:val="1"/>
    </w:lvl>
  </w:abstractNum>
  <w:abstractNum w:abstractNumId="157">
    <w:nsid w:val="71D601AF"/>
    <w:multiLevelType w:val="hybridMultilevel"/>
    <w:lvl w:ilvl="0">
      <w:lvlJc w:val="left"/>
      <w:lvlText w:val="(%1)"/>
      <w:numFmt w:val="lowerLetter"/>
      <w:start w:val="1"/>
    </w:lvl>
  </w:abstractNum>
  <w:abstractNum w:abstractNumId="158">
    <w:nsid w:val="52C77402"/>
    <w:multiLevelType w:val="hybridMultilevel"/>
    <w:lvl w:ilvl="0">
      <w:lvlJc w:val="left"/>
      <w:lvlText w:val="(%1)"/>
      <w:numFmt w:val="lowerLetter"/>
      <w:start w:val="4"/>
    </w:lvl>
  </w:abstractNum>
  <w:abstractNum w:abstractNumId="159">
    <w:nsid w:val="2BB5B1C6"/>
    <w:multiLevelType w:val="hybridMultilevel"/>
    <w:lvl w:ilvl="0">
      <w:lvlJc w:val="left"/>
      <w:lvlText w:val="(%1)"/>
      <w:numFmt w:val="lowerLetter"/>
      <w:start w:val="10"/>
    </w:lvl>
  </w:abstractNum>
  <w:abstractNum w:abstractNumId="160">
    <w:nsid w:val="66BE6B9"/>
    <w:multiLevelType w:val="hybridMultilevel"/>
    <w:lvl w:ilvl="0">
      <w:lvlJc w:val="left"/>
      <w:lvlText w:val="(%1)"/>
      <w:numFmt w:val="lowerLetter"/>
      <w:start w:val="15"/>
    </w:lvl>
  </w:abstractNum>
  <w:abstractNum w:abstractNumId="161">
    <w:nsid w:val="62234363"/>
    <w:multiLevelType w:val="hybridMultilevel"/>
    <w:lvl w:ilvl="0">
      <w:lvlJc w:val="left"/>
      <w:lvlText w:val="(%1)"/>
      <w:numFmt w:val="lowerLetter"/>
      <w:start w:val="61"/>
    </w:lvl>
    <w:lvl w:ilvl="1">
      <w:lvlJc w:val="left"/>
      <w:lvlText w:val="(%2)"/>
      <w:numFmt w:val="lowerLetter"/>
      <w:start w:val="19"/>
    </w:lvl>
    <w:lvl w:ilvl="2">
      <w:lvlJc w:val="left"/>
      <w:lvlText w:val="(%3)"/>
      <w:numFmt w:val="lowerRoman"/>
      <w:start w:val="1"/>
    </w:lvl>
    <w:lvl w:ilvl="3">
      <w:lvlJc w:val="left"/>
      <w:lvlText w:val="(%4)"/>
      <w:numFmt w:val="upperLetter"/>
      <w:start w:val="1"/>
    </w:lvl>
  </w:abstractNum>
  <w:abstractNum w:abstractNumId="162">
    <w:nsid w:val="66D385C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63">
    <w:nsid w:val="596F6D8A"/>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64">
    <w:nsid w:val="5749361F"/>
    <w:multiLevelType w:val="hybridMultilevel"/>
    <w:lvl w:ilvl="0">
      <w:lvlJc w:val="left"/>
      <w:lvlText w:val="(%1)"/>
      <w:numFmt w:val="lowerLetter"/>
      <w:start w:val="21"/>
    </w:lvl>
    <w:lvl w:ilvl="1">
      <w:lvlJc w:val="left"/>
      <w:lvlText w:val="%2"/>
      <w:numFmt w:val="lowerLetter"/>
      <w:start w:val="1"/>
    </w:lvl>
    <w:lvl w:ilvl="2">
      <w:lvlJc w:val="left"/>
      <w:lvlText w:val="%3"/>
      <w:numFmt w:val="upperLetter"/>
      <w:start w:val="1"/>
    </w:lvl>
  </w:abstractNum>
  <w:abstractNum w:abstractNumId="165">
    <w:nsid w:val="73BC6770"/>
    <w:multiLevelType w:val="hybridMultilevel"/>
    <w:lvl w:ilvl="0">
      <w:lvlJc w:val="left"/>
      <w:lvlText w:val="(%1)"/>
      <w:numFmt w:val="lowerRoman"/>
      <w:start w:val="10"/>
    </w:lvl>
  </w:abstractNum>
  <w:abstractNum w:abstractNumId="166">
    <w:nsid w:val="280E6897"/>
    <w:multiLevelType w:val="hybridMultilevel"/>
    <w:lvl w:ilvl="0">
      <w:lvlJc w:val="left"/>
      <w:lvlText w:val="%1"/>
      <w:numFmt w:val="lowerLetter"/>
      <w:start w:val="1"/>
    </w:lvl>
    <w:lvl w:ilvl="1">
      <w:lvlJc w:val="left"/>
      <w:lvlText w:val="(%2)"/>
      <w:numFmt w:val="lowerLetter"/>
      <w:start w:val="25"/>
    </w:lvl>
  </w:abstractNum>
  <w:abstractNum w:abstractNumId="167">
    <w:nsid w:val="605138DE"/>
    <w:multiLevelType w:val="hybridMultilevel"/>
    <w:lvl w:ilvl="0">
      <w:lvlJc w:val="left"/>
      <w:lvlText w:val="(%1)"/>
      <w:numFmt w:val="lowerLetter"/>
      <w:start w:val="35"/>
    </w:lvl>
    <w:lvl w:ilvl="1">
      <w:lvlJc w:val="left"/>
      <w:lvlText w:val="%2"/>
      <w:numFmt w:val="lowerLetter"/>
      <w:start w:val="1"/>
    </w:lvl>
  </w:abstractNum>
  <w:abstractNum w:abstractNumId="168">
    <w:nsid w:val="2622AD0C"/>
    <w:multiLevelType w:val="hybridMultilevel"/>
    <w:lvl w:ilvl="0">
      <w:lvlJc w:val="left"/>
      <w:lvlText w:val="(%1)"/>
      <w:numFmt w:val="lowerLetter"/>
      <w:start w:val="61"/>
    </w:lvl>
    <w:lvl w:ilvl="1">
      <w:lvlJc w:val="left"/>
      <w:lvlText w:val="(%2)"/>
      <w:numFmt w:val="lowerLetter"/>
      <w:start w:val="27"/>
    </w:lvl>
  </w:abstractNum>
  <w:abstractNum w:abstractNumId="169">
    <w:nsid w:val="67997556"/>
    <w:multiLevelType w:val="hybridMultilevel"/>
    <w:lvl w:ilvl="0">
      <w:lvlJc w:val="left"/>
      <w:lvlText w:val="(%1)"/>
      <w:numFmt w:val="lowerLetter"/>
      <w:start w:val="31"/>
    </w:lvl>
  </w:abstractNum>
  <w:abstractNum w:abstractNumId="170">
    <w:nsid w:val="18333C89"/>
    <w:multiLevelType w:val="hybridMultilevel"/>
    <w:lvl w:ilvl="0">
      <w:lvlJc w:val="left"/>
      <w:lvlText w:val="(%1)"/>
      <w:numFmt w:val="lowerLetter"/>
      <w:start w:val="34"/>
    </w:lvl>
  </w:abstractNum>
  <w:abstractNum w:abstractNumId="171">
    <w:nsid w:val="4BA9831A"/>
    <w:multiLevelType w:val="hybridMultilevel"/>
    <w:lvl w:ilvl="0">
      <w:lvlJc w:val="left"/>
      <w:lvlText w:val="(%1)"/>
      <w:numFmt w:val="lowerLetter"/>
      <w:start w:val="36"/>
    </w:lvl>
  </w:abstractNum>
  <w:abstractNum w:abstractNumId="172">
    <w:nsid w:val="6D71A2B"/>
    <w:multiLevelType w:val="hybridMultilevel"/>
    <w:lvl w:ilvl="0">
      <w:lvlJc w:val="left"/>
      <w:lvlText w:val="(%1)"/>
      <w:numFmt w:val="lowerLetter"/>
      <w:start w:val="40"/>
    </w:lvl>
  </w:abstractNum>
  <w:abstractNum w:abstractNumId="173">
    <w:nsid w:val="CFC7321"/>
    <w:multiLevelType w:val="hybridMultilevel"/>
    <w:lvl w:ilvl="0">
      <w:lvlJc w:val="left"/>
      <w:lvlText w:val="%1."/>
      <w:numFmt w:val="decimal"/>
      <w:start w:val="2"/>
    </w:lvl>
    <w:lvl w:ilvl="1">
      <w:lvlJc w:val="left"/>
      <w:lvlText w:val="(%2)"/>
      <w:numFmt w:val="lowerLetter"/>
      <w:start w:val="1"/>
    </w:lvl>
  </w:abstractNum>
  <w:abstractNum w:abstractNumId="174">
    <w:nsid w:val="1421971B"/>
    <w:multiLevelType w:val="hybridMultilevel"/>
    <w:lvl w:ilvl="0">
      <w:lvlJc w:val="left"/>
      <w:lvlText w:val="(%1)"/>
      <w:numFmt w:val="lowerLetter"/>
      <w:start w:val="5"/>
    </w:lvl>
  </w:abstractNum>
  <w:abstractNum w:abstractNumId="175">
    <w:nsid w:val="1F404301"/>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176">
    <w:nsid w:val="116E0907"/>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4"/>
    </w:lvl>
  </w:abstractNum>
  <w:abstractNum w:abstractNumId="177">
    <w:nsid w:val="4B683D0D"/>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178">
    <w:nsid w:val="76E41D8"/>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abstractNum>
  <w:abstractNum w:abstractNumId="179">
    <w:nsid w:val="71DCE0FD"/>
    <w:multiLevelType w:val="hybridMultilevel"/>
    <w:lvl w:ilvl="0">
      <w:lvlJc w:val="left"/>
      <w:lvlText w:val="%1."/>
      <w:numFmt w:val="decimal"/>
      <w:start w:val="4"/>
    </w:lvl>
  </w:abstractNum>
  <w:abstractNum w:abstractNumId="180">
    <w:nsid w:val="7906328B"/>
    <w:multiLevelType w:val="hybridMultilevel"/>
    <w:lvl w:ilvl="0">
      <w:lvlJc w:val="left"/>
      <w:lvlText w:val="1"/>
      <w:numFmt w:val="bullet"/>
      <w:start w:val="1"/>
    </w:lvl>
  </w:abstractNum>
  <w:abstractNum w:abstractNumId="181">
    <w:nsid w:val="72BBC16"/>
    <w:multiLevelType w:val="hybridMultilevel"/>
    <w:lvl w:ilvl="0">
      <w:lvlJc w:val="left"/>
      <w:lvlText w:val="2"/>
      <w:numFmt w:val="bullet"/>
      <w:start w:val="1"/>
    </w:lvl>
  </w:abstractNum>
  <w:abstractNum w:abstractNumId="182">
    <w:nsid w:val="766D98C2"/>
    <w:multiLevelType w:val="hybridMultilevel"/>
    <w:lvl w:ilvl="0">
      <w:lvlJc w:val="left"/>
      <w:lvlText w:val="3"/>
      <w:numFmt w:val="bullet"/>
      <w:start w:val="1"/>
    </w:lvl>
  </w:abstractNum>
  <w:abstractNum w:abstractNumId="183">
    <w:nsid w:val="3C09D4A1"/>
    <w:multiLevelType w:val="hybridMultilevel"/>
    <w:lvl w:ilvl="0">
      <w:lvlJc w:val="left"/>
      <w:lvlText w:val="%1."/>
      <w:numFmt w:val="decimal"/>
      <w:start w:val="6"/>
    </w:lvl>
  </w:abstractNum>
  <w:abstractNum w:abstractNumId="184">
    <w:nsid w:val="20E45CA4"/>
    <w:multiLevelType w:val="hybridMultilevel"/>
    <w:lvl w:ilvl="0">
      <w:lvlJc w:val="left"/>
      <w:lvlText w:val="(%1)"/>
      <w:numFmt w:val="lowerLetter"/>
      <w:start w:val="1"/>
    </w:lvl>
    <w:lvl w:ilvl="1">
      <w:lvlJc w:val="left"/>
      <w:lvlText w:val="(%2)"/>
      <w:numFmt w:val="lowerRoman"/>
      <w:start w:val="1"/>
    </w:lvl>
  </w:abstractNum>
  <w:abstractNum w:abstractNumId="185">
    <w:nsid w:val="4B232EE3"/>
    <w:multiLevelType w:val="hybridMultilevel"/>
    <w:lvl w:ilvl="0">
      <w:lvlJc w:val="left"/>
      <w:lvlText w:val="(%1)"/>
      <w:numFmt w:val="lowerLetter"/>
      <w:start w:val="2"/>
    </w:lvl>
  </w:abstractNum>
  <w:abstractNum w:abstractNumId="186">
    <w:nsid w:val="159C74CF"/>
    <w:multiLevelType w:val="hybridMultilevel"/>
    <w:lvl w:ilvl="0">
      <w:lvlJc w:val="left"/>
      <w:lvlText w:val="(%1)"/>
      <w:numFmt w:val="lowerLetter"/>
      <w:start w:val="3"/>
    </w:lvl>
  </w:abstractNum>
  <w:abstractNum w:abstractNumId="187">
    <w:nsid w:val="4AD3AFD2"/>
    <w:multiLevelType w:val="hybridMultilevel"/>
    <w:lvl w:ilvl="0">
      <w:lvlJc w:val="left"/>
      <w:lvlText w:val="(%1)"/>
      <w:numFmt w:val="lowerLetter"/>
      <w:start w:val="6"/>
    </w:lvl>
    <w:lvl w:ilvl="1">
      <w:lvlJc w:val="left"/>
      <w:lvlText w:val="(%2)"/>
      <w:numFmt w:val="lowerRoman"/>
      <w:start w:val="1"/>
    </w:lvl>
  </w:abstractNum>
  <w:abstractNum w:abstractNumId="188">
    <w:nsid w:val="3CF9309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89">
    <w:nsid w:val="6863E8D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90">
    <w:nsid w:val="76896198"/>
    <w:multiLevelType w:val="hybridMultilevel"/>
    <w:lvl w:ilvl="0">
      <w:lvlJc w:val="left"/>
      <w:lvlText w:val="(%1)"/>
      <w:numFmt w:val="lowerLetter"/>
      <w:start w:val="4"/>
    </w:lvl>
  </w:abstractNum>
  <w:abstractNum w:abstractNumId="191">
    <w:nsid w:val="4365174B"/>
    <w:multiLevelType w:val="hybridMultilevel"/>
    <w:lvl w:ilvl="0">
      <w:lvlJc w:val="left"/>
      <w:lvlText w:val="(%1)"/>
      <w:numFmt w:val="lowerLetter"/>
      <w:start w:val="7"/>
    </w:lvl>
  </w:abstractNum>
  <w:abstractNum w:abstractNumId="192">
    <w:nsid w:val="4A872C35"/>
    <w:multiLevelType w:val="hybridMultilevel"/>
    <w:lvl w:ilvl="0">
      <w:lvlJc w:val="left"/>
      <w:lvlText w:val="(%1)"/>
      <w:numFmt w:val="upperLetter"/>
      <w:start w:val="6"/>
    </w:lvl>
  </w:abstractNum>
  <w:abstractNum w:abstractNumId="193">
    <w:nsid w:val="5D5CE761"/>
    <w:multiLevelType w:val="hybridMultilevel"/>
    <w:lvl w:ilvl="0">
      <w:lvlJc w:val="left"/>
      <w:lvlText w:val="%1."/>
      <w:numFmt w:val="decimal"/>
      <w:start w:val="8"/>
    </w:lvl>
    <w:lvl w:ilvl="1">
      <w:lvlJc w:val="left"/>
      <w:lvlText w:val="(%2)"/>
      <w:numFmt w:val="lowerLetter"/>
      <w:start w:val="1"/>
    </w:lvl>
  </w:abstractNum>
  <w:abstractNum w:abstractNumId="194">
    <w:nsid w:val="1CD484D5"/>
    <w:multiLevelType w:val="hybridMultilevel"/>
    <w:lvl w:ilvl="0">
      <w:lvlJc w:val="left"/>
      <w:lvlText w:val="%1."/>
      <w:numFmt w:val="decimal"/>
      <w:start w:val="10"/>
    </w:lvl>
  </w:abstractNum>
  <w:abstractNum w:abstractNumId="195">
    <w:nsid w:val="21D06255"/>
    <w:multiLevelType w:val="hybridMultilevel"/>
    <w:lvl w:ilvl="0">
      <w:lvlJc w:val="left"/>
      <w:lvlText w:val="(%1)"/>
      <w:numFmt w:val="lowerLetter"/>
      <w:start w:val="2"/>
    </w:lvl>
  </w:abstractNum>
  <w:abstractNum w:abstractNumId="196">
    <w:nsid w:val="51194ED1"/>
    <w:multiLevelType w:val="hybridMultilevel"/>
    <w:lvl w:ilvl="0">
      <w:lvlJc w:val="left"/>
      <w:lvlText w:val="(%1)"/>
      <w:numFmt w:val="lowerLetter"/>
      <w:start w:val="4"/>
    </w:lvl>
  </w:abstractNum>
  <w:abstractNum w:abstractNumId="197">
    <w:nsid w:val="44E2ED6C"/>
    <w:multiLevelType w:val="hybridMultilevel"/>
    <w:lvl w:ilvl="0">
      <w:lvlJc w:val="left"/>
      <w:lvlText w:val="(%1)"/>
      <w:numFmt w:val="lowerLetter"/>
      <w:start w:val="5"/>
    </w:lvl>
  </w:abstractNum>
  <w:abstractNum w:abstractNumId="198">
    <w:nsid w:val="2219B33"/>
    <w:multiLevelType w:val="hybridMultilevel"/>
    <w:lvl w:ilvl="0">
      <w:lvlJc w:val="left"/>
      <w:lvlText w:val="%1"/>
      <w:numFmt w:val="lowerLetter"/>
      <w:start w:val="1"/>
    </w:lvl>
    <w:lvl w:ilvl="1">
      <w:lvlJc w:val="left"/>
      <w:lvlText w:val="(%2)"/>
      <w:numFmt w:val="lowerLetter"/>
      <w:start w:val="6"/>
    </w:lvl>
  </w:abstractNum>
  <w:abstractNum w:abstractNumId="199">
    <w:nsid w:val="773BFBDD"/>
    <w:multiLevelType w:val="hybridMultilevel"/>
    <w:lvl w:ilvl="0">
      <w:lvlJc w:val="left"/>
      <w:lvlText w:val="(%1)"/>
      <w:numFmt w:val="lowerLetter"/>
      <w:start w:val="35"/>
    </w:lvl>
    <w:lvl w:ilvl="1">
      <w:lvlJc w:val="left"/>
      <w:lvlText w:val="%2"/>
      <w:numFmt w:val="lowerLetter"/>
      <w:start w:val="1"/>
    </w:lvl>
  </w:abstractNum>
  <w:abstractNum w:abstractNumId="200">
    <w:nsid w:val="2C7C62C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201">
    <w:nsid w:val="1A54D7BC"/>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202">
    <w:nsid w:val="42E57EF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203">
    <w:nsid w:val="33537CED"/>
    <w:multiLevelType w:val="hybridMultilevel"/>
    <w:lvl w:ilvl="0">
      <w:lvlJc w:val="left"/>
      <w:lvlText w:val="(%1)"/>
      <w:numFmt w:val="lowerLetter"/>
      <w:start w:val="3"/>
    </w:lvl>
  </w:abstractNum>
  <w:abstractNum w:abstractNumId="204">
    <w:nsid w:val="27514ADE"/>
    <w:multiLevelType w:val="hybridMultilevel"/>
    <w:lvl w:ilvl="0">
      <w:lvlJc w:val="left"/>
      <w:lvlText w:val="%1"/>
      <w:numFmt w:val="lowerLetter"/>
      <w:start w:val="1"/>
    </w:lvl>
    <w:lvl w:ilvl="1">
      <w:lvlJc w:val="left"/>
      <w:lvlText w:val="(%2)"/>
      <w:numFmt w:val="lowerLetter"/>
      <w:start w:val="5"/>
    </w:lvl>
  </w:abstractNum>
  <w:abstractNum w:abstractNumId="205">
    <w:nsid w:val="57071613"/>
    <w:multiLevelType w:val="hybridMultilevel"/>
    <w:lvl w:ilvl="0">
      <w:lvlJc w:val="left"/>
      <w:lvlText w:val="(%1)"/>
      <w:numFmt w:val="lowerLetter"/>
      <w:start w:val="9"/>
    </w:lvl>
    <w:lvl w:ilvl="1">
      <w:lvlJc w:val="left"/>
      <w:lvlText w:val="%2"/>
      <w:numFmt w:val="lowerLetter"/>
      <w:start w:val="1"/>
    </w:lvl>
  </w:abstractNum>
  <w:abstractNum w:abstractNumId="206">
    <w:nsid w:val="5293BFEF"/>
    <w:multiLevelType w:val="hybridMultilevel"/>
    <w:lvl w:ilvl="0">
      <w:lvlJc w:val="left"/>
      <w:lvlText w:val="%1."/>
      <w:numFmt w:val="decimal"/>
      <w:start w:val="13"/>
    </w:lvl>
  </w:abstractNum>
  <w:abstractNum w:abstractNumId="207">
    <w:nsid w:val="38BF53E5"/>
    <w:multiLevelType w:val="hybridMultilevel"/>
    <w:lvl w:ilvl="0">
      <w:lvlJc w:val="left"/>
      <w:lvlText w:val="%1."/>
      <w:numFmt w:val="decimal"/>
      <w:start w:val="15"/>
    </w:lvl>
  </w:abstractNum>
  <w:abstractNum w:abstractNumId="208">
    <w:nsid w:val="226F5320"/>
    <w:multiLevelType w:val="hybridMultilevel"/>
    <w:lvl w:ilvl="0">
      <w:lvlJc w:val="left"/>
      <w:lvlText w:val="%1"/>
      <w:numFmt w:val="decimal"/>
      <w:start w:val="1"/>
    </w:lvl>
    <w:lvl w:ilvl="1">
      <w:lvlJc w:val="left"/>
      <w:lvlText w:val="(%2)"/>
      <w:numFmt w:val="lowerLetter"/>
      <w:start w:val="2"/>
    </w:lvl>
  </w:abstractNum>
  <w:abstractNum w:abstractNumId="209">
    <w:nsid w:val="5A0201C7"/>
    <w:multiLevelType w:val="hybridMultilevel"/>
    <w:lvl w:ilvl="0">
      <w:lvlJc w:val="left"/>
      <w:lvlText w:val="%1."/>
      <w:numFmt w:val="decimal"/>
      <w:start w:val="16"/>
    </w:lvl>
    <w:lvl w:ilvl="1">
      <w:lvlJc w:val="left"/>
      <w:lvlText w:val="(%2)"/>
      <w:numFmt w:val="lowerLetter"/>
      <w:start w:val="2"/>
    </w:lvl>
  </w:abstractNum>
  <w:abstractNum w:abstractNumId="210">
    <w:nsid w:val="2A9C34E2"/>
    <w:multiLevelType w:val="hybridMultilevel"/>
    <w:lvl w:ilvl="0">
      <w:lvlJc w:val="left"/>
      <w:lvlText w:val="%1."/>
      <w:numFmt w:val="decimal"/>
      <w:start w:val="17"/>
    </w:lvl>
  </w:abstractNum>
  <w:abstractNum w:abstractNumId="211">
    <w:nsid w:val="1B7585AB"/>
    <w:multiLevelType w:val="hybridMultilevel"/>
    <w:lvl w:ilvl="0">
      <w:lvlJc w:val="left"/>
      <w:lvlText w:val="%1."/>
      <w:numFmt w:val="decimal"/>
      <w:start w:val="1"/>
    </w:lvl>
  </w:abstractNum>
  <w:abstractNum w:abstractNumId="212">
    <w:nsid w:val="612DBDDD"/>
    <w:multiLevelType w:val="hybridMultilevel"/>
    <w:lvl w:ilvl="0">
      <w:lvlJc w:val="left"/>
      <w:lvlText w:val="(%1)"/>
      <w:numFmt w:val="lowerLetter"/>
      <w:start w:val="1"/>
    </w:lvl>
  </w:abstractNum>
  <w:abstractNum w:abstractNumId="213">
    <w:nsid w:val="2109CDA4"/>
    <w:multiLevelType w:val="hybridMultilevel"/>
    <w:lvl w:ilvl="0">
      <w:lvlJc w:val="left"/>
      <w:lvlText w:val="(%1)"/>
      <w:numFmt w:val="lowerLetter"/>
      <w:start w:val="7"/>
    </w:lvl>
  </w:abstractNum>
  <w:abstractNum w:abstractNumId="214">
    <w:nsid w:val="577F5A4D"/>
    <w:multiLevelType w:val="hybridMultilevel"/>
    <w:lvl w:ilvl="0">
      <w:lvlJc w:val="left"/>
      <w:lvlText w:val="4"/>
      <w:numFmt w:val="bullet"/>
      <w:start w:val="1"/>
    </w:lvl>
  </w:abstractNum>
  <w:abstractNum w:abstractNumId="215">
    <w:nsid w:val="2121A81"/>
    <w:multiLevelType w:val="hybridMultilevel"/>
    <w:lvl w:ilvl="0">
      <w:lvlJc w:val="left"/>
      <w:lvlText w:val="5"/>
      <w:numFmt w:val="bullet"/>
      <w:start w:val="1"/>
    </w:lvl>
  </w:abstractNum>
  <w:abstractNum w:abstractNumId="216">
    <w:nsid w:val="6C2CFC88"/>
    <w:multiLevelType w:val="hybridMultilevel"/>
    <w:lvl w:ilvl="0">
      <w:lvlJc w:val="left"/>
      <w:lvlText w:val="(%1)"/>
      <w:numFmt w:val="lowerLetter"/>
      <w:start w:val="11"/>
    </w:lvl>
  </w:abstractNum>
  <w:abstractNum w:abstractNumId="217">
    <w:nsid w:val="6D1BCF1C"/>
    <w:multiLevelType w:val="hybridMultilevel"/>
    <w:lvl w:ilvl="0">
      <w:lvlJc w:val="left"/>
      <w:lvlText w:val="(%1)"/>
      <w:numFmt w:val="lowerLetter"/>
      <w:start w:val="16"/>
    </w:lvl>
  </w:abstractNum>
  <w:abstractNum w:abstractNumId="218">
    <w:nsid w:val="4CE5CA53"/>
    <w:multiLevelType w:val="hybridMultilevel"/>
    <w:lvl w:ilvl="0">
      <w:lvlJc w:val="left"/>
      <w:lvlText w:val="6"/>
      <w:numFmt w:val="bullet"/>
      <w:start w:val="1"/>
    </w:lvl>
  </w:abstractNum>
  <w:abstractNum w:abstractNumId="219">
    <w:nsid w:val="29262D1A"/>
    <w:multiLevelType w:val="hybridMultilevel"/>
    <w:lvl w:ilvl="0">
      <w:lvlJc w:val="left"/>
      <w:lvlText w:val="7"/>
      <w:numFmt w:val="bullet"/>
      <w:start w:val="1"/>
    </w:lvl>
  </w:abstractNum>
  <w:abstractNum w:abstractNumId="220">
    <w:nsid w:val="557FB7EE"/>
    <w:multiLevelType w:val="hybridMultilevel"/>
    <w:lvl w:ilvl="0">
      <w:lvlJc w:val="left"/>
      <w:lvlText w:val="(%1)"/>
      <w:numFmt w:val="lowerLetter"/>
      <w:start w:val="2"/>
    </w:lvl>
  </w:abstractNum>
  <w:abstractNum w:abstractNumId="221">
    <w:nsid w:val="436F2BEB"/>
    <w:multiLevelType w:val="hybridMultilevel"/>
    <w:lvl w:ilvl="0">
      <w:lvlJc w:val="left"/>
      <w:lvlText w:val="%1:"/>
      <w:numFmt w:val="lowerLetter"/>
      <w:start w:val="29"/>
    </w:lvl>
  </w:abstractNum>
  <w:abstractNum w:abstractNumId="222">
    <w:nsid w:val="6C8B4466"/>
    <w:multiLevelType w:val="hybridMultilevel"/>
    <w:lvl w:ilvl="0">
      <w:lvlJc w:val="left"/>
      <w:lvlText w:val="%1."/>
      <w:numFmt w:val="decimal"/>
      <w:start w:val="1"/>
    </w:lvl>
  </w:abstractNum>
  <w:abstractNum w:abstractNumId="223">
    <w:nsid w:val="2006E424"/>
    <w:multiLevelType w:val="hybridMultilevel"/>
    <w:lvl w:ilvl="0">
      <w:lvlJc w:val="left"/>
      <w:lvlText w:val="%1."/>
      <w:numFmt w:val="decimal"/>
      <w:start w:val="1"/>
    </w:lvl>
  </w:abstractNum>
  <w:abstractNum w:abstractNumId="224">
    <w:nsid w:val="20CC134C"/>
    <w:multiLevelType w:val="hybridMultilevel"/>
    <w:lvl w:ilvl="0">
      <w:lvlJc w:val="left"/>
      <w:lvlText w:val="%1."/>
      <w:numFmt w:val="decimal"/>
      <w:start w:val="4"/>
    </w:lvl>
  </w:abstractNum>
  <w:abstractNum w:abstractNumId="225">
    <w:nsid w:val="95FC93B"/>
    <w:multiLevelType w:val="hybridMultilevel"/>
    <w:lvl w:ilvl="0">
      <w:lvlJc w:val="left"/>
      <w:lvlText w:val="%1."/>
      <w:numFmt w:val="decimal"/>
      <w:start w:val="7"/>
    </w:lvl>
  </w:abstractNum>
  <w:abstractNum w:abstractNumId="226">
    <w:nsid w:val="41D74679"/>
    <w:multiLevelType w:val="hybridMultilevel"/>
    <w:lvl w:ilvl="0">
      <w:lvlJc w:val="left"/>
      <w:lvlText w:val="(%1)"/>
      <w:numFmt w:val="decimal"/>
      <w:start w:val="1"/>
    </w:lvl>
    <w:lvl w:ilvl="1">
      <w:lvlJc w:val="left"/>
      <w:lvlText w:val="%2."/>
      <w:numFmt w:val="lowerRoman"/>
      <w:start w:val="1"/>
    </w:lvl>
  </w:abstractNum>
  <w:abstractNum w:abstractNumId="227">
    <w:nsid w:val="71E5621E"/>
    <w:multiLevelType w:val="hybridMultilevel"/>
    <w:lvl w:ilvl="0">
      <w:lvlJc w:val="left"/>
      <w:lvlText w:val="%1."/>
      <w:numFmt w:val="lowerRoman"/>
      <w:start w:val="2"/>
    </w:lvl>
  </w:abstractNum>
  <w:abstractNum w:abstractNumId="228">
    <w:nsid w:val="4E42B6A8"/>
    <w:multiLevelType w:val="hybridMultilevel"/>
    <w:lvl w:ilvl="0">
      <w:lvlJc w:val="left"/>
      <w:lvlText w:val="%1."/>
      <w:numFmt w:val="decimal"/>
      <w:start w:val="8"/>
    </w:lvl>
  </w:abstractNum>
  <w:abstractNum w:abstractNumId="229">
    <w:nsid w:val="43F8E1AC"/>
    <w:multiLevelType w:val="hybridMultilevel"/>
    <w:lvl w:ilvl="0">
      <w:lvlJc w:val="left"/>
      <w:lvlText w:val="(%1)"/>
      <w:numFmt w:val="lowerRoman"/>
      <w:start w:val="1"/>
    </w:lvl>
  </w:abstractNum>
  <w:abstractNum w:abstractNumId="230">
    <w:nsid w:val="69215DFB"/>
    <w:multiLevelType w:val="hybridMultilevel"/>
    <w:lvl w:ilvl="0">
      <w:lvlJc w:val="left"/>
      <w:lvlText w:val="(%1)"/>
      <w:numFmt w:val="lowerRoman"/>
      <w:start w:val="1"/>
    </w:lvl>
  </w:abstractNum>
  <w:abstractNum w:abstractNumId="231">
    <w:nsid w:val="7ABF196A"/>
    <w:multiLevelType w:val="hybridMultilevel"/>
    <w:lvl w:ilvl="0">
      <w:lvlJc w:val="left"/>
      <w:lvlText w:val="%1."/>
      <w:numFmt w:val="upperLetter"/>
      <w:start w:val="1"/>
    </w:lvl>
  </w:abstractNum>
  <w:abstractNum w:abstractNumId="232">
    <w:nsid w:val="5E4DB968"/>
    <w:multiLevelType w:val="hybridMultilevel"/>
    <w:lvl w:ilvl="0">
      <w:lvlJc w:val="left"/>
      <w:lvlText w:val="%1."/>
      <w:numFmt w:val="upperLetter"/>
      <w:start w:val="3"/>
    </w:lvl>
  </w:abstractNum>
  <w:abstractNum w:abstractNumId="233">
    <w:nsid w:val="2C06DCF3"/>
    <w:multiLevelType w:val="hybridMultilevel"/>
    <w:lvl w:ilvl="0">
      <w:lvlJc w:val="left"/>
      <w:lvlText w:val="%1."/>
      <w:numFmt w:val="upperLetter"/>
      <w:start w:val="6"/>
    </w:lvl>
  </w:abstractNum>
  <w:abstractNum w:abstractNumId="234">
    <w:nsid w:val="2E129658"/>
    <w:multiLevelType w:val="hybridMultilevel"/>
    <w:lvl w:ilvl="0">
      <w:lvlJc w:val="left"/>
      <w:lvlText w:val="%1."/>
      <w:numFmt w:val="upperLetter"/>
      <w:start w:val="1"/>
    </w:lvl>
  </w:abstractNum>
  <w:abstractNum w:abstractNumId="235">
    <w:nsid w:val="59F0446"/>
    <w:multiLevelType w:val="hybridMultilevel"/>
    <w:lvl w:ilvl="0">
      <w:lvlJc w:val="left"/>
      <w:lvlText w:val="%1."/>
      <w:numFmt w:val="upperLetter"/>
      <w:start w:val="2"/>
    </w:lvl>
  </w:abstractNum>
  <w:abstractNum w:abstractNumId="236">
    <w:nsid w:val="30DF306"/>
    <w:multiLevelType w:val="hybridMultilevel"/>
    <w:lvl w:ilvl="0">
      <w:lvlJc w:val="left"/>
      <w:lvlText w:val="%1."/>
      <w:numFmt w:val="upperLetter"/>
      <w:start w:val="8"/>
    </w:lvl>
  </w:abstractNum>
  <w:abstractNum w:abstractNumId="237">
    <w:nsid w:val="A65647"/>
    <w:multiLevelType w:val="hybridMultilevel"/>
    <w:lvl w:ilvl="0">
      <w:lvlJc w:val="left"/>
      <w:lvlText w:val="%1"/>
      <w:numFmt w:val="decimal"/>
      <w:start w:val="1"/>
    </w:lvl>
    <w:lvl w:ilvl="1">
      <w:lvlJc w:val="left"/>
      <w:lvlText w:val="%2."/>
      <w:numFmt w:val="upperLetter"/>
      <w:start w:val="1"/>
    </w:lvl>
  </w:abstractNum>
  <w:abstractNum w:abstractNumId="238">
    <w:nsid w:val="3E5E582B"/>
    <w:multiLevelType w:val="hybridMultilevel"/>
    <w:lvl w:ilvl="0">
      <w:lvlJc w:val="left"/>
      <w:lvlText w:val="(%1)"/>
      <w:numFmt w:val="decimal"/>
      <w:start w:val="1"/>
    </w:lvl>
    <w:lvl w:ilvl="1">
      <w:lvlJc w:val="left"/>
      <w:lvlText w:val="%2."/>
      <w:numFmt w:val="upperLetter"/>
      <w:start w:val="2"/>
    </w:lvl>
  </w:abstractNum>
  <w:abstractNum w:abstractNumId="239">
    <w:nsid w:val="257D4626"/>
    <w:multiLevelType w:val="hybridMultilevel"/>
    <w:lvl w:ilvl="0">
      <w:lvlJc w:val="left"/>
      <w:lvlText w:val="%1."/>
      <w:numFmt w:val="upperLetter"/>
      <w:start w:val="3"/>
    </w:lvl>
  </w:abstractNum>
  <w:abstractNum w:abstractNumId="240">
    <w:nsid w:val="5AA8580E"/>
    <w:multiLevelType w:val="hybridMultilevel"/>
    <w:lvl w:ilvl="0">
      <w:lvlJc w:val="left"/>
      <w:lvlText w:val="%1."/>
      <w:numFmt w:val="upperLetter"/>
      <w:start w:val="1"/>
    </w:lvl>
    <w:lvl w:ilvl="1">
      <w:lvlJc w:val="left"/>
      <w:lvlText w:val="%2."/>
      <w:numFmt w:val="lowerLetter"/>
      <w:start w:val="1"/>
    </w:lvl>
  </w:abstractNum>
  <w:abstractNum w:abstractNumId="241">
    <w:nsid w:val="68FA8D0D"/>
    <w:multiLevelType w:val="hybridMultilevel"/>
    <w:lvl w:ilvl="0">
      <w:lvlJc w:val="left"/>
      <w:lvlText w:val="%1"/>
      <w:numFmt w:val="upperLetter"/>
      <w:start w:val="1"/>
    </w:lvl>
    <w:lvl w:ilvl="1">
      <w:lvlJc w:val="left"/>
      <w:lvlText w:val="%2."/>
      <w:numFmt w:val="lowerLetter"/>
      <w:start w:val="1"/>
    </w:lvl>
  </w:abstractNum>
  <w:abstractNum w:abstractNumId="242">
    <w:nsid w:val="40F2CBD2"/>
    <w:multiLevelType w:val="hybridMultilevel"/>
    <w:lvl w:ilvl="0">
      <w:lvlJc w:val="left"/>
      <w:lvlText w:val="%1."/>
      <w:numFmt w:val="upperLetter"/>
      <w:start w:val="4"/>
    </w:lvl>
    <w:lvl w:ilvl="1">
      <w:lvlJc w:val="left"/>
      <w:lvlText w:val="%2."/>
      <w:numFmt w:val="lowerLetter"/>
      <w:start w:val="1"/>
    </w:lvl>
  </w:abstractNum>
  <w:abstractNum w:abstractNumId="243">
    <w:nsid w:val="3BD615EB"/>
    <w:multiLevelType w:val="hybridMultilevel"/>
    <w:lvl w:ilvl="0">
      <w:lvlJc w:val="left"/>
      <w:lvlText w:val="%1."/>
      <w:numFmt w:val="lowerLetter"/>
      <w:start w:val="3"/>
    </w:lvl>
  </w:abstractNum>
  <w:abstractNum w:abstractNumId="244">
    <w:nsid w:val="A045AB2"/>
    <w:multiLevelType w:val="hybridMultilevel"/>
    <w:lvl w:ilvl="0">
      <w:lvlJc w:val="left"/>
      <w:lvlText w:val="%1."/>
      <w:numFmt w:val="lowerLetter"/>
      <w:start w:val="4"/>
    </w:lvl>
  </w:abstractNum>
  <w:abstractNum w:abstractNumId="245">
    <w:nsid w:val="1872261F"/>
    <w:multiLevelType w:val="hybridMultilevel"/>
    <w:lvl w:ilvl="0">
      <w:lvlJc w:val="left"/>
      <w:lvlText w:val="%1."/>
      <w:numFmt w:val="lowerLetter"/>
      <w:start w:val="6"/>
    </w:lvl>
    <w:lvl w:ilvl="1">
      <w:lvlJc w:val="left"/>
      <w:lvlText w:val="%2."/>
      <w:numFmt w:val="lowerRoman"/>
      <w:start w:val="1"/>
    </w:lvl>
  </w:abstractNum>
  <w:abstractNum w:abstractNumId="246">
    <w:nsid w:val="3DE8306C"/>
    <w:multiLevelType w:val="hybridMultilevel"/>
    <w:lvl w:ilvl="0">
      <w:lvlJc w:val="left"/>
      <w:lvlText w:val="%1."/>
      <w:numFmt w:val="upperLetter"/>
      <w:start w:val="1"/>
    </w:lvl>
  </w:abstractNum>
  <w:abstractNum w:abstractNumId="247">
    <w:nsid w:val="7631573A"/>
    <w:multiLevelType w:val="hybridMultilevel"/>
    <w:lvl w:ilvl="0">
      <w:lvlJc w:val="left"/>
      <w:lvlText w:val="(%1)"/>
      <w:numFmt w:val="lowerLetter"/>
      <w:start w:val="1"/>
    </w:lvl>
  </w:abstractNum>
  <w:abstractNum w:abstractNumId="248">
    <w:nsid w:val="58DF53B"/>
    <w:multiLevelType w:val="hybridMultilevel"/>
    <w:lvl w:ilvl="0">
      <w:lvlJc w:val="left"/>
      <w:lvlText w:val="(%1)"/>
      <w:numFmt w:val="lowerRoman"/>
      <w:start w:val="1"/>
    </w:lvl>
  </w:abstractNum>
  <w:abstractNum w:abstractNumId="249">
    <w:nsid w:val="ACDFAC0"/>
    <w:multiLevelType w:val="hybridMultilevel"/>
    <w:lvl w:ilvl="0">
      <w:lvlJc w:val="left"/>
      <w:lvlText w:val="%1"/>
      <w:numFmt w:val="upperLetter"/>
      <w:start w:val="1"/>
    </w:lvl>
    <w:lvl w:ilvl="1">
      <w:lvlJc w:val="left"/>
      <w:lvlText w:val="(%2)"/>
      <w:numFmt w:val="lowerRoman"/>
      <w:start w:val="3"/>
    </w:lvl>
  </w:abstractNum>
  <w:abstractNum w:abstractNumId="250">
    <w:nsid w:val="1F578454"/>
    <w:multiLevelType w:val="hybridMultilevel"/>
    <w:lvl w:ilvl="0">
      <w:lvlJc w:val="left"/>
      <w:lvlText w:val="(%1)"/>
      <w:numFmt w:val="upperLetter"/>
      <w:start w:val="4"/>
    </w:lvl>
    <w:lvl w:ilvl="1">
      <w:lvlJc w:val="left"/>
      <w:lvlText w:val="%2"/>
      <w:numFmt w:val="lowerRoman"/>
      <w:start w:val="1"/>
    </w:lvl>
  </w:abstractNum>
  <w:abstractNum w:abstractNumId="251">
    <w:nsid w:val="5B0DAD2A"/>
    <w:multiLevelType w:val="hybridMultilevel"/>
    <w:lvl w:ilvl="0">
      <w:lvlJc w:val="left"/>
      <w:lvlText w:val="(%1)"/>
      <w:numFmt w:val="lowerLetter"/>
      <w:start w:val="4"/>
    </w:lvl>
  </w:abstractNum>
  <w:abstractNum w:abstractNumId="252">
    <w:nsid w:val="4E3D26AB"/>
    <w:multiLevelType w:val="hybridMultilevel"/>
    <w:lvl w:ilvl="0">
      <w:lvlJc w:val="left"/>
      <w:lvlText w:val="(%1)"/>
      <w:numFmt w:val="lowerLetter"/>
      <w:start w:val="7"/>
    </w:lvl>
  </w:abstractNum>
  <w:abstractNum w:abstractNumId="253">
    <w:nsid w:val="BE2C8BA"/>
    <w:multiLevelType w:val="hybridMultilevel"/>
    <w:lvl w:ilvl="0">
      <w:lvlJc w:val="left"/>
      <w:lvlText w:val="%1"/>
      <w:numFmt w:val="decimal"/>
      <w:start w:val="1"/>
    </w:lvl>
    <w:lvl w:ilvl="1">
      <w:lvlJc w:val="left"/>
      <w:lvlText w:val="(%2)"/>
      <w:numFmt w:val="lowerLetter"/>
      <w:start w:val="1"/>
    </w:lvl>
  </w:abstractNum>
  <w:abstractNum w:abstractNumId="254">
    <w:nsid w:val="7B14914E"/>
    <w:multiLevelType w:val="hybridMultilevel"/>
    <w:lvl w:ilvl="0">
      <w:lvlJc w:val="left"/>
      <w:lvlText w:val="(%1)"/>
      <w:numFmt w:val="decimal"/>
      <w:start w:val="2"/>
    </w:lvl>
    <w:lvl w:ilvl="1">
      <w:lvlJc w:val="left"/>
      <w:lvlText w:val="(%2)"/>
      <w:numFmt w:val="lowerLetter"/>
      <w:start w:val="35"/>
    </w:lvl>
  </w:abstractNum>
  <w:abstractNum w:abstractNumId="255">
    <w:nsid w:val="6F0939F8"/>
    <w:multiLevelType w:val="hybridMultilevel"/>
    <w:lvl w:ilvl="0">
      <w:lvlJc w:val="left"/>
      <w:lvlText w:val="(%1)"/>
      <w:numFmt w:val="lowerRoman"/>
      <w:start w:val="3"/>
    </w:lvl>
  </w:abstractNum>
  <w:abstractNum w:abstractNumId="256">
    <w:nsid w:val="154291F6"/>
    <w:multiLevelType w:val="hybridMultilevel"/>
    <w:lvl w:ilvl="0">
      <w:lvlJc w:val="left"/>
      <w:lvlText w:val="(%1)"/>
      <w:numFmt w:val="lowerRoman"/>
      <w:start w:val="4"/>
    </w:lvl>
  </w:abstractNum>
  <w:abstractNum w:abstractNumId="257">
    <w:nsid w:val="3CEBD7C7"/>
    <w:multiLevelType w:val="hybridMultilevel"/>
    <w:lvl w:ilvl="0">
      <w:lvlJc w:val="left"/>
      <w:lvlText w:val="(%1)"/>
      <w:numFmt w:val="lowerLetter"/>
      <w:start w:val="3"/>
    </w:lvl>
    <w:lvl w:ilvl="1">
      <w:lvlJc w:val="left"/>
      <w:lvlText w:val="(%2)"/>
      <w:numFmt w:val="lowerRoman"/>
      <w:start w:val="1"/>
    </w:lvl>
  </w:abstractNum>
  <w:abstractNum w:abstractNumId="258">
    <w:nsid w:val="60EE9C16"/>
    <w:multiLevelType w:val="hybridMultilevel"/>
    <w:lvl w:ilvl="0">
      <w:lvlJc w:val="left"/>
      <w:lvlText w:val="(%1)"/>
      <w:numFmt w:val="lowerLetter"/>
      <w:start w:val="6"/>
    </w:lvl>
  </w:abstractNum>
  <w:abstractNum w:abstractNumId="259">
    <w:nsid w:val="6385489E"/>
    <w:multiLevelType w:val="hybridMultilevel"/>
    <w:lvl w:ilvl="0">
      <w:lvlJc w:val="left"/>
      <w:lvlText w:val="(%1)"/>
      <w:numFmt w:val="lowerLetter"/>
      <w:start w:val="1"/>
    </w:lvl>
  </w:abstractNum>
  <w:abstractNum w:abstractNumId="260">
    <w:nsid w:val="E4B973"/>
    <w:multiLevelType w:val="hybridMultilevel"/>
    <w:lvl w:ilvl="0">
      <w:lvlJc w:val="left"/>
      <w:lvlText w:val="(%1)"/>
      <w:numFmt w:val="lowerLetter"/>
      <w:start w:val="3"/>
    </w:lvl>
  </w:abstractNum>
  <w:abstractNum w:abstractNumId="261">
    <w:nsid w:val="4A0FFA11"/>
    <w:multiLevelType w:val="hybridMultilevel"/>
    <w:lvl w:ilvl="0">
      <w:lvlJc w:val="left"/>
      <w:lvlText w:val="(%1)"/>
      <w:numFmt w:val="lowerRoman"/>
      <w:start w:val="2"/>
    </w:lvl>
  </w:abstractNum>
  <w:abstractNum w:abstractNumId="262">
    <w:nsid w:val="5E446208"/>
    <w:multiLevelType w:val="hybridMultilevel"/>
    <w:lvl w:ilvl="0">
      <w:lvlJc w:val="left"/>
      <w:lvlText w:val="(%1)"/>
      <w:numFmt w:val="lowerRoman"/>
      <w:start w:val="4"/>
    </w:lvl>
  </w:abstractNum>
  <w:abstractNum w:abstractNumId="263">
    <w:nsid w:val="5F3272DB"/>
    <w:multiLevelType w:val="hybridMultilevel"/>
    <w:lvl w:ilvl="0">
      <w:lvlJc w:val="left"/>
      <w:lvlText w:val="(%1)"/>
      <w:numFmt w:val="lowerRoman"/>
      <w:start w:val="1"/>
    </w:lvl>
  </w:abstractNum>
  <w:abstractNum w:abstractNumId="264">
    <w:nsid w:val="7616D704"/>
    <w:multiLevelType w:val="hybridMultilevel"/>
    <w:lvl w:ilvl="0">
      <w:lvlJc w:val="left"/>
      <w:lvlText w:val="(%1)"/>
      <w:numFmt w:val="lowerRoman"/>
      <w:start w:val="3"/>
    </w:lvl>
  </w:abstractNum>
  <w:abstractNum w:abstractNumId="265">
    <w:nsid w:val="C56F860"/>
    <w:multiLevelType w:val="hybridMultilevel"/>
    <w:lvl w:ilvl="0">
      <w:lvlJc w:val="left"/>
      <w:lvlText w:val="(%1)"/>
      <w:numFmt w:val="lowerRoman"/>
      <w:start w:val="1"/>
    </w:lvl>
  </w:abstractNum>
  <w:abstractNum w:abstractNumId="266">
    <w:nsid w:val="64D17722"/>
    <w:multiLevelType w:val="hybridMultilevel"/>
    <w:lvl w:ilvl="0">
      <w:lvlJc w:val="left"/>
      <w:lvlText w:val="(%1)"/>
      <w:numFmt w:val="lowerRoman"/>
      <w:start w:val="1"/>
    </w:lvl>
  </w:abstractNum>
  <w:abstractNum w:abstractNumId="267">
    <w:nsid w:val="7924CA0A"/>
    <w:multiLevelType w:val="hybridMultilevel"/>
    <w:lvl w:ilvl="0">
      <w:lvlJc w:val="left"/>
      <w:lvlText w:val="(%1)"/>
      <w:numFmt w:val="lowerRoman"/>
      <w:start w:val="1"/>
    </w:lvl>
  </w:abstractNum>
  <w:abstractNum w:abstractNumId="268">
    <w:nsid w:val="CFD4EA7"/>
    <w:multiLevelType w:val="hybridMultilevel"/>
    <w:lvl w:ilvl="0">
      <w:lvlJc w:val="left"/>
      <w:lvlText w:val="(%1)"/>
      <w:numFmt w:val="lowerRoman"/>
      <w:start w:val="1"/>
    </w:lvl>
  </w:abstractNum>
  <w:abstractNum w:abstractNumId="269">
    <w:nsid w:val="232FCF4D"/>
    <w:multiLevelType w:val="hybridMultilevel"/>
    <w:lvl w:ilvl="0">
      <w:lvlJc w:val="left"/>
      <w:lvlText w:val="(%1)"/>
      <w:numFmt w:val="lowerRoman"/>
      <w:start w:val="1"/>
    </w:lvl>
  </w:abstractNum>
  <w:abstractNum w:abstractNumId="270">
    <w:nsid w:val="1EA21031"/>
    <w:multiLevelType w:val="hybridMultilevel"/>
    <w:lvl w:ilvl="0">
      <w:lvlJc w:val="left"/>
      <w:lvlText w:val="(%1)"/>
      <w:numFmt w:val="lowerLetter"/>
      <w:start w:val="25"/>
    </w:lvl>
  </w:abstractNum>
  <w:abstractNum w:abstractNumId="271">
    <w:nsid w:val="67A5A6B5"/>
    <w:multiLevelType w:val="hybridMultilevel"/>
    <w:lvl w:ilvl="0">
      <w:lvlJc w:val="left"/>
      <w:lvlText w:val="(%1)"/>
      <w:numFmt w:val="lowerRoman"/>
      <w:start w:val="5"/>
    </w:lvl>
  </w:abstractNum>
  <w:abstractNum w:abstractNumId="272">
    <w:nsid w:val="C2A5C5B"/>
    <w:multiLevelType w:val="hybridMultilevel"/>
    <w:lvl w:ilvl="0">
      <w:lvlJc w:val="left"/>
      <w:lvlText w:val="(%1)"/>
      <w:numFmt w:val="lowerLetter"/>
      <w:start w:val="1"/>
    </w:lvl>
  </w:abstractNum>
  <w:abstractNum w:abstractNumId="273">
    <w:nsid w:val="5F94DC03"/>
    <w:multiLevelType w:val="hybridMultilevel"/>
    <w:lvl w:ilvl="0">
      <w:lvlJc w:val="left"/>
      <w:lvlText w:val="(%1)"/>
      <w:numFmt w:val="lowerLetter"/>
      <w:start w:val="1"/>
    </w:lvl>
    <w:lvl w:ilvl="1">
      <w:lvlJc w:val="left"/>
      <w:lvlText w:val="(%2)"/>
      <w:numFmt w:val="lowerRoman"/>
      <w:start w:val="1"/>
    </w:lvl>
  </w:abstractNum>
  <w:abstractNum w:abstractNumId="274">
    <w:nsid w:val="237BBCA0"/>
    <w:multiLevelType w:val="hybridMultilevel"/>
    <w:lvl w:ilvl="0">
      <w:lvlJc w:val="left"/>
      <w:lvlText w:val="(%1)"/>
      <w:numFmt w:val="lowerLetter"/>
      <w:start w:val="2"/>
    </w:lvl>
    <w:lvl w:ilvl="1">
      <w:lvlJc w:val="left"/>
      <w:lvlText w:val="(%2)"/>
      <w:numFmt w:val="lowerRoman"/>
      <w:start w:val="1"/>
    </w:lvl>
  </w:abstractNum>
  <w:abstractNum w:abstractNumId="275">
    <w:nsid w:val="162EB70D"/>
    <w:multiLevelType w:val="hybridMultilevel"/>
    <w:lvl w:ilvl="0">
      <w:lvlJc w:val="left"/>
      <w:lvlText w:val="(%1)"/>
      <w:numFmt w:val="lowerLetter"/>
      <w:start w:val="6"/>
    </w:lvl>
  </w:abstractNum>
  <w:abstractNum w:abstractNumId="276">
    <w:nsid w:val="78070222"/>
    <w:multiLevelType w:val="hybridMultilevel"/>
    <w:lvl w:ilvl="0">
      <w:lvlJc w:val="left"/>
      <w:lvlText w:val="(%1)"/>
      <w:numFmt w:val="lowerLetter"/>
      <w:start w:val="9"/>
    </w:lvl>
  </w:abstractNum>
  <w:abstractNum w:abstractNumId="277">
    <w:nsid w:val="6163ED0D"/>
    <w:multiLevelType w:val="hybridMultilevel"/>
    <w:lvl w:ilvl="0">
      <w:lvlJc w:val="left"/>
      <w:lvlText w:val="(%1)"/>
      <w:numFmt w:val="lowerLetter"/>
      <w:start w:val="1"/>
    </w:lvl>
  </w:abstractNum>
  <w:abstractNum w:abstractNumId="278">
    <w:nsid w:val="C600E47"/>
    <w:multiLevelType w:val="hybridMultilevel"/>
    <w:lvl w:ilvl="0">
      <w:lvlJc w:val="left"/>
      <w:lvlText w:val="(%1)"/>
      <w:numFmt w:val="decimal"/>
      <w:start w:val="3"/>
    </w:lvl>
  </w:abstractNum>
  <w:abstractNum w:abstractNumId="279">
    <w:nsid w:val="7D94F75D"/>
    <w:multiLevelType w:val="hybridMultilevel"/>
    <w:lvl w:ilvl="0">
      <w:lvlJc w:val="left"/>
      <w:lvlText w:val="(%1)"/>
      <w:numFmt w:val="lowerLetter"/>
      <w:start w:val="1"/>
    </w:lvl>
  </w:abstractNum>
  <w:abstractNum w:abstractNumId="280">
    <w:nsid w:val="6C31E7CD"/>
    <w:multiLevelType w:val="hybridMultilevel"/>
    <w:lvl w:ilvl="0">
      <w:lvlJc w:val="left"/>
      <w:lvlText w:val="(%1)"/>
      <w:numFmt w:val="lowerLetter"/>
      <w:start w:val="2"/>
    </w:lvl>
  </w:abstractNum>
  <w:abstractNum w:abstractNumId="281">
    <w:nsid w:val="2BB7929B"/>
    <w:multiLevelType w:val="hybridMultilevel"/>
    <w:lvl w:ilvl="0">
      <w:lvlJc w:val="left"/>
      <w:lvlText w:val="(%1)"/>
      <w:numFmt w:val="decimal"/>
      <w:start w:val="10"/>
    </w:lvl>
  </w:abstractNum>
  <w:abstractNum w:abstractNumId="282">
    <w:nsid w:val="58A2A487"/>
    <w:multiLevelType w:val="hybridMultilevel"/>
    <w:lvl w:ilvl="0">
      <w:lvlJc w:val="left"/>
      <w:lvlText w:val="(%1)"/>
      <w:numFmt w:val="lowerLetter"/>
      <w:start w:val="1"/>
    </w:lvl>
  </w:abstractNum>
  <w:abstractNum w:abstractNumId="283">
    <w:nsid w:val="3A6F0E78"/>
    <w:multiLevelType w:val="hybridMultilevel"/>
    <w:lvl w:ilvl="0">
      <w:lvlJc w:val="left"/>
      <w:lvlText w:val="(%1)"/>
      <w:numFmt w:val="lowerLetter"/>
      <w:start w:val="4"/>
    </w:lvl>
  </w:abstractNum>
  <w:abstractNum w:abstractNumId="284">
    <w:nsid w:val="379A5B56"/>
    <w:multiLevelType w:val="hybridMultilevel"/>
    <w:lvl w:ilvl="0">
      <w:lvlJc w:val="left"/>
      <w:lvlText w:val="(%1)"/>
      <w:numFmt w:val="lowerLetter"/>
      <w:start w:val="22"/>
    </w:lvl>
  </w:abstractNum>
  <w:abstractNum w:abstractNumId="285">
    <w:nsid w:val="53B735D5"/>
    <w:multiLevelType w:val="hybridMultilevel"/>
    <w:lvl w:ilvl="0">
      <w:lvlJc w:val="left"/>
      <w:lvlText w:val="(%1)"/>
      <w:numFmt w:val="lowerLetter"/>
      <w:start w:val="24"/>
    </w:lvl>
  </w:abstractNum>
  <w:abstractNum w:abstractNumId="286">
    <w:nsid w:val="29784870"/>
    <w:multiLevelType w:val="hybridMultilevel"/>
    <w:lvl w:ilvl="0">
      <w:lvlJc w:val="left"/>
      <w:lvlText w:val="%1."/>
      <w:numFmt w:val="decimal"/>
      <w:start w:val="1"/>
    </w:lvl>
    <w:lvl w:ilvl="1">
      <w:lvlJc w:val="left"/>
      <w:lvlText w:val="(%2)"/>
      <w:numFmt w:val="lowerLetter"/>
      <w:start w:val="1"/>
    </w:lvl>
  </w:abstractNum>
  <w:abstractNum w:abstractNumId="287">
    <w:nsid w:val="4CDCED4C"/>
    <w:multiLevelType w:val="hybridMultilevel"/>
    <w:lvl w:ilvl="0">
      <w:lvlJc w:val="left"/>
      <w:lvlText w:val="%1"/>
      <w:numFmt w:val="decimal"/>
      <w:start w:val="1"/>
    </w:lvl>
    <w:lvl w:ilvl="1">
      <w:lvlJc w:val="left"/>
      <w:lvlText w:val="(%2)"/>
      <w:numFmt w:val="lowerLetter"/>
      <w:start w:val="3"/>
    </w:lvl>
  </w:abstractNum>
  <w:abstractNum w:abstractNumId="288">
    <w:nsid w:val="10A30D9C"/>
    <w:multiLevelType w:val="hybridMultilevel"/>
    <w:lvl w:ilvl="0">
      <w:lvlJc w:val="left"/>
      <w:lvlText w:val="%1."/>
      <w:numFmt w:val="decimal"/>
      <w:start w:val="2"/>
    </w:lvl>
    <w:lvl w:ilvl="1">
      <w:lvlJc w:val="left"/>
      <w:lvlText w:val="(%2)"/>
      <w:numFmt w:val="lowerLetter"/>
      <w:start w:val="1"/>
    </w:lvl>
  </w:abstractNum>
  <w:abstractNum w:abstractNumId="289">
    <w:nsid w:val="A66E486"/>
    <w:multiLevelType w:val="hybridMultilevel"/>
    <w:lvl w:ilvl="0">
      <w:lvlJc w:val="left"/>
      <w:lvlText w:val="%1"/>
      <w:numFmt w:val="decimal"/>
      <w:start w:val="1"/>
    </w:lvl>
    <w:lvl w:ilvl="1">
      <w:lvlJc w:val="left"/>
      <w:lvlText w:val="(%2)"/>
      <w:numFmt w:val="lowerLetter"/>
      <w:start w:val="2"/>
    </w:lvl>
  </w:abstractNum>
  <w:abstractNum w:abstractNumId="290">
    <w:nsid w:val="306235EA"/>
    <w:multiLevelType w:val="hybridMultilevel"/>
    <w:lvl w:ilvl="0">
      <w:lvlJc w:val="left"/>
      <w:lvlText w:val="%1."/>
      <w:numFmt w:val="decimal"/>
      <w:start w:val="3"/>
    </w:lvl>
    <w:lvl w:ilvl="1">
      <w:lvlJc w:val="left"/>
      <w:lvlText w:val="(%2)"/>
      <w:numFmt w:val="lowerLetter"/>
      <w:start w:val="1"/>
    </w:lvl>
  </w:abstractNum>
  <w:abstractNum w:abstractNumId="291">
    <w:nsid w:val="1187C70F"/>
    <w:multiLevelType w:val="hybridMultilevel"/>
    <w:lvl w:ilvl="0">
      <w:lvlJc w:val="left"/>
      <w:lvlText w:val="%1"/>
      <w:numFmt w:val="decimal"/>
      <w:start w:val="1"/>
    </w:lvl>
    <w:lvl w:ilvl="1">
      <w:lvlJc w:val="left"/>
      <w:lvlText w:val="(%2)"/>
      <w:numFmt w:val="lowerLetter"/>
      <w:start w:val="3"/>
    </w:lvl>
  </w:abstractNum>
  <w:abstractNum w:abstractNumId="292">
    <w:nsid w:val="5476DE98"/>
    <w:multiLevelType w:val="hybridMultilevel"/>
    <w:lvl w:ilvl="0">
      <w:lvlJc w:val="left"/>
      <w:lvlText w:val="%1."/>
      <w:numFmt w:val="decimal"/>
      <w:start w:val="4"/>
    </w:lvl>
    <w:lvl w:ilvl="1">
      <w:lvlJc w:val="left"/>
      <w:lvlText w:val="(%2)"/>
      <w:numFmt w:val="lowerLetter"/>
      <w:start w:val="1"/>
    </w:lvl>
  </w:abstractNum>
  <w:abstractNum w:abstractNumId="293">
    <w:nsid w:val="EA697F2"/>
    <w:multiLevelType w:val="hybridMultilevel"/>
    <w:lvl w:ilvl="0">
      <w:lvlJc w:val="left"/>
      <w:lvlText w:val="%1"/>
      <w:numFmt w:val="decimal"/>
      <w:start w:val="1"/>
    </w:lvl>
    <w:lvl w:ilvl="1">
      <w:lvlJc w:val="left"/>
      <w:lvlText w:val="(%2)"/>
      <w:numFmt w:val="lowerLetter"/>
      <w:start w:val="2"/>
    </w:lvl>
  </w:abstractNum>
  <w:abstractNum w:abstractNumId="294">
    <w:nsid w:val="70BA39EB"/>
    <w:multiLevelType w:val="hybridMultilevel"/>
    <w:lvl w:ilvl="0">
      <w:lvlJc w:val="left"/>
      <w:lvlText w:val="(%1)"/>
      <w:numFmt w:val="decimal"/>
      <w:start w:val="20"/>
    </w:lvl>
    <w:lvl w:ilvl="1">
      <w:lvlJc w:val="left"/>
      <w:lvlText w:val="%2"/>
      <w:numFmt w:val="lowerLetter"/>
      <w:start w:val="1"/>
    </w:lvl>
  </w:abstractNum>
  <w:abstractNum w:abstractNumId="295">
    <w:nsid w:val="4A8DB59C"/>
    <w:multiLevelType w:val="hybridMultilevel"/>
    <w:lvl w:ilvl="0">
      <w:lvlJc w:val="left"/>
      <w:lvlText w:val="(%1)"/>
      <w:numFmt w:val="lowerLetter"/>
      <w:start w:val="4"/>
    </w:lvl>
  </w:abstractNum>
  <w:abstractNum w:abstractNumId="296">
    <w:nsid w:val="1AFD9053"/>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abstractNum>
  <w:abstractNum w:abstractNumId="297">
    <w:nsid w:val="558BB10D"/>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298">
    <w:nsid w:val="43B27FA7"/>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299">
    <w:nsid w:val="27FADEFA"/>
    <w:multiLevelType w:val="hybridMultilevel"/>
    <w:lvl w:ilvl="0">
      <w:lvlJc w:val="left"/>
      <w:lvlText w:val="(%1)"/>
      <w:numFmt w:val="lowerLetter"/>
      <w:start w:val="2"/>
    </w:lvl>
  </w:abstractNum>
  <w:abstractNum w:abstractNumId="300">
    <w:nsid w:val="78BB805A"/>
    <w:multiLevelType w:val="hybridMultilevel"/>
    <w:lvl w:ilvl="0">
      <w:lvlJc w:val="left"/>
      <w:lvlText w:val="%1."/>
      <w:numFmt w:val="decimal"/>
      <w:start w:val="8"/>
    </w:lvl>
    <w:lvl w:ilvl="1">
      <w:lvlJc w:val="left"/>
      <w:lvlText w:val="(%2)"/>
      <w:numFmt w:val="lowerLetter"/>
      <w:start w:val="1"/>
    </w:lvl>
  </w:abstractNum>
  <w:abstractNum w:abstractNumId="301">
    <w:nsid w:val="62548FD8"/>
    <w:multiLevelType w:val="hybridMultilevel"/>
    <w:lvl w:ilvl="0">
      <w:lvlJc w:val="left"/>
      <w:lvlText w:val="%1"/>
      <w:numFmt w:val="decimal"/>
      <w:start w:val="1"/>
    </w:lvl>
    <w:lvl w:ilvl="1">
      <w:lvlJc w:val="left"/>
      <w:lvlText w:val="(%2)"/>
      <w:numFmt w:val="lowerLetter"/>
      <w:start w:val="4"/>
    </w:lvl>
  </w:abstractNum>
  <w:abstractNum w:abstractNumId="302">
    <w:nsid w:val="FA085B0"/>
    <w:multiLevelType w:val="hybridMultilevel"/>
    <w:lvl w:ilvl="0">
      <w:lvlJc w:val="left"/>
      <w:lvlText w:val="%1."/>
      <w:numFmt w:val="decimal"/>
      <w:start w:val="9"/>
    </w:lvl>
    <w:lvl w:ilvl="1">
      <w:lvlJc w:val="left"/>
      <w:lvlText w:val="(%2)"/>
      <w:numFmt w:val="lowerLetter"/>
      <w:start w:val="1"/>
    </w:lvl>
  </w:abstractNum>
  <w:abstractNum w:abstractNumId="303">
    <w:nsid w:val="4E5DCB5"/>
    <w:multiLevelType w:val="hybridMultilevel"/>
    <w:lvl w:ilvl="0">
      <w:lvlJc w:val="left"/>
      <w:lvlText w:val="%1"/>
      <w:numFmt w:val="lowerLetter"/>
      <w:start w:val="1"/>
    </w:lvl>
    <w:lvl w:ilvl="1">
      <w:lvlJc w:val="left"/>
      <w:lvlText w:val="%2."/>
      <w:numFmt w:val="decimal"/>
      <w:start w:val="10"/>
    </w:lvl>
  </w:abstractNum>
  <w:abstractNum w:abstractNumId="304">
    <w:nsid w:val="41E96BDB"/>
    <w:multiLevelType w:val="hybridMultilevel"/>
    <w:lvl w:ilvl="0">
      <w:lvlJc w:val="left"/>
      <w:lvlText w:val="(%1)"/>
      <w:numFmt w:val="lowerLetter"/>
      <w:start w:val="2"/>
    </w:lvl>
    <w:lvl w:ilvl="1">
      <w:lvlJc w:val="left"/>
      <w:lvlText w:val="%2."/>
      <w:numFmt w:val="decimal"/>
      <w:start w:val="11"/>
    </w:lvl>
  </w:abstractNum>
  <w:abstractNum w:abstractNumId="305">
    <w:nsid w:val="331C4250"/>
    <w:multiLevelType w:val="hybridMultilevel"/>
    <w:lvl w:ilvl="0">
      <w:lvlJc w:val="left"/>
      <w:lvlText w:val="%1"/>
      <w:numFmt w:val="upperLetter"/>
      <w:start w:val="1"/>
    </w:lvl>
    <w:lvl w:ilvl="1">
      <w:lvlJc w:val="left"/>
      <w:lvlText w:val="%2."/>
      <w:numFmt w:val="decimal"/>
      <w:start w:val="14"/>
    </w:lvl>
    <w:lvl w:ilvl="2">
      <w:lvlJc w:val="left"/>
      <w:lvlText w:val="(%3)"/>
      <w:numFmt w:val="lowerLetter"/>
      <w:start w:val="1"/>
    </w:lvl>
  </w:abstractNum>
  <w:abstractNum w:abstractNumId="306">
    <w:nsid w:val="1B1493C2"/>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307">
    <w:nsid w:val="39F06DFD"/>
    <w:multiLevelType w:val="hybridMultilevel"/>
    <w:lvl w:ilvl="0">
      <w:lvlJc w:val="left"/>
      <w:lvlText w:val="%1"/>
      <w:numFmt w:val="lowerLetter"/>
      <w:start w:val="1"/>
    </w:lvl>
    <w:lvl w:ilvl="1">
      <w:lvlJc w:val="left"/>
      <w:lvlText w:val="(%2)"/>
      <w:numFmt w:val="lowerLetter"/>
      <w:start w:val="2"/>
    </w:lvl>
  </w:abstractNum>
  <w:abstractNum w:abstractNumId="308">
    <w:nsid w:val="14802F5D"/>
    <w:multiLevelType w:val="hybridMultilevel"/>
    <w:lvl w:ilvl="0">
      <w:lvlJc w:val="left"/>
      <w:lvlText w:val="(%1)"/>
      <w:numFmt w:val="lowerLetter"/>
      <w:start w:val="35"/>
    </w:lvl>
    <w:lvl w:ilvl="1">
      <w:lvlJc w:val="left"/>
      <w:lvlText w:val="%2"/>
      <w:numFmt w:val="lowerLetter"/>
      <w:start w:val="1"/>
    </w:lvl>
  </w:abstractNum>
  <w:abstractNum w:abstractNumId="309">
    <w:nsid w:val="2774A209"/>
    <w:multiLevelType w:val="hybridMultilevel"/>
    <w:lvl w:ilvl="0">
      <w:lvlJc w:val="left"/>
      <w:lvlText w:val="%1"/>
      <w:numFmt w:val="decimal"/>
      <w:start w:val="1"/>
    </w:lvl>
    <w:lvl w:ilvl="1">
      <w:lvlJc w:val="left"/>
      <w:lvlText w:val="(%2)"/>
      <w:numFmt w:val="lowerLetter"/>
      <w:start w:val="7"/>
    </w:lvl>
  </w:abstractNum>
  <w:abstractNum w:abstractNumId="310">
    <w:nsid w:val="3785655A"/>
    <w:multiLevelType w:val="hybridMultilevel"/>
    <w:lvl w:ilvl="0">
      <w:lvlJc w:val="left"/>
      <w:lvlText w:val="%1."/>
      <w:numFmt w:val="decimal"/>
      <w:start w:val="17"/>
    </w:lvl>
    <w:lvl w:ilvl="1">
      <w:lvlJc w:val="left"/>
      <w:lvlText w:val="%2"/>
      <w:numFmt w:val="lowerLetter"/>
      <w:start w:val="1"/>
    </w:lvl>
  </w:abstractNum>
  <w:abstractNum w:abstractNumId="311">
    <w:nsid w:val="B2172A"/>
    <w:multiLevelType w:val="hybridMultilevel"/>
    <w:lvl w:ilvl="0">
      <w:lvlJc w:val="left"/>
      <w:lvlText w:val="%1."/>
      <w:numFmt w:val="decimal"/>
      <w:start w:val="20"/>
    </w:lvl>
    <w:lvl w:ilvl="1">
      <w:lvlJc w:val="left"/>
      <w:lvlText w:val="(%2)"/>
      <w:numFmt w:val="lowerLetter"/>
      <w:start w:val="1"/>
    </w:lvl>
  </w:abstractNum>
  <w:abstractNum w:abstractNumId="312">
    <w:nsid w:val="532C34A5"/>
    <w:multiLevelType w:val="hybridMultilevel"/>
    <w:lvl w:ilvl="0">
      <w:lvlJc w:val="left"/>
      <w:lvlText w:val="%1."/>
      <w:numFmt w:val="decimal"/>
      <w:start w:val="21"/>
    </w:lvl>
  </w:abstractNum>
  <w:abstractNum w:abstractNumId="313">
    <w:nsid w:val="102809E2"/>
    <w:multiLevelType w:val="hybridMultilevel"/>
    <w:lvl w:ilvl="0">
      <w:lvlJc w:val="left"/>
      <w:lvlText w:val="(%1)"/>
      <w:numFmt w:val="lowerRoman"/>
      <w:start w:val="3"/>
    </w:lvl>
    <w:lvl w:ilvl="1">
      <w:lvlJc w:val="left"/>
      <w:lvlText w:val="-"/>
      <w:numFmt w:val="bullet"/>
      <w:start w:val="1"/>
    </w:lvl>
  </w:abstractNum>
  <w:abstractNum w:abstractNumId="314">
    <w:nsid w:val="3B2125A3"/>
    <w:multiLevelType w:val="hybridMultilevel"/>
    <w:lvl w:ilvl="0">
      <w:lvlJc w:val="left"/>
      <w:lvlText w:val="(%1)"/>
      <w:numFmt w:val="lowerLetter"/>
      <w:start w:val="1"/>
    </w:lvl>
    <w:lvl w:ilvl="1">
      <w:lvlJc w:val="left"/>
      <w:lvlText w:val="-"/>
      <w:numFmt w:val="bullet"/>
      <w:start w:val="1"/>
    </w:lvl>
  </w:abstractNum>
  <w:abstractNum w:abstractNumId="315">
    <w:nsid w:val="AC68FFB"/>
    <w:multiLevelType w:val="hybridMultilevel"/>
    <w:lvl w:ilvl="0">
      <w:lvlJc w:val="left"/>
      <w:lvlText w:val="(%1)"/>
      <w:numFmt w:val="lowerLetter"/>
      <w:start w:val="5"/>
    </w:lvl>
  </w:abstractNum>
  <w:abstractNum w:abstractNumId="316">
    <w:nsid w:val="63DF3FB7"/>
    <w:multiLevelType w:val="hybridMultilevel"/>
    <w:lvl w:ilvl="0">
      <w:lvlJc w:val="left"/>
      <w:lvlText w:val="(%1)"/>
      <w:numFmt w:val="lowerLetter"/>
      <w:start w:val="1"/>
    </w:lvl>
    <w:lvl w:ilvl="1">
      <w:lvlJc w:val="left"/>
      <w:lvlText w:val="-"/>
      <w:numFmt w:val="bullet"/>
      <w:start w:val="1"/>
    </w:lvl>
  </w:abstractNum>
  <w:abstractNum w:abstractNumId="317">
    <w:nsid w:val="64996E13"/>
    <w:multiLevelType w:val="hybridMultilevel"/>
    <w:lvl w:ilvl="0">
      <w:lvlJc w:val="left"/>
      <w:lvlText w:val="(%1)"/>
      <w:numFmt w:val="lowerLetter"/>
      <w:start w:val="5"/>
    </w:lvl>
  </w:abstractNum>
  <w:abstractNum w:abstractNumId="318">
    <w:nsid w:val="57A37D47"/>
    <w:multiLevelType w:val="hybridMultilevel"/>
    <w:lvl w:ilvl="0">
      <w:lvlJc w:val="left"/>
      <w:lvlText w:val="(%1)"/>
      <w:numFmt w:val="lowerLetter"/>
      <w:start w:val="1"/>
    </w:lvl>
  </w:abstractNum>
  <w:abstractNum w:abstractNumId="319">
    <w:nsid w:val="74824D54"/>
    <w:multiLevelType w:val="hybridMultilevel"/>
    <w:lvl w:ilvl="0">
      <w:lvlJc w:val="left"/>
      <w:lvlText w:val="(%1)"/>
      <w:numFmt w:val="lowerLetter"/>
      <w:start w:val="1"/>
    </w:lvl>
  </w:abstractNum>
  <w:abstractNum w:abstractNumId="320">
    <w:nsid w:val="6F00529A"/>
    <w:multiLevelType w:val="hybridMultilevel"/>
    <w:lvl w:ilvl="0">
      <w:lvlJc w:val="left"/>
      <w:lvlText w:val="(%1)"/>
      <w:numFmt w:val="lowerLetter"/>
      <w:start w:val="1"/>
    </w:lvl>
  </w:abstractNum>
  <w:abstractNum w:abstractNumId="321">
    <w:nsid w:val="805B331"/>
    <w:multiLevelType w:val="hybridMultilevel"/>
    <w:lvl w:ilvl="0">
      <w:lvlJc w:val="left"/>
      <w:lvlText w:val="(%1)"/>
      <w:numFmt w:val="lowerLetter"/>
      <w:start w:val="1"/>
    </w:lvl>
    <w:lvl w:ilvl="1">
      <w:lvlJc w:val="left"/>
      <w:lvlText w:val="-"/>
      <w:numFmt w:val="bullet"/>
      <w:start w:val="1"/>
    </w:lvl>
  </w:abstractNum>
  <w:abstractNum w:abstractNumId="322">
    <w:nsid w:val="60A1463"/>
    <w:multiLevelType w:val="hybridMultilevel"/>
    <w:lvl w:ilvl="0">
      <w:lvlJc w:val="left"/>
      <w:lvlText w:val="(%1)"/>
      <w:numFmt w:val="lowerLetter"/>
      <w:start w:val="5"/>
    </w:lvl>
  </w:abstractNum>
  <w:abstractNum w:abstractNumId="323">
    <w:nsid w:val="43773132"/>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24">
    <w:nsid w:val="16AC4B23"/>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25">
    <w:nsid w:val="76C44E4E"/>
    <w:multiLevelType w:val="hybridMultilevel"/>
    <w:lvl w:ilvl="0">
      <w:lvlJc w:val="left"/>
      <w:lvlText w:val="%1"/>
      <w:numFmt w:val="upperLetter"/>
      <w:start w:val="1"/>
    </w:lvl>
    <w:lvl w:ilvl="1">
      <w:lvlJc w:val="left"/>
      <w:lvlText w:val="(%2)"/>
      <w:numFmt w:val="lowerLetter"/>
      <w:start w:val="3"/>
    </w:lvl>
    <w:lvl w:ilvl="2">
      <w:lvlJc w:val="left"/>
      <w:lvlText w:val="-"/>
      <w:numFmt w:val="bullet"/>
      <w:start w:val="1"/>
    </w:lvl>
  </w:abstractNum>
  <w:abstractNum w:abstractNumId="326">
    <w:nsid w:val="E04E6CE"/>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327">
    <w:nsid w:val="31A9DB76"/>
    <w:multiLevelType w:val="hybridMultilevel"/>
    <w:lvl w:ilvl="0">
      <w:lvlJc w:val="left"/>
      <w:lvlText w:val="(%1)"/>
      <w:numFmt w:val="lowerLetter"/>
      <w:start w:val="5"/>
    </w:lvl>
  </w:abstractNum>
  <w:abstractNum w:abstractNumId="328">
    <w:nsid w:val="4C4FFF5B"/>
    <w:multiLevelType w:val="hybridMultilevel"/>
    <w:lvl w:ilvl="0">
      <w:lvlJc w:val="left"/>
      <w:lvlText w:val="(%1)"/>
      <w:numFmt w:val="lowerLetter"/>
      <w:start w:val="1"/>
    </w:lvl>
  </w:abstractNum>
  <w:abstractNum w:abstractNumId="329">
    <w:nsid w:val="51B76675"/>
    <w:multiLevelType w:val="hybridMultilevel"/>
    <w:lvl w:ilvl="0">
      <w:lvlJc w:val="left"/>
      <w:lvlText w:val="(%1)"/>
      <w:numFmt w:val="lowerLetter"/>
      <w:start w:val="1"/>
    </w:lvl>
  </w:abstractNum>
  <w:abstractNum w:abstractNumId="330">
    <w:nsid w:val="59A4BA71"/>
    <w:multiLevelType w:val="hybridMultilevel"/>
    <w:lvl w:ilvl="0">
      <w:lvlJc w:val="left"/>
      <w:lvlText w:val="(%1)"/>
      <w:numFmt w:val="lowerLetter"/>
      <w:start w:val="1"/>
    </w:lvl>
  </w:abstractNum>
  <w:abstractNum w:abstractNumId="331">
    <w:nsid w:val="450B7FB6"/>
    <w:multiLevelType w:val="hybridMultilevel"/>
    <w:lvl w:ilvl="0">
      <w:lvlJc w:val="left"/>
      <w:lvlText w:val="(%1)"/>
      <w:numFmt w:val="lowerLetter"/>
      <w:start w:val="1"/>
    </w:lvl>
  </w:abstractNum>
  <w:abstractNum w:abstractNumId="332">
    <w:nsid w:val="340BF64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33">
    <w:nsid w:val="69454021"/>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334">
    <w:nsid w:val="49F15C6B"/>
    <w:multiLevelType w:val="hybridMultilevel"/>
    <w:lvl w:ilvl="0">
      <w:lvlJc w:val="left"/>
      <w:lvlText w:val="(%1)"/>
      <w:numFmt w:val="lowerLetter"/>
      <w:start w:val="7"/>
    </w:lvl>
    <w:lvl w:ilvl="1">
      <w:lvlJc w:val="left"/>
      <w:lvlText w:val="(%2)"/>
      <w:numFmt w:val="lowerRoman"/>
      <w:start w:val="1"/>
    </w:lvl>
  </w:abstractNum>
  <w:abstractNum w:abstractNumId="335">
    <w:nsid w:val="75F56228"/>
    <w:multiLevelType w:val="hybridMultilevel"/>
    <w:lvl w:ilvl="0">
      <w:lvlJc w:val="left"/>
      <w:lvlText w:val="(%1)"/>
      <w:numFmt w:val="lowerLetter"/>
      <w:start w:val="9"/>
    </w:lvl>
  </w:abstractNum>
  <w:abstractNum w:abstractNumId="336">
    <w:nsid w:val="1C618271"/>
    <w:multiLevelType w:val="hybridMultilevel"/>
    <w:lvl w:ilvl="0">
      <w:lvlJc w:val="left"/>
      <w:lvlText w:val="(%1)"/>
      <w:numFmt w:val="lowerLetter"/>
      <w:start w:val="11"/>
    </w:lvl>
  </w:abstractNum>
  <w:abstractNum w:abstractNumId="337">
    <w:nsid w:val="6505F02E"/>
    <w:multiLevelType w:val="hybridMultilevel"/>
    <w:lvl w:ilvl="0">
      <w:lvlJc w:val="left"/>
      <w:lvlText w:val="(%1)"/>
      <w:numFmt w:val="lowerLetter"/>
      <w:start w:val="1"/>
    </w:lvl>
  </w:abstractNum>
  <w:abstractNum w:abstractNumId="338">
    <w:nsid w:val="2FE5D025"/>
    <w:multiLevelType w:val="hybridMultilevel"/>
    <w:lvl w:ilvl="0">
      <w:lvlJc w:val="left"/>
      <w:lvlText w:val="(%1)"/>
      <w:numFmt w:val="lowerLetter"/>
      <w:start w:val="5"/>
    </w:lvl>
  </w:abstractNum>
  <w:abstractNum w:abstractNumId="339">
    <w:nsid w:val="30E1B1CF"/>
    <w:multiLevelType w:val="hybridMultilevel"/>
    <w:lvl w:ilvl="0">
      <w:lvlJc w:val="left"/>
      <w:lvlText w:val="(%1)"/>
      <w:numFmt w:val="lowerLetter"/>
      <w:start w:val="1"/>
    </w:lvl>
    <w:lvl w:ilvl="1">
      <w:lvlJc w:val="left"/>
      <w:lvlText w:val="(%2)"/>
      <w:numFmt w:val="lowerLetter"/>
      <w:start w:val="9"/>
    </w:lvl>
  </w:abstractNum>
  <w:abstractNum w:abstractNumId="340">
    <w:nsid w:val="C7A9237"/>
    <w:multiLevelType w:val="hybridMultilevel"/>
    <w:lvl w:ilvl="0">
      <w:lvlJc w:val="left"/>
      <w:lvlText w:val="%1"/>
      <w:numFmt w:val="lowerLetter"/>
      <w:start w:val="1"/>
    </w:lvl>
    <w:lvl w:ilvl="1">
      <w:lvlJc w:val="left"/>
      <w:lvlText w:val="(%2)"/>
      <w:numFmt w:val="lowerRoman"/>
      <w:start w:val="2"/>
    </w:lvl>
  </w:abstractNum>
  <w:abstractNum w:abstractNumId="341">
    <w:nsid w:val="676B3580"/>
    <w:multiLevelType w:val="hybridMultilevel"/>
    <w:lvl w:ilvl="0">
      <w:lvlJc w:val="left"/>
      <w:lvlText w:val="(%1)"/>
      <w:numFmt w:val="lowerLetter"/>
      <w:start w:val="3"/>
    </w:lvl>
    <w:lvl w:ilvl="1">
      <w:lvlJc w:val="left"/>
      <w:lvlText w:val="%2"/>
      <w:numFmt w:val="lowerRoman"/>
      <w:start w:val="1"/>
    </w:lvl>
  </w:abstractNum>
  <w:abstractNum w:abstractNumId="342">
    <w:nsid w:val="3193C8F9"/>
    <w:multiLevelType w:val="hybridMultilevel"/>
    <w:lvl w:ilvl="0">
      <w:lvlJc w:val="left"/>
      <w:lvlText w:val="(%1)"/>
      <w:numFmt w:val="lowerLetter"/>
      <w:start w:val="1"/>
    </w:lvl>
  </w:abstractNum>
  <w:abstractNum w:abstractNumId="343">
    <w:nsid w:val="5FA6C6DC"/>
    <w:multiLevelType w:val="hybridMultilevel"/>
    <w:lvl w:ilvl="0">
      <w:lvlJc w:val="left"/>
      <w:lvlText w:val="(%1)"/>
      <w:numFmt w:val="lowerLetter"/>
      <w:start w:val="3"/>
    </w:lvl>
  </w:abstractNum>
  <w:abstractNum w:abstractNumId="344">
    <w:nsid w:val="77933F62"/>
    <w:multiLevelType w:val="hybridMultilevel"/>
    <w:lvl w:ilvl="0">
      <w:lvlJc w:val="left"/>
      <w:lvlText w:val="(%1)"/>
      <w:numFmt w:val="lowerLetter"/>
      <w:start w:val="1"/>
    </w:lvl>
  </w:abstractNum>
  <w:abstractNum w:abstractNumId="345">
    <w:nsid w:val="6CB4EE9C"/>
    <w:multiLevelType w:val="hybridMultilevel"/>
    <w:lvl w:ilvl="0">
      <w:lvlJc w:val="left"/>
      <w:lvlText w:val="(%1)"/>
      <w:numFmt w:val="lowerLetter"/>
      <w:start w:val="12"/>
    </w:lvl>
  </w:abstractNum>
  <w:abstractNum w:abstractNumId="346">
    <w:nsid w:val="6A6D56D7"/>
    <w:multiLevelType w:val="hybridMultilevel"/>
    <w:lvl w:ilvl="0">
      <w:lvlJc w:val="left"/>
      <w:lvlText w:val="%1."/>
      <w:numFmt w:val="decimal"/>
      <w:start w:val="1"/>
    </w:lvl>
  </w:abstractNum>
  <w:abstractNum w:abstractNumId="347">
    <w:nsid w:val="5B727F19"/>
    <w:multiLevelType w:val="hybridMultilevel"/>
    <w:lvl w:ilvl="0">
      <w:lvlJc w:val="left"/>
      <w:lvlText w:val="(%1)"/>
      <w:numFmt w:val="lowerRoman"/>
      <w:start w:val="2"/>
    </w:lvl>
  </w:abstractNum>
  <w:abstractNum w:abstractNumId="348">
    <w:nsid w:val="514E5CB0"/>
    <w:multiLevelType w:val="hybridMultilevel"/>
    <w:lvl w:ilvl="0">
      <w:lvlJc w:val="left"/>
      <w:lvlText w:val="(%1)"/>
      <w:numFmt w:val="lowerRoman"/>
      <w:start w:val="1"/>
    </w:lvl>
  </w:abstractNum>
  <w:abstractNum w:abstractNumId="349">
    <w:nsid w:val="4210D41E"/>
    <w:multiLevelType w:val="hybridMultilevel"/>
    <w:lvl w:ilvl="0">
      <w:lvlJc w:val="left"/>
      <w:lvlText w:val="(%1)"/>
      <w:numFmt w:val="lowerRoman"/>
      <w:start w:val="2"/>
    </w:lvl>
  </w:abstractNum>
  <w:abstractNum w:abstractNumId="350">
    <w:nsid w:val="4FF4CC6D"/>
    <w:multiLevelType w:val="hybridMultilevel"/>
    <w:lvl w:ilvl="0">
      <w:lvlJc w:val="left"/>
      <w:lvlText w:val="%1."/>
      <w:numFmt w:val="decimal"/>
      <w:start w:val="1"/>
    </w:lvl>
  </w:abstractNum>
  <w:abstractNum w:abstractNumId="351">
    <w:nsid w:val="404EAF4A"/>
    <w:multiLevelType w:val="hybridMultilevel"/>
    <w:lvl w:ilvl="0">
      <w:lvlJc w:val="left"/>
      <w:lvlText w:val="(%1)"/>
      <w:numFmt w:val="decimal"/>
      <w:start w:val="1"/>
    </w:lvl>
  </w:abstractNum>
  <w:abstractNum w:abstractNumId="352">
    <w:nsid w:val="4A16874F"/>
    <w:multiLevelType w:val="hybridMultilevel"/>
    <w:lvl w:ilvl="0">
      <w:lvlJc w:val="left"/>
      <w:lvlText w:val="(%1)"/>
      <w:numFmt w:val="lowerLetter"/>
      <w:start w:val="1"/>
    </w:lvl>
  </w:abstractNum>
  <w:abstractNum w:abstractNumId="353">
    <w:nsid w:val="55FEE0D1"/>
    <w:multiLevelType w:val="hybridMultilevel"/>
    <w:lvl w:ilvl="0">
      <w:lvlJc w:val="left"/>
      <w:lvlText w:val="%1."/>
      <w:numFmt w:val="decimal"/>
      <w:start w:val="5"/>
    </w:lvl>
  </w:abstractNum>
  <w:abstractNum w:abstractNumId="354">
    <w:nsid w:val="3C5E07C"/>
    <w:multiLevelType w:val="hybridMultilevel"/>
    <w:lvl w:ilvl="0">
      <w:lvlJc w:val="left"/>
      <w:lvlText w:val="%1."/>
      <w:numFmt w:val="decimal"/>
      <w:start w:val="6"/>
    </w:lvl>
  </w:abstractNum>
  <w:abstractNum w:abstractNumId="355">
    <w:nsid w:val="60C2D273"/>
    <w:multiLevelType w:val="hybridMultilevel"/>
    <w:lvl w:ilvl="0">
      <w:lvlJc w:val="left"/>
      <w:lvlText w:val="(%1)"/>
      <w:numFmt w:val="lowerLetter"/>
      <w:start w:val="1"/>
    </w:lvl>
  </w:abstractNum>
  <w:abstractNum w:abstractNumId="356">
    <w:nsid w:val="4CC32F1F"/>
    <w:multiLevelType w:val="hybridMultilevel"/>
    <w:lvl w:ilvl="0">
      <w:lvlJc w:val="left"/>
      <w:lvlText w:val="%1."/>
      <w:numFmt w:val="decimal"/>
      <w:start w:val="8"/>
    </w:lvl>
  </w:abstractNum>
  <w:abstractNum w:abstractNumId="357">
    <w:nsid w:val="11CAC74A"/>
    <w:multiLevelType w:val="hybridMultilevel"/>
    <w:lvl w:ilvl="0">
      <w:lvlJc w:val="left"/>
      <w:lvlText w:val="%1."/>
      <w:numFmt w:val="decimal"/>
      <w:start w:val="11"/>
    </w:lvl>
  </w:abstractNum>
  <w:abstractNum w:abstractNumId="358">
    <w:nsid w:val="126CADE9"/>
    <w:multiLevelType w:val="hybridMultilevel"/>
    <w:lvl w:ilvl="0">
      <w:lvlJc w:val="left"/>
      <w:lvlText w:val="(%1)"/>
      <w:numFmt w:val="lowerLetter"/>
      <w:start w:val="1"/>
    </w:lvl>
  </w:abstractNum>
  <w:abstractNum w:abstractNumId="359">
    <w:nsid w:val="19132E7B"/>
    <w:multiLevelType w:val="hybridMultilevel"/>
    <w:lvl w:ilvl="0">
      <w:lvlJc w:val="left"/>
      <w:lvlText w:val="%1."/>
      <w:numFmt w:val="decimal"/>
      <w:start w:val="14"/>
    </w:lvl>
  </w:abstractNum>
  <w:abstractNum w:abstractNumId="360">
    <w:nsid w:val="63822DC0"/>
    <w:multiLevelType w:val="hybridMultilevel"/>
    <w:lvl w:ilvl="0">
      <w:lvlJc w:val="left"/>
      <w:lvlText w:val="%1."/>
      <w:numFmt w:val="decimal"/>
      <w:start w:val="16"/>
    </w:lvl>
    <w:lvl w:ilvl="1">
      <w:lvlJc w:val="left"/>
      <w:lvlText w:val="%2."/>
      <w:numFmt w:val="decimal"/>
      <w:start w:val="17"/>
    </w:lvl>
  </w:abstractNum>
  <w:abstractNum w:abstractNumId="361">
    <w:nsid w:val="6C11685A"/>
    <w:multiLevelType w:val="hybridMultilevel"/>
    <w:lvl w:ilvl="0">
      <w:lvlJc w:val="left"/>
      <w:lvlText w:val="%1."/>
      <w:numFmt w:val="decimal"/>
      <w:start w:val="18"/>
    </w:lvl>
  </w:abstractNum>
  <w:abstractNum w:abstractNumId="362">
    <w:nsid w:val="5E1EAE31"/>
    <w:multiLevelType w:val="hybridMultilevel"/>
    <w:lvl w:ilvl="0">
      <w:lvlJc w:val="left"/>
      <w:lvlText w:val="%1."/>
      <w:numFmt w:val="decimal"/>
      <w:start w:val="23"/>
    </w:lvl>
    <w:lvl w:ilvl="1">
      <w:lvlJc w:val="left"/>
      <w:lvlText w:val="*"/>
      <w:numFmt w:val="bullet"/>
      <w:start w:val="1"/>
    </w:lvl>
  </w:abstractNum>
  <w:abstractNum w:abstractNumId="363">
    <w:nsid w:val="178E240D"/>
    <w:multiLevelType w:val="hybridMultilevel"/>
    <w:lvl w:ilvl="0">
      <w:lvlJc w:val="left"/>
      <w:lvlText w:val="%1."/>
      <w:numFmt w:val="decimal"/>
      <w:start w:val="1"/>
    </w:lvl>
  </w:abstractNum>
  <w:abstractNum w:abstractNumId="364">
    <w:nsid w:val="5556A87B"/>
    <w:multiLevelType w:val="hybridMultilevel"/>
    <w:lvl w:ilvl="0">
      <w:lvlJc w:val="left"/>
      <w:lvlText w:val="☐"/>
      <w:numFmt w:val="bullet"/>
      <w:start w:val="1"/>
    </w:lvl>
  </w:abstractNum>
  <w:abstractNum w:abstractNumId="365">
    <w:nsid w:val="28100A9C"/>
    <w:multiLevelType w:val="hybridMultilevel"/>
    <w:lvl w:ilvl="0">
      <w:lvlJc w:val="left"/>
      <w:lvlText w:val="%1."/>
      <w:numFmt w:val="decimal"/>
      <w:start w:val="2"/>
    </w:lvl>
  </w:abstractNum>
  <w:abstractNum w:abstractNumId="366">
    <w:nsid w:val="D838636"/>
    <w:multiLevelType w:val="hybridMultilevel"/>
    <w:lvl w:ilvl="0">
      <w:lvlJc w:val="left"/>
      <w:lvlText w:val="%1."/>
      <w:numFmt w:val="decimal"/>
      <w:start w:val="3"/>
    </w:lvl>
  </w:abstractNum>
  <w:abstractNum w:abstractNumId="367">
    <w:nsid w:val="71B82AED"/>
    <w:multiLevelType w:val="hybridMultilevel"/>
    <w:lvl w:ilvl="0">
      <w:lvlJc w:val="left"/>
      <w:lvlText w:val="%1."/>
      <w:numFmt w:val="decimal"/>
      <w:start w:val="10"/>
    </w:lvl>
  </w:abstractNum>
  <w:abstractNum w:abstractNumId="368">
    <w:nsid w:val="D15FACA"/>
    <w:multiLevelType w:val="hybridMultilevel"/>
    <w:lvl w:ilvl="0">
      <w:lvlJc w:val="left"/>
      <w:lvlText w:val="%1."/>
      <w:numFmt w:val="decimal"/>
      <w:start w:val="1"/>
    </w:lvl>
  </w:abstractNum>
  <w:abstractNum w:abstractNumId="369">
    <w:nsid w:val="3D69565B"/>
    <w:multiLevelType w:val="hybridMultilevel"/>
    <w:lvl w:ilvl="0">
      <w:lvlJc w:val="left"/>
      <w:lvlText w:val="(%1)"/>
      <w:numFmt w:val="decimal"/>
      <w:start w:val="1"/>
    </w:lvl>
  </w:abstractNum>
  <w:abstractNum w:abstractNumId="370">
    <w:nsid w:val="2299DCBC"/>
    <w:multiLevelType w:val="hybridMultilevel"/>
    <w:lvl w:ilvl="0">
      <w:lvlJc w:val="left"/>
      <w:lvlText w:val="(%1)"/>
      <w:numFmt w:val="lowerLetter"/>
      <w:start w:val="1"/>
    </w:lvl>
  </w:abstractNum>
  <w:abstractNum w:abstractNumId="371">
    <w:nsid w:val="19908D02"/>
    <w:multiLevelType w:val="hybridMultilevel"/>
    <w:lvl w:ilvl="0">
      <w:lvlJc w:val="left"/>
      <w:lvlText w:val="%1."/>
      <w:numFmt w:val="decimal"/>
      <w:start w:val="5"/>
    </w:lvl>
  </w:abstractNum>
  <w:abstractNum w:abstractNumId="372">
    <w:nsid w:val="24D48BDB"/>
    <w:multiLevelType w:val="hybridMultilevel"/>
    <w:lvl w:ilvl="0">
      <w:lvlJc w:val="left"/>
      <w:lvlText w:val="%1."/>
      <w:numFmt w:val="decimal"/>
      <w:start w:val="6"/>
    </w:lvl>
  </w:abstractNum>
  <w:abstractNum w:abstractNumId="373">
    <w:nsid w:val="542DA5B5"/>
    <w:multiLevelType w:val="hybridMultilevel"/>
    <w:lvl w:ilvl="0">
      <w:lvlJc w:val="left"/>
      <w:lvlText w:val="(%1)"/>
      <w:numFmt w:val="lowerLetter"/>
      <w:start w:val="1"/>
    </w:lvl>
  </w:abstractNum>
  <w:abstractNum w:abstractNumId="374">
    <w:nsid w:val="793753DE"/>
    <w:multiLevelType w:val="hybridMultilevel"/>
    <w:lvl w:ilvl="0">
      <w:lvlJc w:val="left"/>
      <w:lvlText w:val="%1."/>
      <w:numFmt w:val="decimal"/>
      <w:start w:val="8"/>
    </w:lvl>
  </w:abstractNum>
  <w:abstractNum w:abstractNumId="375">
    <w:nsid w:val="1C67CB3D"/>
    <w:multiLevelType w:val="hybridMultilevel"/>
    <w:lvl w:ilvl="0">
      <w:lvlJc w:val="left"/>
      <w:lvlText w:val="%1."/>
      <w:numFmt w:val="decimal"/>
      <w:start w:val="11"/>
    </w:lvl>
  </w:abstractNum>
  <w:abstractNum w:abstractNumId="376">
    <w:nsid w:val="40E29452"/>
    <w:multiLevelType w:val="hybridMultilevel"/>
    <w:lvl w:ilvl="0">
      <w:lvlJc w:val="left"/>
      <w:lvlText w:val="(%1)"/>
      <w:numFmt w:val="lowerLetter"/>
      <w:start w:val="1"/>
    </w:lvl>
  </w:abstractNum>
  <w:abstractNum w:abstractNumId="377">
    <w:nsid w:val="63A4AAB6"/>
    <w:multiLevelType w:val="hybridMultilevel"/>
    <w:lvl w:ilvl="0">
      <w:lvlJc w:val="left"/>
      <w:lvlText w:val="%1."/>
      <w:numFmt w:val="decimal"/>
      <w:start w:val="14"/>
    </w:lvl>
  </w:abstractNum>
  <w:abstractNum w:abstractNumId="378">
    <w:nsid w:val="77DA4A57"/>
    <w:multiLevelType w:val="hybridMultilevel"/>
    <w:lvl w:ilvl="0">
      <w:lvlJc w:val="left"/>
      <w:lvlText w:val="%1."/>
      <w:numFmt w:val="decimal"/>
      <w:start w:val="16"/>
    </w:lvl>
    <w:lvl w:ilvl="1">
      <w:lvlJc w:val="left"/>
      <w:lvlText w:val="%2."/>
      <w:numFmt w:val="decimal"/>
      <w:start w:val="17"/>
    </w:lvl>
  </w:abstractNum>
  <w:abstractNum w:abstractNumId="379">
    <w:nsid w:val="1230F102"/>
    <w:multiLevelType w:val="hybridMultilevel"/>
    <w:lvl w:ilvl="0">
      <w:lvlJc w:val="left"/>
      <w:lvlText w:val="%1."/>
      <w:numFmt w:val="decimal"/>
      <w:start w:val="18"/>
    </w:lvl>
  </w:abstractNum>
  <w:abstractNum w:abstractNumId="380">
    <w:nsid w:val="25B57ED4"/>
    <w:multiLevelType w:val="hybridMultilevel"/>
    <w:lvl w:ilvl="0">
      <w:lvlJc w:val="left"/>
      <w:lvlText w:val="%1."/>
      <w:numFmt w:val="decimal"/>
      <w:start w:val="23"/>
    </w:lvl>
    <w:lvl w:ilvl="1">
      <w:lvlJc w:val="left"/>
      <w:lvlText w:val="*"/>
      <w:numFmt w:val="bullet"/>
      <w:start w:val="1"/>
    </w:lvl>
  </w:abstractNum>
  <w:abstractNum w:abstractNumId="381">
    <w:nsid w:val="47CF16C4"/>
    <w:multiLevelType w:val="hybridMultilevel"/>
    <w:lvl w:ilvl="0">
      <w:lvlJc w:val="left"/>
      <w:lvlText w:val="(%1)"/>
      <w:numFmt w:val="lowerLetter"/>
      <w:start w:val="1"/>
    </w:lvl>
  </w:abstractNum>
  <w:abstractNum w:abstractNumId="382">
    <w:nsid w:val="527FA04C"/>
    <w:multiLevelType w:val="hybridMultilevel"/>
    <w:lvl w:ilvl="0">
      <w:lvlJc w:val="left"/>
      <w:lvlText w:val="(%1)"/>
      <w:numFmt w:val="lowerLetter"/>
      <w:start w:val="1"/>
    </w:lvl>
  </w:abstractNum>
  <w:abstractNum w:abstractNumId="383">
    <w:nsid w:val="6FCC0624"/>
    <w:multiLevelType w:val="hybridMultilevel"/>
    <w:lvl w:ilvl="0">
      <w:lvlJc w:val="left"/>
      <w:lvlText w:val="(%1)"/>
      <w:numFmt w:val="lowerLetter"/>
      <w:start w:val="1"/>
    </w:lvl>
  </w:abstractNum>
  <w:abstractNum w:abstractNumId="384">
    <w:nsid w:val="1DCDF795"/>
    <w:multiLevelType w:val="hybridMultilevel"/>
    <w:lvl w:ilvl="0">
      <w:lvlJc w:val="left"/>
      <w:lvlText w:val="(%1)"/>
      <w:numFmt w:val="lowerLetter"/>
      <w:start w:val="1"/>
    </w:lvl>
  </w:abstractNum>
  <w:abstractNum w:abstractNumId="385">
    <w:nsid w:val="564580C8"/>
    <w:multiLevelType w:val="hybridMultilevel"/>
    <w:lvl w:ilvl="0">
      <w:lvlJc w:val="left"/>
      <w:lvlText w:val="(%1)"/>
      <w:numFmt w:val="lowerLetter"/>
      <w:start w:val="4"/>
    </w:lvl>
  </w:abstractNum>
  <w:abstractNum w:abstractNumId="386">
    <w:nsid w:val="508ED897"/>
    <w:multiLevelType w:val="hybridMultilevel"/>
    <w:lvl w:ilvl="0">
      <w:lvlJc w:val="left"/>
      <w:lvlText w:val="(%1)"/>
      <w:numFmt w:val="lowerRoman"/>
      <w:start w:val="2"/>
    </w:lvl>
  </w:abstractNum>
  <w:abstractNum w:abstractNumId="387">
    <w:nsid w:val="6A9126B5"/>
    <w:multiLevelType w:val="hybridMultilevel"/>
    <w:lvl w:ilvl="0">
      <w:lvlJc w:val="left"/>
      <w:lvlText w:val="(%1)"/>
      <w:numFmt w:val="lowerLetter"/>
      <w:start w:val="1"/>
    </w:lvl>
  </w:abstractNum>
  <w:abstractNum w:abstractNumId="388">
    <w:nsid w:val="68104812"/>
    <w:multiLevelType w:val="hybridMultilevel"/>
    <w:lvl w:ilvl="0">
      <w:lvlJc w:val="left"/>
      <w:lvlText w:val="(%1)"/>
      <w:numFmt w:val="lowerLetter"/>
      <w:start w:val="2"/>
    </w:lvl>
  </w:abstractNum>
  <w:abstractNum w:abstractNumId="389">
    <w:nsid w:val="62FB8680"/>
    <w:multiLevelType w:val="hybridMultilevel"/>
    <w:lvl w:ilvl="0">
      <w:lvlJc w:val="left"/>
      <w:lvlText w:val="(%1)"/>
      <w:numFmt w:val="lowerLetter"/>
      <w:start w:val="1"/>
    </w:lvl>
  </w:abstractNum>
  <w:abstractNum w:abstractNumId="390">
    <w:nsid w:val="3A45530"/>
    <w:multiLevelType w:val="hybridMultilevel"/>
    <w:lvl w:ilvl="0">
      <w:lvlJc w:val="left"/>
      <w:lvlText w:val="(%1)"/>
      <w:numFmt w:val="lowerLetter"/>
      <w:start w:val="2"/>
    </w:lvl>
    <w:lvl w:ilvl="1">
      <w:lvlJc w:val="left"/>
      <w:lvlText w:val="(%2)"/>
      <w:numFmt w:val="lowerRoman"/>
      <w:start w:val="1"/>
    </w:lvl>
  </w:abstractNum>
  <w:abstractNum w:abstractNumId="391">
    <w:nsid w:val="4B9275D2"/>
    <w:multiLevelType w:val="hybridMultilevel"/>
    <w:lvl w:ilvl="0">
      <w:lvlJc w:val="left"/>
      <w:lvlText w:val="(%1)"/>
      <w:numFmt w:val="lowerLetter"/>
      <w:start w:val="2"/>
    </w:lvl>
  </w:abstractNum>
  <w:abstractNum w:abstractNumId="392">
    <w:nsid w:val="4F0CEEDB"/>
    <w:multiLevelType w:val="hybridMultilevel"/>
    <w:lvl w:ilvl="0">
      <w:lvlJc w:val="left"/>
      <w:lvlText w:val="(%1)"/>
      <w:numFmt w:val="lowerLetter"/>
      <w:start w:val="1"/>
    </w:lvl>
    <w:lvl w:ilvl="1">
      <w:lvlJc w:val="left"/>
      <w:lvlText w:val="(%2)"/>
      <w:numFmt w:val="lowerRoman"/>
      <w:start w:val="1"/>
    </w:lvl>
  </w:abstractNum>
  <w:abstractNum w:abstractNumId="393">
    <w:nsid w:val="61C30361"/>
    <w:multiLevelType w:val="hybridMultilevel"/>
    <w:lvl w:ilvl="0">
      <w:lvlJc w:val="left"/>
      <w:lvlText w:val="1"/>
      <w:numFmt w:val="bullet"/>
      <w:start w:val="1"/>
    </w:lvl>
  </w:abstractNum>
  <w:abstractNum w:abstractNumId="394">
    <w:nsid w:val="632099E0"/>
    <w:multiLevelType w:val="hybridMultilevel"/>
    <w:lvl w:ilvl="0">
      <w:lvlJc w:val="left"/>
      <w:lvlText w:val="(%1)"/>
      <w:numFmt w:val="lowerLetter"/>
      <w:start w:val="3"/>
    </w:lvl>
  </w:abstractNum>
  <w:abstractNum w:abstractNumId="395">
    <w:nsid w:val="24639756"/>
    <w:multiLevelType w:val="hybridMultilevel"/>
    <w:lvl w:ilvl="0">
      <w:lvlJc w:val="left"/>
      <w:lvlText w:val="(%1)"/>
      <w:numFmt w:val="lowerLetter"/>
      <w:start w:val="1"/>
    </w:lvl>
    <w:lvl w:ilvl="1">
      <w:lvlJc w:val="left"/>
      <w:lvlText w:val="*"/>
      <w:numFmt w:val="bullet"/>
      <w:start w:val="1"/>
    </w:lvl>
  </w:abstractNum>
  <w:abstractNum w:abstractNumId="396">
    <w:nsid w:val="9D30DFD"/>
    <w:multiLevelType w:val="hybridMultilevel"/>
    <w:lvl w:ilvl="0">
      <w:lvlJc w:val="left"/>
      <w:lvlText w:val="(%1)"/>
      <w:numFmt w:val="lowerLetter"/>
      <w:start w:val="1"/>
    </w:lvl>
  </w:abstractNum>
  <w:abstractNum w:abstractNumId="397">
    <w:nsid w:val="70A42016"/>
    <w:multiLevelType w:val="hybridMultilevel"/>
    <w:lvl w:ilvl="0">
      <w:lvlJc w:val="left"/>
      <w:lvlText w:val="(%1)"/>
      <w:numFmt w:val="lowerLetter"/>
      <w:start w:val="1"/>
    </w:lvl>
    <w:lvl w:ilvl="1">
      <w:lvlJc w:val="left"/>
      <w:lvlText w:val="(%2)"/>
      <w:numFmt w:val="lowerRoman"/>
      <w:start w:val="1"/>
    </w:lvl>
  </w:abstractNum>
  <w:abstractNum w:abstractNumId="398">
    <w:nsid w:val="161BC243"/>
    <w:multiLevelType w:val="hybridMultilevel"/>
    <w:lvl w:ilvl="0">
      <w:lvlJc w:val="left"/>
      <w:lvlText w:val="1"/>
      <w:numFmt w:val="bullet"/>
      <w:start w:val="1"/>
    </w:lvl>
  </w:abstractNum>
  <w:abstractNum w:abstractNumId="399">
    <w:nsid w:val="16E908C8"/>
    <w:multiLevelType w:val="hybridMultilevel"/>
    <w:lvl w:ilvl="0">
      <w:lvlJc w:val="left"/>
      <w:lvlText w:val="2"/>
      <w:numFmt w:val="bullet"/>
      <w:start w:val="1"/>
    </w:lvl>
  </w:abstractNum>
  <w:abstractNum w:abstractNumId="400">
    <w:nsid w:val="2E0D7671"/>
    <w:multiLevelType w:val="hybridMultilevel"/>
    <w:lvl w:ilvl="0">
      <w:lvlJc w:val="left"/>
      <w:lvlText w:val="3"/>
      <w:numFmt w:val="bullet"/>
      <w:start w:val="1"/>
    </w:lvl>
  </w:abstractNum>
  <w:abstractNum w:abstractNumId="401">
    <w:nsid w:val="38B59EFF"/>
    <w:multiLevelType w:val="hybridMultilevel"/>
    <w:lvl w:ilvl="0">
      <w:lvlJc w:val="left"/>
      <w:lvlText w:val="(%1)"/>
      <w:numFmt w:val="lowerLetter"/>
      <w:start w:val="1"/>
    </w:lvl>
  </w:abstractNum>
  <w:abstractNum w:abstractNumId="402">
    <w:nsid w:val="307995CA"/>
    <w:multiLevelType w:val="hybridMultilevel"/>
    <w:lvl w:ilvl="0">
      <w:lvlJc w:val="left"/>
      <w:lvlText w:val="(%1)"/>
      <w:numFmt w:val="lowerLetter"/>
      <w:start w:val="1"/>
    </w:lvl>
  </w:abstractNum>
  <w:abstractNum w:abstractNumId="403">
    <w:nsid w:val="52E2024D"/>
    <w:multiLevelType w:val="hybridMultilevel"/>
    <w:lvl w:ilvl="0">
      <w:lvlJc w:val="left"/>
      <w:lvlText w:val="(%1)"/>
      <w:numFmt w:val="lowerLetter"/>
      <w:start w:val="2"/>
    </w:lvl>
  </w:abstractNum>
  <w:abstractNum w:abstractNumId="404">
    <w:nsid w:val="CE344B5"/>
    <w:multiLevelType w:val="hybridMultilevel"/>
    <w:lvl w:ilvl="0">
      <w:lvlJc w:val="left"/>
      <w:lvlText w:val="(%1)"/>
      <w:numFmt w:val="lowerLetter"/>
      <w:start w:val="1"/>
    </w:lvl>
  </w:abstractNum>
  <w:abstractNum w:abstractNumId="405">
    <w:nsid w:val="29B0E9A8"/>
    <w:multiLevelType w:val="hybridMultilevel"/>
    <w:lvl w:ilvl="0">
      <w:lvlJc w:val="left"/>
      <w:lvlText w:val="(%1)"/>
      <w:numFmt w:val="lowerLetter"/>
      <w:start w:val="1"/>
    </w:lvl>
  </w:abstractNum>
  <w:abstractNum w:abstractNumId="406">
    <w:nsid w:val="6F49CD8A"/>
    <w:multiLevelType w:val="hybridMultilevel"/>
    <w:lvl w:ilvl="0">
      <w:lvlJc w:val="left"/>
      <w:lvlText w:val="(%1)"/>
      <w:numFmt w:val="lowerLetter"/>
      <w:start w:val="1"/>
    </w:lvl>
  </w:abstractNum>
  <w:abstractNum w:abstractNumId="407">
    <w:nsid w:val="4DC5D907"/>
    <w:multiLevelType w:val="hybridMultilevel"/>
    <w:lvl w:ilvl="0">
      <w:lvlJc w:val="left"/>
      <w:lvlText w:val="(%1)"/>
      <w:numFmt w:val="lowerLetter"/>
      <w:start w:val="1"/>
    </w:lvl>
  </w:abstractNum>
  <w:abstractNum w:abstractNumId="408">
    <w:nsid w:val="D55945E"/>
    <w:multiLevelType w:val="hybridMultilevel"/>
    <w:lvl w:ilvl="0">
      <w:lvlJc w:val="left"/>
      <w:lvlText w:val="(%1)"/>
      <w:numFmt w:val="lowerLetter"/>
      <w:start w:val="1"/>
    </w:lvl>
  </w:abstractNum>
  <w:abstractNum w:abstractNumId="409">
    <w:nsid w:val="672417E1"/>
    <w:multiLevelType w:val="hybridMultilevel"/>
    <w:lvl w:ilvl="0">
      <w:lvlJc w:val="left"/>
      <w:lvlText w:val="(%1)"/>
      <w:numFmt w:val="lowerLetter"/>
      <w:start w:val="1"/>
    </w:lvl>
  </w:abstractNum>
  <w:abstractNum w:abstractNumId="410">
    <w:nsid w:val="5FF6CA09"/>
    <w:multiLevelType w:val="hybridMultilevel"/>
    <w:lvl w:ilvl="0">
      <w:lvlJc w:val="left"/>
      <w:lvlText w:val="(%1)"/>
      <w:numFmt w:val="lowerLetter"/>
      <w:start w:val="3"/>
    </w:lvl>
  </w:abstractNum>
  <w:abstractNum w:abstractNumId="411">
    <w:nsid w:val="330B1333"/>
    <w:multiLevelType w:val="hybridMultilevel"/>
    <w:lvl w:ilvl="0">
      <w:lvlJc w:val="left"/>
      <w:lvlText w:val="(%1)"/>
      <w:numFmt w:val="lowerLetter"/>
      <w:start w:val="1"/>
    </w:lvl>
  </w:abstractNum>
  <w:abstractNum w:abstractNumId="412">
    <w:nsid w:val="2EF32EA6"/>
    <w:multiLevelType w:val="hybridMultilevel"/>
    <w:lvl w:ilvl="0">
      <w:lvlJc w:val="left"/>
      <w:lvlText w:val="(%1)"/>
      <w:numFmt w:val="lowerLetter"/>
      <w:start w:val="1"/>
    </w:lvl>
  </w:abstractNum>
  <w:abstractNum w:abstractNumId="413">
    <w:nsid w:val="32766A55"/>
    <w:multiLevelType w:val="hybridMultilevel"/>
    <w:lvl w:ilvl="0">
      <w:lvlJc w:val="left"/>
      <w:lvlText w:val="(%1)"/>
      <w:numFmt w:val="lowerLetter"/>
      <w:start w:val="2"/>
    </w:lvl>
  </w:abstractNum>
  <w:abstractNum w:abstractNumId="414">
    <w:nsid w:val="22D71957"/>
    <w:multiLevelType w:val="hybridMultilevel"/>
    <w:lvl w:ilvl="0">
      <w:lvlJc w:val="left"/>
      <w:lvlText w:val="(%1)"/>
      <w:numFmt w:val="lowerLetter"/>
      <w:start w:val="1"/>
    </w:lvl>
  </w:abstractNum>
  <w:abstractNum w:abstractNumId="415">
    <w:nsid w:val="4CC1263B"/>
    <w:multiLevelType w:val="hybridMultilevel"/>
    <w:lvl w:ilvl="0">
      <w:lvlJc w:val="left"/>
      <w:lvlText w:val="%1."/>
      <w:numFmt w:val="decimal"/>
      <w:start w:val="1"/>
    </w:lvl>
  </w:abstractNum>
  <w:abstractNum w:abstractNumId="416">
    <w:nsid w:val="8BBEB1D"/>
    <w:multiLevelType w:val="hybridMultilevel"/>
    <w:lvl w:ilvl="0">
      <w:lvlJc w:val="left"/>
      <w:lvlText w:val="(%1)"/>
      <w:numFmt w:val="lowerLetter"/>
      <w:start w:val="1"/>
    </w:lvl>
  </w:abstractNum>
  <w:abstractNum w:abstractNumId="417">
    <w:nsid w:val="7365F1EE"/>
    <w:multiLevelType w:val="hybridMultilevel"/>
    <w:lvl w:ilvl="0">
      <w:lvlJc w:val="left"/>
      <w:lvlText w:val="(%1)"/>
      <w:numFmt w:val="lowerLetter"/>
      <w:start w:val="2"/>
    </w:lvl>
    <w:lvl w:ilvl="1">
      <w:lvlJc w:val="left"/>
      <w:lvlText w:val="(%2)"/>
      <w:numFmt w:val="lowerRoman"/>
      <w:start w:val="1"/>
    </w:lvl>
  </w:abstractNum>
  <w:abstractNum w:abstractNumId="418">
    <w:nsid w:val="37524CF0"/>
    <w:multiLevelType w:val="hybridMultilevel"/>
    <w:lvl w:ilvl="0">
      <w:lvlJc w:val="left"/>
      <w:lvlText w:val="(%1)"/>
      <w:numFmt w:val="lowerLetter"/>
      <w:start w:val="1"/>
    </w:lvl>
  </w:abstractNum>
  <w:abstractNum w:abstractNumId="419">
    <w:nsid w:val="70CC332F"/>
    <w:multiLevelType w:val="hybridMultilevel"/>
    <w:lvl w:ilvl="0">
      <w:lvlJc w:val="left"/>
      <w:lvlText w:val="(%1)"/>
      <w:numFmt w:val="lowerLetter"/>
      <w:start w:val="1"/>
    </w:lvl>
  </w:abstractNum>
  <w:abstractNum w:abstractNumId="420">
    <w:nsid w:val="5661786E"/>
    <w:multiLevelType w:val="hybridMultilevel"/>
    <w:lvl w:ilvl="0">
      <w:lvlJc w:val="left"/>
      <w:lvlText w:val="(%1)"/>
      <w:numFmt w:val="lowerLetter"/>
      <w:start w:val="3"/>
    </w:lvl>
  </w:abstractNum>
  <w:abstractNum w:abstractNumId="421">
    <w:nsid w:val="3AF6A220"/>
    <w:multiLevelType w:val="hybridMultilevel"/>
    <w:lvl w:ilvl="0">
      <w:lvlJc w:val="left"/>
      <w:lvlText w:val="(%1)"/>
      <w:numFmt w:val="lowerLetter"/>
      <w:start w:val="1"/>
    </w:lvl>
  </w:abstractNum>
  <w:abstractNum w:abstractNumId="422">
    <w:nsid w:val="3C5EA902"/>
    <w:multiLevelType w:val="hybridMultilevel"/>
    <w:lvl w:ilvl="0">
      <w:lvlJc w:val="left"/>
      <w:lvlText w:val="(%1)"/>
      <w:numFmt w:val="lowerLetter"/>
      <w:start w:val="1"/>
    </w:lvl>
  </w:abstractNum>
  <w:abstractNum w:abstractNumId="423">
    <w:nsid w:val="256E6749"/>
    <w:multiLevelType w:val="hybridMultilevel"/>
    <w:lvl w:ilvl="0">
      <w:lvlJc w:val="left"/>
      <w:lvlText w:val="(%1)"/>
      <w:numFmt w:val="lowerLetter"/>
      <w:start w:val="1"/>
    </w:lvl>
  </w:abstractNum>
  <w:abstractNum w:abstractNumId="424">
    <w:nsid w:val="1CB9A581"/>
    <w:multiLevelType w:val="hybridMultilevel"/>
    <w:lvl w:ilvl="0">
      <w:lvlJc w:val="left"/>
      <w:lvlText w:val="(%1)"/>
      <w:numFmt w:val="lowerLetter"/>
      <w:start w:val="3"/>
    </w:lvl>
  </w:abstractNum>
  <w:abstractNum w:abstractNumId="425">
    <w:nsid w:val="1F7F42E2"/>
    <w:multiLevelType w:val="hybridMultilevel"/>
    <w:lvl w:ilvl="0">
      <w:lvlJc w:val="left"/>
      <w:lvlText w:val="(%1)"/>
      <w:numFmt w:val="lowerLetter"/>
      <w:start w:val="3"/>
    </w:lvl>
  </w:abstractNum>
  <w:abstractNum w:abstractNumId="426">
    <w:nsid w:val="49D1FEA0"/>
    <w:multiLevelType w:val="hybridMultilevel"/>
    <w:lvl w:ilvl="0">
      <w:lvlJc w:val="left"/>
      <w:lvlText w:val="(%1)"/>
      <w:numFmt w:val="lowerLetter"/>
      <w:start w:val="1"/>
    </w:lvl>
  </w:abstractNum>
  <w:abstractNum w:abstractNumId="427">
    <w:nsid w:val="268CB37F"/>
    <w:multiLevelType w:val="hybridMultilevel"/>
    <w:lvl w:ilvl="0">
      <w:lvlJc w:val="left"/>
      <w:lvlText w:val="(%1)"/>
      <w:numFmt w:val="lowerLetter"/>
      <w:start w:val="1"/>
    </w:lvl>
  </w:abstractNum>
  <w:abstractNum w:abstractNumId="428">
    <w:nsid w:val="102362F8"/>
    <w:multiLevelType w:val="hybridMultilevel"/>
    <w:lvl w:ilvl="0">
      <w:lvlJc w:val="left"/>
      <w:lvlText w:val="(%1)"/>
      <w:numFmt w:val="lowerLetter"/>
      <w:start w:val="2"/>
    </w:lvl>
  </w:abstractNum>
  <w:abstractNum w:abstractNumId="429">
    <w:nsid w:val="5FEDC0E3"/>
    <w:multiLevelType w:val="hybridMultilevel"/>
    <w:lvl w:ilvl="0">
      <w:lvlJc w:val="left"/>
      <w:lvlText w:val="(%1)"/>
      <w:numFmt w:val="lowerLetter"/>
      <w:start w:val="1"/>
    </w:lvl>
  </w:abstractNum>
  <w:abstractNum w:abstractNumId="430">
    <w:nsid w:val="3D75BC47"/>
    <w:multiLevelType w:val="hybridMultilevel"/>
    <w:lvl w:ilvl="0">
      <w:lvlJc w:val="left"/>
      <w:lvlText w:val="(%1)"/>
      <w:numFmt w:val="lowerLetter"/>
      <w:start w:val="2"/>
    </w:lvl>
  </w:abstractNum>
  <w:abstractNum w:abstractNumId="431">
    <w:nsid w:val="3E30D96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32">
    <w:nsid w:val="18A35FE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Letter"/>
      <w:start w:val="9"/>
    </w:lvl>
  </w:abstractNum>
  <w:abstractNum w:abstractNumId="433">
    <w:nsid w:val="6DEF5211"/>
    <w:multiLevelType w:val="hybridMultilevel"/>
    <w:lvl w:ilvl="0">
      <w:lvlJc w:val="left"/>
      <w:lvlText w:val="%1."/>
      <w:numFmt w:val="decimal"/>
      <w:start w:val="3"/>
    </w:lvl>
  </w:abstractNum>
  <w:abstractNum w:abstractNumId="434">
    <w:nsid w:val="1112DBB6"/>
    <w:multiLevelType w:val="hybridMultilevel"/>
    <w:lvl w:ilvl="0">
      <w:lvlJc w:val="left"/>
      <w:lvlText w:val="%1."/>
      <w:numFmt w:val="upperLetter"/>
      <w:start w:val="1"/>
    </w:lvl>
  </w:abstractNum>
  <w:abstractNum w:abstractNumId="435">
    <w:nsid w:val="2586A498"/>
    <w:multiLevelType w:val="hybridMultilevel"/>
    <w:lvl w:ilvl="0">
      <w:lvlJc w:val="left"/>
      <w:lvlText w:val="%1."/>
      <w:numFmt w:val="decimal"/>
      <w:start w:val="1"/>
    </w:lvl>
  </w:abstractNum>
  <w:abstractNum w:abstractNumId="436">
    <w:nsid w:val="17A03BB9"/>
    <w:multiLevelType w:val="hybridMultilevel"/>
    <w:lvl w:ilvl="0">
      <w:lvlJc w:val="left"/>
      <w:lvlText w:val="(%1)"/>
      <w:numFmt w:val="lowerRoman"/>
      <w:start w:val="1"/>
    </w:lvl>
  </w:abstractNum>
  <w:abstractNum w:abstractNumId="437">
    <w:nsid w:val="5CA941"/>
    <w:multiLevelType w:val="hybridMultilevel"/>
    <w:lvl w:ilvl="0">
      <w:lvlJc w:val="left"/>
      <w:lvlText w:val="%1."/>
      <w:numFmt w:val="decimal"/>
      <w:start w:val="2"/>
    </w:lvl>
  </w:abstractNum>
  <w:abstractNum w:abstractNumId="438">
    <w:nsid w:val="734C7D9F"/>
    <w:multiLevelType w:val="hybridMultilevel"/>
    <w:lvl w:ilvl="0">
      <w:lvlJc w:val="left"/>
      <w:lvlText w:val="%1."/>
      <w:numFmt w:val="decimal"/>
      <w:start w:val="4"/>
    </w:lvl>
  </w:abstractNum>
  <w:abstractNum w:abstractNumId="439">
    <w:nsid w:val="24F5D018"/>
    <w:multiLevelType w:val="hybridMultilevel"/>
    <w:lvl w:ilvl="0">
      <w:lvlJc w:val="left"/>
      <w:lvlText w:val="%1."/>
      <w:numFmt w:val="decimal"/>
      <w:start w:val="5"/>
    </w:lvl>
  </w:abstractNum>
  <w:abstractNum w:abstractNumId="440">
    <w:nsid w:val="6780C122"/>
    <w:multiLevelType w:val="hybridMultilevel"/>
    <w:lvl w:ilvl="0">
      <w:lvlJc w:val="left"/>
      <w:lvlText w:val="(%1)"/>
      <w:numFmt w:val="lowerLetter"/>
      <w:start w:val="1"/>
    </w:lvl>
  </w:abstractNum>
  <w:abstractNum w:abstractNumId="441">
    <w:nsid w:val="534347A8"/>
    <w:multiLevelType w:val="hybridMultilevel"/>
    <w:lvl w:ilvl="0">
      <w:lvlJc w:val="left"/>
      <w:lvlText w:val="(%1)"/>
      <w:numFmt w:val="lowerLetter"/>
      <w:start w:val="4"/>
    </w:lvl>
  </w:abstractNum>
  <w:abstractNum w:abstractNumId="442">
    <w:nsid w:val="5800E34B"/>
    <w:multiLevelType w:val="hybridMultilevel"/>
    <w:lvl w:ilvl="0">
      <w:lvlJc w:val="left"/>
      <w:lvlText w:val="(%1)"/>
      <w:numFmt w:val="lowerLetter"/>
      <w:start w:val="1"/>
    </w:lvl>
  </w:abstractNum>
  <w:abstractNum w:abstractNumId="443">
    <w:nsid w:val="1673EFC8"/>
    <w:multiLevelType w:val="hybridMultilevel"/>
    <w:lvl w:ilvl="0">
      <w:lvlJc w:val="left"/>
      <w:lvlText w:val="(%1)"/>
      <w:numFmt w:val="lowerLetter"/>
      <w:start w:val="1"/>
    </w:lvl>
    <w:lvl w:ilvl="1">
      <w:lvlJc w:val="left"/>
      <w:lvlText w:val="(%2)"/>
      <w:numFmt w:val="lowerRoman"/>
      <w:start w:val="1"/>
    </w:lvl>
  </w:abstractNum>
  <w:abstractNum w:abstractNumId="444">
    <w:nsid w:val="5B9B1FD"/>
    <w:multiLevelType w:val="hybridMultilevel"/>
    <w:lvl w:ilvl="0">
      <w:lvlJc w:val="left"/>
      <w:lvlText w:val="(%1)"/>
      <w:numFmt w:val="lowerRoman"/>
      <w:start w:val="4"/>
    </w:lvl>
  </w:abstractNum>
  <w:abstractNum w:abstractNumId="445">
    <w:nsid w:val="7AD7FCA2"/>
    <w:multiLevelType w:val="hybridMultilevel"/>
    <w:lvl w:ilvl="0">
      <w:lvlJc w:val="left"/>
      <w:lvlText w:val="(%1)"/>
      <w:numFmt w:val="decimal"/>
      <w:start w:val="30"/>
    </w:lvl>
    <w:lvl w:ilvl="1">
      <w:lvlJc w:val="left"/>
      <w:lvlText w:val="(%2)"/>
      <w:numFmt w:val="lowerLetter"/>
      <w:start w:val="2"/>
    </w:lvl>
  </w:abstractNum>
  <w:abstractNum w:abstractNumId="446">
    <w:nsid w:val="63351604"/>
    <w:multiLevelType w:val="hybridMultilevel"/>
    <w:lvl w:ilvl="0">
      <w:lvlJc w:val="left"/>
      <w:lvlText w:val="(%1)"/>
      <w:numFmt w:val="lowerRoman"/>
      <w:start w:val="1"/>
    </w:lvl>
  </w:abstractNum>
  <w:abstractNum w:abstractNumId="447">
    <w:nsid w:val="E759D1A"/>
    <w:multiLevelType w:val="hybridMultilevel"/>
    <w:lvl w:ilvl="0">
      <w:lvlJc w:val="left"/>
      <w:lvlText w:val="(%1)"/>
      <w:numFmt w:val="lowerRoman"/>
      <w:start w:val="2"/>
    </w:lvl>
  </w:abstractNum>
  <w:abstractNum w:abstractNumId="448">
    <w:nsid w:val="6E3DEE90"/>
    <w:multiLevelType w:val="hybridMultilevel"/>
    <w:lvl w:ilvl="0">
      <w:lvlJc w:val="left"/>
      <w:lvlText w:val="(%1)"/>
      <w:numFmt w:val="lowerRoman"/>
      <w:start w:val="10"/>
    </w:lvl>
  </w:abstractNum>
  <w:abstractNum w:abstractNumId="449">
    <w:nsid w:val="1A8762F4"/>
    <w:multiLevelType w:val="hybridMultilevel"/>
    <w:lvl w:ilvl="0">
      <w:lvlJc w:val="left"/>
      <w:lvlText w:val="(%1)"/>
      <w:numFmt w:val="lowerLetter"/>
      <w:start w:val="1"/>
    </w:lvl>
  </w:abstractNum>
  <w:abstractNum w:abstractNumId="450">
    <w:nsid w:val="7F41D049"/>
    <w:multiLevelType w:val="hybridMultilevel"/>
    <w:lvl w:ilvl="0">
      <w:lvlJc w:val="left"/>
      <w:lvlText w:val="%1"/>
      <w:numFmt w:val="decimal"/>
      <w:start w:val="1"/>
    </w:lvl>
    <w:lvl w:ilvl="1">
      <w:lvlJc w:val="left"/>
      <w:lvlText w:val="(%2)"/>
      <w:numFmt w:val="lowerLetter"/>
      <w:start w:val="2"/>
    </w:lvl>
  </w:abstractNum>
  <w:abstractNum w:abstractNumId="451">
    <w:nsid w:val="449F66FE"/>
    <w:multiLevelType w:val="hybridMultilevel"/>
    <w:lvl w:ilvl="0">
      <w:lvlJc w:val="left"/>
      <w:lvlText w:val="%1."/>
      <w:numFmt w:val="decimal"/>
      <w:start w:val="6"/>
    </w:lvl>
    <w:lvl w:ilvl="1">
      <w:lvlJc w:val="left"/>
      <w:lvlText w:val="%2"/>
      <w:numFmt w:val="lowerLetter"/>
      <w:start w:val="1"/>
    </w:lvl>
  </w:abstractNum>
  <w:abstractNum w:abstractNumId="452">
    <w:nsid w:val="557E0515"/>
    <w:multiLevelType w:val="hybridMultilevel"/>
    <w:lvl w:ilvl="0">
      <w:lvlJc w:val="left"/>
      <w:lvlText w:val="%1."/>
      <w:numFmt w:val="decimal"/>
      <w:start w:val="7"/>
    </w:lvl>
  </w:abstractNum>
  <w:abstractNum w:abstractNumId="453">
    <w:nsid w:val="3BA0794B"/>
    <w:multiLevelType w:val="hybridMultilevel"/>
    <w:lvl w:ilvl="0">
      <w:lvlJc w:val="left"/>
      <w:lvlText w:val="%1."/>
      <w:numFmt w:val="decimal"/>
      <w:start w:val="10"/>
    </w:lvl>
  </w:abstractNum>
  <w:abstractNum w:abstractNumId="454">
    <w:nsid w:val="6A0DCE48"/>
    <w:multiLevelType w:val="hybridMultilevel"/>
    <w:lvl w:ilvl="0">
      <w:lvlJc w:val="left"/>
      <w:lvlText w:val="%1."/>
      <w:numFmt w:val="decimal"/>
      <w:start w:val="15"/>
    </w:lvl>
  </w:abstractNum>
  <w:abstractNum w:abstractNumId="455">
    <w:nsid w:val="7237AA96"/>
    <w:multiLevelType w:val="hybridMultilevel"/>
    <w:lvl w:ilvl="0">
      <w:lvlJc w:val="left"/>
      <w:lvlText w:val="%1."/>
      <w:numFmt w:val="decimal"/>
      <w:start w:val="18"/>
    </w:lvl>
  </w:abstractNum>
  <w:abstractNum w:abstractNumId="456">
    <w:nsid w:val="5B1FBC2D"/>
    <w:multiLevelType w:val="hybridMultilevel"/>
    <w:lvl w:ilvl="0">
      <w:lvlJc w:val="left"/>
      <w:lvlText w:val="%1."/>
      <w:numFmt w:val="decimal"/>
      <w:start w:val="19"/>
    </w:lvl>
  </w:abstractNum>
  <w:abstractNum w:abstractNumId="457">
    <w:nsid w:val="33DFCCE8"/>
    <w:multiLevelType w:val="hybridMultilevel"/>
    <w:lvl w:ilvl="0">
      <w:lvlJc w:val="left"/>
      <w:lvlText w:val="%1."/>
      <w:numFmt w:val="decimal"/>
      <w:start w:val="20"/>
    </w:lvl>
  </w:abstractNum>
  <w:abstractNum w:abstractNumId="458">
    <w:nsid w:val="18C45E15"/>
    <w:multiLevelType w:val="hybridMultilevel"/>
    <w:lvl w:ilvl="0">
      <w:lvlJc w:val="left"/>
      <w:lvlText w:val="%1."/>
      <w:numFmt w:val="decimal"/>
      <w:start w:val="1"/>
    </w:lvl>
  </w:abstractNum>
  <w:abstractNum w:abstractNumId="459">
    <w:nsid w:val="6B431F25"/>
    <w:multiLevelType w:val="hybridMultilevel"/>
    <w:lvl w:ilvl="0">
      <w:lvlJc w:val="left"/>
      <w:lvlText w:val="%1."/>
      <w:numFmt w:val="decimal"/>
      <w:start w:val="3"/>
    </w:lvl>
    <w:lvl w:ilvl="1">
      <w:lvlJc w:val="left"/>
      <w:lvlText w:val="(%2)"/>
      <w:numFmt w:val="lowerLetter"/>
      <w:start w:val="1"/>
    </w:lvl>
  </w:abstractNum>
  <w:abstractNum w:abstractNumId="460">
    <w:nsid w:val="13CD8DCB"/>
    <w:multiLevelType w:val="hybridMultilevel"/>
    <w:lvl w:ilvl="0">
      <w:lvlJc w:val="left"/>
      <w:lvlText w:val="(%1)"/>
      <w:numFmt w:val="lowerLetter"/>
      <w:start w:val="2"/>
    </w:lvl>
  </w:abstractNum>
  <w:abstractNum w:abstractNumId="461">
    <w:nsid w:val="563A1A5C"/>
    <w:multiLevelType w:val="hybridMultilevel"/>
    <w:lvl w:ilvl="0">
      <w:lvlJc w:val="left"/>
      <w:lvlText w:val="%1"/>
      <w:numFmt w:val="lowerLetter"/>
      <w:start w:val="1"/>
    </w:lvl>
    <w:lvl w:ilvl="1">
      <w:lvlJc w:val="left"/>
      <w:lvlText w:val="(%2)"/>
      <w:numFmt w:val="lowerLetter"/>
      <w:start w:val="3"/>
    </w:lvl>
  </w:abstractNum>
  <w:abstractNum w:abstractNumId="462">
    <w:nsid w:val="2973F88F"/>
    <w:multiLevelType w:val="hybridMultilevel"/>
    <w:lvl w:ilvl="0">
      <w:lvlJc w:val="left"/>
      <w:lvlText w:val="(%1)"/>
      <w:numFmt w:val="lowerLetter"/>
      <w:start w:val="61"/>
    </w:lvl>
    <w:lvl w:ilvl="1">
      <w:lvlJc w:val="left"/>
      <w:lvlText w:val="%2"/>
      <w:numFmt w:val="lowerLetter"/>
      <w:start w:val="1"/>
    </w:lvl>
  </w:abstractNum>
  <w:abstractNum w:abstractNumId="463">
    <w:nsid w:val="2C70EDA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464">
    <w:nsid w:val="44296C6D"/>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465">
    <w:nsid w:val="3A86D44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466">
    <w:nsid w:val="51F79246"/>
    <w:multiLevelType w:val="hybridMultilevel"/>
    <w:lvl w:ilvl="0">
      <w:lvlJc w:val="left"/>
      <w:lvlText w:val="%1."/>
      <w:numFmt w:val="decimal"/>
      <w:start w:val="6"/>
    </w:lvl>
  </w:abstractNum>
  <w:abstractNum w:abstractNumId="467">
    <w:nsid w:val="5BC9A827"/>
    <w:multiLevelType w:val="hybridMultilevel"/>
    <w:lvl w:ilvl="0">
      <w:lvlJc w:val="left"/>
      <w:lvlText w:val="%1."/>
      <w:numFmt w:val="upperLetter"/>
      <w:start w:val="1"/>
    </w:lvl>
  </w:abstractNum>
  <w:abstractNum w:abstractNumId="468">
    <w:nsid w:val="3AE37D86"/>
    <w:multiLevelType w:val="hybridMultilevel"/>
    <w:lvl w:ilvl="0">
      <w:lvlJc w:val="left"/>
      <w:lvlText w:val="%1."/>
      <w:numFmt w:val="decimal"/>
      <w:start w:val="1"/>
    </w:lvl>
  </w:abstractNum>
  <w:abstractNum w:abstractNumId="469">
    <w:nsid w:val="45440FE5"/>
    <w:multiLevelType w:val="hybridMultilevel"/>
    <w:lvl w:ilvl="0">
      <w:lvlJc w:val="left"/>
      <w:lvlText w:val="(%1)"/>
      <w:numFmt w:val="lowerRoman"/>
      <w:start w:val="1"/>
    </w:lvl>
  </w:abstractNum>
  <w:abstractNum w:abstractNumId="470">
    <w:nsid w:val="BF783F"/>
    <w:multiLevelType w:val="hybridMultilevel"/>
    <w:lvl w:ilvl="0">
      <w:lvlJc w:val="left"/>
      <w:lvlText w:val="%1."/>
      <w:numFmt w:val="decimal"/>
      <w:start w:val="2"/>
    </w:lvl>
  </w:abstractNum>
  <w:abstractNum w:abstractNumId="471">
    <w:nsid w:val="22643EA9"/>
    <w:multiLevelType w:val="hybridMultilevel"/>
    <w:lvl w:ilvl="0">
      <w:lvlJc w:val="left"/>
      <w:lvlText w:val="%1."/>
      <w:numFmt w:val="decimal"/>
      <w:start w:val="4"/>
    </w:lvl>
  </w:abstractNum>
  <w:abstractNum w:abstractNumId="472">
    <w:nsid w:val="1887578D"/>
    <w:multiLevelType w:val="hybridMultilevel"/>
    <w:lvl w:ilvl="0">
      <w:lvlJc w:val="left"/>
      <w:lvlText w:val="%1."/>
      <w:numFmt w:val="decimal"/>
      <w:start w:val="5"/>
    </w:lvl>
  </w:abstractNum>
  <w:abstractNum w:abstractNumId="473">
    <w:nsid w:val="58C05B8A"/>
    <w:multiLevelType w:val="hybridMultilevel"/>
    <w:lvl w:ilvl="0">
      <w:lvlJc w:val="left"/>
      <w:lvlText w:val="(%1)"/>
      <w:numFmt w:val="lowerLetter"/>
      <w:start w:val="1"/>
    </w:lvl>
  </w:abstractNum>
  <w:abstractNum w:abstractNumId="474">
    <w:nsid w:val="38D82E71"/>
    <w:multiLevelType w:val="hybridMultilevel"/>
    <w:lvl w:ilvl="0">
      <w:lvlJc w:val="left"/>
      <w:lvlText w:val="(%1)"/>
      <w:numFmt w:val="lowerLetter"/>
      <w:start w:val="4"/>
    </w:lvl>
  </w:abstractNum>
  <w:abstractNum w:abstractNumId="475">
    <w:nsid w:val="1E41098A"/>
    <w:multiLevelType w:val="hybridMultilevel"/>
    <w:lvl w:ilvl="0">
      <w:lvlJc w:val="left"/>
      <w:lvlText w:val="(%1)"/>
      <w:numFmt w:val="lowerLetter"/>
      <w:start w:val="1"/>
    </w:lvl>
  </w:abstractNum>
  <w:abstractNum w:abstractNumId="476">
    <w:nsid w:val="5398582C"/>
    <w:multiLevelType w:val="hybridMultilevel"/>
    <w:lvl w:ilvl="0">
      <w:lvlJc w:val="left"/>
      <w:lvlText w:val="(%1)"/>
      <w:numFmt w:val="lowerLetter"/>
      <w:start w:val="1"/>
    </w:lvl>
    <w:lvl w:ilvl="1">
      <w:lvlJc w:val="left"/>
      <w:lvlText w:val="(%2)"/>
      <w:numFmt w:val="lowerRoman"/>
      <w:start w:val="1"/>
    </w:lvl>
  </w:abstractNum>
  <w:abstractNum w:abstractNumId="477">
    <w:nsid w:val="1C0D4475"/>
    <w:multiLevelType w:val="hybridMultilevel"/>
    <w:lvl w:ilvl="0">
      <w:lvlJc w:val="left"/>
      <w:lvlText w:val="(%1)"/>
      <w:numFmt w:val="lowerRoman"/>
      <w:start w:val="4"/>
    </w:lvl>
  </w:abstractNum>
  <w:abstractNum w:abstractNumId="478">
    <w:nsid w:val="2CB6A6A4"/>
    <w:multiLevelType w:val="hybridMultilevel"/>
    <w:lvl w:ilvl="0">
      <w:lvlJc w:val="left"/>
      <w:lvlText w:val="(%1)"/>
      <w:numFmt w:val="decimal"/>
      <w:start w:val="30"/>
    </w:lvl>
    <w:lvl w:ilvl="1">
      <w:lvlJc w:val="left"/>
      <w:lvlText w:val="(%2)"/>
      <w:numFmt w:val="lowerLetter"/>
      <w:start w:val="2"/>
    </w:lvl>
  </w:abstractNum>
  <w:abstractNum w:abstractNumId="479">
    <w:nsid w:val="41D646BC"/>
    <w:multiLevelType w:val="hybridMultilevel"/>
    <w:lvl w:ilvl="0">
      <w:lvlJc w:val="left"/>
      <w:lvlText w:val="(%1)"/>
      <w:numFmt w:val="lowerRoman"/>
      <w:start w:val="1"/>
    </w:lvl>
  </w:abstractNum>
  <w:abstractNum w:abstractNumId="480">
    <w:nsid w:val="3694A76A"/>
    <w:multiLevelType w:val="hybridMultilevel"/>
    <w:lvl w:ilvl="0">
      <w:lvlJc w:val="left"/>
      <w:lvlText w:val="(%1)"/>
      <w:numFmt w:val="lowerRoman"/>
      <w:start w:val="2"/>
    </w:lvl>
  </w:abstractNum>
  <w:abstractNum w:abstractNumId="481">
    <w:nsid w:val="2BF876EE"/>
    <w:multiLevelType w:val="hybridMultilevel"/>
    <w:lvl w:ilvl="0">
      <w:lvlJc w:val="left"/>
      <w:lvlText w:val="(%1)"/>
      <w:numFmt w:val="lowerRoman"/>
      <w:start w:val="10"/>
    </w:lvl>
  </w:abstractNum>
  <w:abstractNum w:abstractNumId="482">
    <w:nsid w:val="675ADBA"/>
    <w:multiLevelType w:val="hybridMultilevel"/>
    <w:lvl w:ilvl="0">
      <w:lvlJc w:val="left"/>
      <w:lvlText w:val="(%1)"/>
      <w:numFmt w:val="lowerLetter"/>
      <w:start w:val="1"/>
    </w:lvl>
  </w:abstractNum>
  <w:abstractNum w:abstractNumId="483">
    <w:nsid w:val="C12AC7F"/>
    <w:multiLevelType w:val="hybridMultilevel"/>
    <w:lvl w:ilvl="0">
      <w:lvlJc w:val="left"/>
      <w:lvlText w:val="%1"/>
      <w:numFmt w:val="decimal"/>
      <w:start w:val="1"/>
    </w:lvl>
    <w:lvl w:ilvl="1">
      <w:lvlJc w:val="left"/>
      <w:lvlText w:val="(%2)"/>
      <w:numFmt w:val="lowerLetter"/>
      <w:start w:val="2"/>
    </w:lvl>
  </w:abstractNum>
  <w:abstractNum w:abstractNumId="484">
    <w:nsid w:val="6798F039"/>
    <w:multiLevelType w:val="hybridMultilevel"/>
    <w:lvl w:ilvl="0">
      <w:lvlJc w:val="left"/>
      <w:lvlText w:val="%1."/>
      <w:numFmt w:val="decimal"/>
      <w:start w:val="6"/>
    </w:lvl>
    <w:lvl w:ilvl="1">
      <w:lvlJc w:val="left"/>
      <w:lvlText w:val="%2"/>
      <w:numFmt w:val="lowerLetter"/>
      <w:start w:val="1"/>
    </w:lvl>
  </w:abstractNum>
  <w:abstractNum w:abstractNumId="485">
    <w:nsid w:val="70837C02"/>
    <w:multiLevelType w:val="hybridMultilevel"/>
    <w:lvl w:ilvl="0">
      <w:lvlJc w:val="left"/>
      <w:lvlText w:val="%1."/>
      <w:numFmt w:val="decimal"/>
      <w:start w:val="7"/>
    </w:lvl>
  </w:abstractNum>
  <w:abstractNum w:abstractNumId="486">
    <w:nsid w:val="7E4A5715"/>
    <w:multiLevelType w:val="hybridMultilevel"/>
    <w:lvl w:ilvl="0">
      <w:lvlJc w:val="left"/>
      <w:lvlText w:val="%1."/>
      <w:numFmt w:val="decimal"/>
      <w:start w:val="10"/>
    </w:lvl>
  </w:abstractNum>
  <w:abstractNum w:abstractNumId="487">
    <w:nsid w:val="42B8AC67"/>
    <w:multiLevelType w:val="hybridMultilevel"/>
    <w:lvl w:ilvl="0">
      <w:lvlJc w:val="left"/>
      <w:lvlText w:val="%1."/>
      <w:numFmt w:val="decimal"/>
      <w:start w:val="15"/>
    </w:lvl>
  </w:abstractNum>
  <w:abstractNum w:abstractNumId="488">
    <w:nsid w:val="246348EA"/>
    <w:multiLevelType w:val="hybridMultilevel"/>
    <w:lvl w:ilvl="0">
      <w:lvlJc w:val="left"/>
      <w:lvlText w:val="%1."/>
      <w:numFmt w:val="decimal"/>
      <w:start w:val="18"/>
    </w:lvl>
  </w:abstractNum>
  <w:abstractNum w:abstractNumId="489">
    <w:nsid w:val="170EB52B"/>
    <w:multiLevelType w:val="hybridMultilevel"/>
    <w:lvl w:ilvl="0">
      <w:lvlJc w:val="left"/>
      <w:lvlText w:val="%1."/>
      <w:numFmt w:val="decimal"/>
      <w:start w:val="19"/>
    </w:lvl>
  </w:abstractNum>
  <w:abstractNum w:abstractNumId="490">
    <w:nsid w:val="2DFBCB8C"/>
    <w:multiLevelType w:val="hybridMultilevel"/>
    <w:lvl w:ilvl="0">
      <w:lvlJc w:val="left"/>
      <w:lvlText w:val="%1."/>
      <w:numFmt w:val="decimal"/>
      <w:start w:val="20"/>
    </w:lvl>
  </w:abstractNum>
  <w:abstractNum w:abstractNumId="491">
    <w:nsid w:val="3830D6B6"/>
    <w:multiLevelType w:val="hybridMultilevel"/>
    <w:lvl w:ilvl="0">
      <w:lvlJc w:val="left"/>
      <w:lvlText w:val="%1."/>
      <w:numFmt w:val="decimal"/>
      <w:start w:val="1"/>
    </w:lvl>
    <w:lvl w:ilvl="1">
      <w:lvlJc w:val="left"/>
      <w:lvlText w:val="(%2)"/>
      <w:numFmt w:val="lowerLetter"/>
      <w:start w:val="1"/>
    </w:lvl>
  </w:abstractNum>
  <w:abstractNum w:abstractNumId="492">
    <w:nsid w:val="6D48CF87"/>
    <w:multiLevelType w:val="hybridMultilevel"/>
    <w:lvl w:ilvl="0">
      <w:lvlJc w:val="left"/>
      <w:lvlText w:val="(%1)"/>
      <w:numFmt w:val="lowerLetter"/>
      <w:start w:val="2"/>
    </w:lvl>
  </w:abstractNum>
  <w:abstractNum w:abstractNumId="493">
    <w:nsid w:val="576FC41B"/>
    <w:multiLevelType w:val="hybridMultilevel"/>
    <w:lvl w:ilvl="0">
      <w:lvlJc w:val="left"/>
      <w:lvlText w:val="%1"/>
      <w:numFmt w:val="lowerLetter"/>
      <w:start w:val="1"/>
    </w:lvl>
    <w:lvl w:ilvl="1">
      <w:lvlJc w:val="left"/>
      <w:lvlText w:val="(%2)"/>
      <w:numFmt w:val="lowerLetter"/>
      <w:start w:val="3"/>
    </w:lvl>
  </w:abstractNum>
  <w:abstractNum w:abstractNumId="494">
    <w:nsid w:val="64A1C464"/>
    <w:multiLevelType w:val="hybridMultilevel"/>
    <w:lvl w:ilvl="0">
      <w:lvlJc w:val="left"/>
      <w:lvlText w:val="(%1)"/>
      <w:numFmt w:val="lowerLetter"/>
      <w:start w:val="61"/>
    </w:lvl>
    <w:lvl w:ilvl="1">
      <w:lvlJc w:val="left"/>
      <w:lvlText w:val="%2"/>
      <w:numFmt w:val="lowerLetter"/>
      <w:start w:val="1"/>
    </w:lvl>
  </w:abstractNum>
  <w:abstractNum w:abstractNumId="495">
    <w:nsid w:val="31723BF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496">
    <w:nsid w:val="11F69861"/>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497">
    <w:nsid w:val="369956A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498">
    <w:nsid w:val="D3BE41C"/>
    <w:multiLevelType w:val="hybridMultilevel"/>
    <w:lvl w:ilvl="0">
      <w:lvlJc w:val="left"/>
      <w:lvlText w:val="%1."/>
      <w:numFmt w:val="decimal"/>
      <w:start w:val="6"/>
    </w:lvl>
  </w:abstractNum>
  <w:abstractNum w:abstractNumId="499">
    <w:nsid w:val="4CDA15E7"/>
    <w:multiLevelType w:val="hybridMultilevel"/>
    <w:lvl w:ilvl="0">
      <w:lvlJc w:val="left"/>
      <w:lvlText w:val="%1."/>
      <w:numFmt w:val="upperLetter"/>
      <w:start w:val="1"/>
    </w:lvl>
  </w:abstractNum>
  <w:abstractNum w:abstractNumId="500">
    <w:nsid w:val="7BDD6690"/>
    <w:multiLevelType w:val="hybridMultilevel"/>
    <w:lvl w:ilvl="0">
      <w:lvlJc w:val="left"/>
      <w:lvlText w:val="%1."/>
      <w:numFmt w:val="decimal"/>
      <w:start w:val="1"/>
    </w:lvl>
  </w:abstractNum>
  <w:abstractNum w:abstractNumId="501">
    <w:nsid w:val="DFB5C5B"/>
    <w:multiLevelType w:val="hybridMultilevel"/>
    <w:lvl w:ilvl="0">
      <w:lvlJc w:val="left"/>
      <w:lvlText w:val="%1."/>
      <w:numFmt w:val="decimal"/>
      <w:start w:val="2"/>
    </w:lvl>
  </w:abstractNum>
  <w:abstractNum w:abstractNumId="502">
    <w:nsid w:val="6F3E5490"/>
    <w:multiLevelType w:val="hybridMultilevel"/>
    <w:lvl w:ilvl="0">
      <w:lvlJc w:val="left"/>
      <w:lvlText w:val="%1."/>
      <w:numFmt w:val="decimal"/>
      <w:start w:val="4"/>
    </w:lvl>
  </w:abstractNum>
  <w:abstractNum w:abstractNumId="503">
    <w:nsid w:val="1464BE1E"/>
    <w:multiLevelType w:val="hybridMultilevel"/>
    <w:lvl w:ilvl="0">
      <w:lvlJc w:val="left"/>
      <w:lvlText w:val="%1."/>
      <w:numFmt w:val="decimal"/>
      <w:start w:val="5"/>
    </w:lvl>
  </w:abstractNum>
  <w:abstractNum w:abstractNumId="504">
    <w:nsid w:val="66BBB7E5"/>
    <w:multiLevelType w:val="hybridMultilevel"/>
    <w:lvl w:ilvl="0">
      <w:lvlJc w:val="left"/>
      <w:lvlText w:val="(%1)"/>
      <w:numFmt w:val="lowerRoman"/>
      <w:start w:val="2"/>
    </w:lvl>
  </w:abstractNum>
  <w:abstractNum w:abstractNumId="505">
    <w:nsid w:val="28168302"/>
    <w:multiLevelType w:val="hybridMultilevel"/>
    <w:lvl w:ilvl="0">
      <w:lvlJc w:val="left"/>
      <w:lvlText w:val="(%1)"/>
      <w:numFmt w:val="lowerLetter"/>
      <w:start w:val="1"/>
    </w:lvl>
  </w:abstractNum>
  <w:abstractNum w:abstractNumId="506">
    <w:nsid w:val="32A5C7A8"/>
    <w:multiLevelType w:val="hybridMultilevel"/>
    <w:lvl w:ilvl="0">
      <w:lvlJc w:val="left"/>
      <w:lvlText w:val="(%1)"/>
      <w:numFmt w:val="lowerLetter"/>
      <w:start w:val="4"/>
    </w:lvl>
  </w:abstractNum>
  <w:abstractNum w:abstractNumId="507">
    <w:nsid w:val="3A541011"/>
    <w:multiLevelType w:val="hybridMultilevel"/>
    <w:lvl w:ilvl="0">
      <w:lvlJc w:val="left"/>
      <w:lvlText w:val="(%1)"/>
      <w:numFmt w:val="lowerLetter"/>
      <w:start w:val="1"/>
    </w:lvl>
  </w:abstractNum>
  <w:abstractNum w:abstractNumId="508">
    <w:nsid w:val="4423C777"/>
    <w:multiLevelType w:val="hybridMultilevel"/>
    <w:lvl w:ilvl="0">
      <w:lvlJc w:val="left"/>
      <w:lvlText w:val="(%1)"/>
      <w:numFmt w:val="lowerLetter"/>
      <w:start w:val="1"/>
    </w:lvl>
    <w:lvl w:ilvl="1">
      <w:lvlJc w:val="left"/>
      <w:lvlText w:val="(%2)"/>
      <w:numFmt w:val="lowerRoman"/>
      <w:start w:val="1"/>
    </w:lvl>
  </w:abstractNum>
  <w:abstractNum w:abstractNumId="509">
    <w:nsid w:val="5F5C6E4D"/>
    <w:multiLevelType w:val="hybridMultilevel"/>
    <w:lvl w:ilvl="0">
      <w:lvlJc w:val="left"/>
      <w:lvlText w:val="(%1)"/>
      <w:numFmt w:val="lowerRoman"/>
      <w:start w:val="4"/>
    </w:lvl>
  </w:abstractNum>
  <w:abstractNum w:abstractNumId="510">
    <w:nsid w:val="7C2A56CD"/>
    <w:multiLevelType w:val="hybridMultilevel"/>
    <w:lvl w:ilvl="0">
      <w:lvlJc w:val="left"/>
      <w:lvlText w:val="(%1)"/>
      <w:numFmt w:val="decimal"/>
      <w:start w:val="30"/>
    </w:lvl>
    <w:lvl w:ilvl="1">
      <w:lvlJc w:val="left"/>
      <w:lvlText w:val="(%2)"/>
      <w:numFmt w:val="lowerRoman"/>
    </w:lvl>
    <w:lvl w:ilvl="2">
      <w:lvlJc w:val="left"/>
      <w:lvlText w:val="(%3)"/>
      <w:numFmt w:val="lowerLetter"/>
      <w:start w:val="2"/>
    </w:lvl>
  </w:abstractNum>
  <w:abstractNum w:abstractNumId="511">
    <w:nsid w:val="7AB86EE1"/>
    <w:multiLevelType w:val="hybridMultilevel"/>
    <w:lvl w:ilvl="0">
      <w:lvlJc w:val="left"/>
      <w:lvlText w:val="(%1)"/>
      <w:numFmt w:val="lowerLetter"/>
      <w:start w:val="1"/>
    </w:lvl>
  </w:abstractNum>
  <w:abstractNum w:abstractNumId="512">
    <w:nsid w:val="B54E53B"/>
    <w:multiLevelType w:val="hybridMultilevel"/>
    <w:lvl w:ilvl="0">
      <w:lvlJc w:val="left"/>
      <w:lvlText w:val="%1."/>
      <w:numFmt w:val="decimal"/>
      <w:start w:val="6"/>
    </w:lvl>
  </w:abstractNum>
  <w:abstractNum w:abstractNumId="513">
    <w:nsid w:val="2A00487"/>
    <w:multiLevelType w:val="hybridMultilevel"/>
    <w:lvl w:ilvl="0">
      <w:lvlJc w:val="left"/>
      <w:lvlText w:val="%1."/>
      <w:numFmt w:val="decimal"/>
      <w:start w:val="9"/>
    </w:lvl>
  </w:abstractNum>
  <w:abstractNum w:abstractNumId="514">
    <w:nsid w:val="6CB1B60"/>
    <w:multiLevelType w:val="hybridMultilevel"/>
    <w:lvl w:ilvl="0">
      <w:lvlJc w:val="left"/>
      <w:lvlText w:val="%1."/>
      <w:numFmt w:val="decimal"/>
      <w:start w:val="10"/>
    </w:lvl>
  </w:abstractNum>
  <w:abstractNum w:abstractNumId="515">
    <w:nsid w:val="72EDD574"/>
    <w:multiLevelType w:val="hybridMultilevel"/>
    <w:lvl w:ilvl="0">
      <w:lvlJc w:val="left"/>
      <w:lvlText w:val="%1."/>
      <w:numFmt w:val="decimal"/>
      <w:start w:val="16"/>
    </w:lvl>
  </w:abstractNum>
  <w:abstractNum w:abstractNumId="516">
    <w:nsid w:val="7323808A"/>
    <w:multiLevelType w:val="hybridMultilevel"/>
    <w:lvl w:ilvl="0">
      <w:lvlJc w:val="left"/>
      <w:lvlText w:val="%1."/>
      <w:numFmt w:val="decimal"/>
      <w:start w:val="18"/>
    </w:lvl>
  </w:abstractNum>
  <w:abstractNum w:abstractNumId="517">
    <w:nsid w:val="5157276"/>
    <w:multiLevelType w:val="hybridMultilevel"/>
    <w:lvl w:ilvl="0">
      <w:lvlJc w:val="left"/>
      <w:lvlText w:val="%1."/>
      <w:numFmt w:val="decimal"/>
      <w:start w:val="19"/>
    </w:lvl>
  </w:abstractNum>
  <w:abstractNum w:abstractNumId="518">
    <w:nsid w:val="35A681DB"/>
    <w:multiLevelType w:val="hybridMultilevel"/>
    <w:lvl w:ilvl="0">
      <w:lvlJc w:val="left"/>
      <w:lvlText w:val="%1."/>
      <w:numFmt w:val="decimal"/>
      <w:start w:val="21"/>
    </w:lvl>
  </w:abstractNum>
  <w:abstractNum w:abstractNumId="519">
    <w:nsid w:val="1786C974"/>
    <w:multiLevelType w:val="hybridMultilevel"/>
    <w:lvl w:ilvl="0">
      <w:lvlJc w:val="left"/>
      <w:lvlText w:val="%1."/>
      <w:numFmt w:val="decimal"/>
      <w:start w:val="1"/>
    </w:lvl>
  </w:abstractNum>
  <w:abstractNum w:abstractNumId="520">
    <w:nsid w:val="1C2427A1"/>
    <w:multiLevelType w:val="hybridMultilevel"/>
    <w:lvl w:ilvl="0">
      <w:lvlJc w:val="left"/>
      <w:lvlText w:val="%1."/>
      <w:numFmt w:val="decimal"/>
      <w:start w:val="3"/>
    </w:lvl>
    <w:lvl w:ilvl="1">
      <w:lvlJc w:val="left"/>
      <w:lvlText w:val="(%2)"/>
      <w:numFmt w:val="lowerLetter"/>
      <w:start w:val="1"/>
    </w:lvl>
  </w:abstractNum>
  <w:abstractNum w:abstractNumId="521">
    <w:nsid w:val="63A24D68"/>
    <w:multiLevelType w:val="hybridMultilevel"/>
    <w:lvl w:ilvl="0">
      <w:lvlJc w:val="left"/>
      <w:lvlText w:val="(%1)"/>
      <w:numFmt w:val="lowerLetter"/>
      <w:start w:val="2"/>
    </w:lvl>
  </w:abstractNum>
  <w:abstractNum w:abstractNumId="522">
    <w:nsid w:val="4FB7A02A"/>
    <w:multiLevelType w:val="hybridMultilevel"/>
    <w:lvl w:ilvl="0">
      <w:lvlJc w:val="left"/>
      <w:lvlText w:val="(%1)"/>
      <w:numFmt w:val="lowerLetter"/>
      <w:start w:val="3"/>
    </w:lvl>
  </w:abstractNum>
  <w:abstractNum w:abstractNumId="523">
    <w:nsid w:val="96CF72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524">
    <w:nsid w:val="3B121183"/>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525">
    <w:nsid w:val="3459648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526">
    <w:nsid w:val="3ADF331D"/>
    <w:multiLevelType w:val="hybridMultilevel"/>
    <w:lvl w:ilvl="0">
      <w:lvlJc w:val="left"/>
      <w:lvlText w:val="%1."/>
      <w:numFmt w:val="decimal"/>
      <w:start w:val="6"/>
    </w:lvl>
  </w:abstractNum>
  <w:abstractNum w:abstractNumId="527">
    <w:nsid w:val="4D08A9E4"/>
    <w:multiLevelType w:val="hybridMultilevel"/>
    <w:lvl w:ilvl="0">
      <w:lvlJc w:val="left"/>
      <w:lvlText w:val="%1."/>
      <w:numFmt w:val="decimal"/>
      <w:start w:val="1"/>
    </w:lvl>
  </w:abstractNum>
  <w:abstractNum w:abstractNumId="528">
    <w:nsid w:val="6AF2BB3A"/>
    <w:multiLevelType w:val="hybridMultilevel"/>
    <w:lvl w:ilvl="0">
      <w:lvlJc w:val="left"/>
      <w:lvlText w:val="%1."/>
      <w:numFmt w:val="decimal"/>
      <w:start w:val="2"/>
    </w:lvl>
  </w:abstractNum>
  <w:abstractNum w:abstractNumId="529">
    <w:nsid w:val="481B1739"/>
    <w:multiLevelType w:val="hybridMultilevel"/>
    <w:lvl w:ilvl="0">
      <w:lvlJc w:val="left"/>
      <w:lvlText w:val="%1."/>
      <w:numFmt w:val="decimal"/>
      <w:start w:val="5"/>
    </w:lvl>
  </w:abstractNum>
  <w:abstractNum w:abstractNumId="530">
    <w:nsid w:val="19E2BFCC"/>
    <w:multiLevelType w:val="hybridMultilevel"/>
    <w:lvl w:ilvl="0">
      <w:lvlJc w:val="left"/>
      <w:lvlText w:val="%1."/>
      <w:numFmt w:val="decimal"/>
      <w:start w:val="6"/>
    </w:lvl>
  </w:abstractNum>
  <w:abstractNum w:abstractNumId="531">
    <w:nsid w:val="66D021CA"/>
    <w:multiLevelType w:val="hybridMultilevel"/>
    <w:lvl w:ilvl="0">
      <w:lvlJc w:val="left"/>
      <w:lvlText w:val="(%1)"/>
      <w:numFmt w:val="lowerLetter"/>
      <w:start w:val="1"/>
    </w:lvl>
  </w:abstractNum>
  <w:abstractNum w:abstractNumId="532">
    <w:nsid w:val="56167394"/>
    <w:multiLevelType w:val="hybridMultilevel"/>
    <w:lvl w:ilvl="0">
      <w:lvlJc w:val="left"/>
      <w:lvlText w:val="(%1)"/>
      <w:numFmt w:val="lowerLetter"/>
      <w:start w:val="1"/>
    </w:lvl>
  </w:abstractNum>
  <w:abstractNum w:abstractNumId="533">
    <w:nsid w:val="921145C"/>
    <w:multiLevelType w:val="hybridMultilevel"/>
    <w:lvl w:ilvl="0">
      <w:lvlJc w:val="left"/>
      <w:lvlText w:val="(%1)"/>
      <w:numFmt w:val="lowerLetter"/>
      <w:start w:val="3"/>
    </w:lvl>
  </w:abstractNum>
  <w:abstractNum w:abstractNumId="534">
    <w:nsid w:val="7B34DF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62" Type="http://schemas.openxmlformats.org/officeDocument/2006/relationships/image" Target="media/image349.png"/><Relationship Id="rId380" Type="http://schemas.openxmlformats.org/officeDocument/2006/relationships/image" Target="media/image350.png"/><Relationship Id="rId381" Type="http://schemas.openxmlformats.org/officeDocument/2006/relationships/image" Target="media/image351.png"/><Relationship Id="rId382" Type="http://schemas.openxmlformats.org/officeDocument/2006/relationships/image" Target="media/image352.png"/><Relationship Id="rId383" Type="http://schemas.openxmlformats.org/officeDocument/2006/relationships/image" Target="media/image353.png"/><Relationship Id="rId384" Type="http://schemas.openxmlformats.org/officeDocument/2006/relationships/image" Target="media/image354.png"/><Relationship Id="rId385" Type="http://schemas.openxmlformats.org/officeDocument/2006/relationships/image" Target="media/image355.png"/><Relationship Id="rId386" Type="http://schemas.openxmlformats.org/officeDocument/2006/relationships/image" Target="media/image356.png"/><Relationship Id="rId387" Type="http://schemas.openxmlformats.org/officeDocument/2006/relationships/image" Target="media/image357.png"/><Relationship Id="rId388" Type="http://schemas.openxmlformats.org/officeDocument/2006/relationships/image" Target="media/image358.png"/><Relationship Id="rId389" Type="http://schemas.openxmlformats.org/officeDocument/2006/relationships/image" Target="media/image359.png"/><Relationship Id="rId390" Type="http://schemas.openxmlformats.org/officeDocument/2006/relationships/image" Target="media/image360.png"/><Relationship Id="rId391" Type="http://schemas.openxmlformats.org/officeDocument/2006/relationships/image" Target="media/image361.png"/><Relationship Id="rId392" Type="http://schemas.openxmlformats.org/officeDocument/2006/relationships/image" Target="media/image362.png"/><Relationship Id="rId393" Type="http://schemas.openxmlformats.org/officeDocument/2006/relationships/image" Target="media/image363.png"/><Relationship Id="rId394" Type="http://schemas.openxmlformats.org/officeDocument/2006/relationships/image" Target="media/image364.png"/><Relationship Id="rId395" Type="http://schemas.openxmlformats.org/officeDocument/2006/relationships/image" Target="media/image365.png"/><Relationship Id="rId396" Type="http://schemas.openxmlformats.org/officeDocument/2006/relationships/image" Target="media/image366.png"/><Relationship Id="rId397" Type="http://schemas.openxmlformats.org/officeDocument/2006/relationships/image" Target="media/image367.png"/><Relationship Id="rId398" Type="http://schemas.openxmlformats.org/officeDocument/2006/relationships/image" Target="media/image368.png"/><Relationship Id="rId399" Type="http://schemas.openxmlformats.org/officeDocument/2006/relationships/image" Target="media/image369.png"/><Relationship Id="rId400" Type="http://schemas.openxmlformats.org/officeDocument/2006/relationships/image" Target="media/image370.png"/><Relationship Id="rId401" Type="http://schemas.openxmlformats.org/officeDocument/2006/relationships/image" Target="media/image371.png"/><Relationship Id="rId402" Type="http://schemas.openxmlformats.org/officeDocument/2006/relationships/image" Target="media/image372.png"/><Relationship Id="rId403" Type="http://schemas.openxmlformats.org/officeDocument/2006/relationships/image" Target="media/image373.png"/><Relationship Id="rId404" Type="http://schemas.openxmlformats.org/officeDocument/2006/relationships/image" Target="media/image374.png"/><Relationship Id="rId405" Type="http://schemas.openxmlformats.org/officeDocument/2006/relationships/image" Target="media/image375.png"/><Relationship Id="rId406" Type="http://schemas.openxmlformats.org/officeDocument/2006/relationships/image" Target="media/image376.png"/><Relationship Id="rId407" Type="http://schemas.openxmlformats.org/officeDocument/2006/relationships/image" Target="media/image377.png"/><Relationship Id="rId408" Type="http://schemas.openxmlformats.org/officeDocument/2006/relationships/image" Target="media/image378.png"/><Relationship Id="rId409" Type="http://schemas.openxmlformats.org/officeDocument/2006/relationships/image" Target="media/image379.png"/><Relationship Id="rId410" Type="http://schemas.openxmlformats.org/officeDocument/2006/relationships/image" Target="media/image380.png"/><Relationship Id="rId411" Type="http://schemas.openxmlformats.org/officeDocument/2006/relationships/image" Target="media/image381.png"/><Relationship Id="rId412" Type="http://schemas.openxmlformats.org/officeDocument/2006/relationships/image" Target="media/image382.png"/><Relationship Id="rId413" Type="http://schemas.openxmlformats.org/officeDocument/2006/relationships/image" Target="media/image383.png"/><Relationship Id="rId414" Type="http://schemas.openxmlformats.org/officeDocument/2006/relationships/image" Target="media/image384.png"/><Relationship Id="rId415" Type="http://schemas.openxmlformats.org/officeDocument/2006/relationships/image" Target="media/image385.png"/><Relationship Id="rId416" Type="http://schemas.openxmlformats.org/officeDocument/2006/relationships/image" Target="media/image386.png"/><Relationship Id="rId417" Type="http://schemas.openxmlformats.org/officeDocument/2006/relationships/image" Target="media/image387.png"/><Relationship Id="rId418" Type="http://schemas.openxmlformats.org/officeDocument/2006/relationships/image" Target="media/image388.png"/><Relationship Id="rId419" Type="http://schemas.openxmlformats.org/officeDocument/2006/relationships/image" Target="media/image389.png"/><Relationship Id="rId420" Type="http://schemas.openxmlformats.org/officeDocument/2006/relationships/image" Target="media/image390.png"/><Relationship Id="rId421" Type="http://schemas.openxmlformats.org/officeDocument/2006/relationships/image" Target="media/image391.png"/><Relationship Id="rId422" Type="http://schemas.openxmlformats.org/officeDocument/2006/relationships/image" Target="media/image392.png"/><Relationship Id="rId423" Type="http://schemas.openxmlformats.org/officeDocument/2006/relationships/image" Target="media/image393.png"/><Relationship Id="rId424" Type="http://schemas.openxmlformats.org/officeDocument/2006/relationships/image" Target="media/image394.png"/><Relationship Id="rId425" Type="http://schemas.openxmlformats.org/officeDocument/2006/relationships/image" Target="media/image395.png"/><Relationship Id="rId426" Type="http://schemas.openxmlformats.org/officeDocument/2006/relationships/image" Target="media/image396.png"/><Relationship Id="rId427" Type="http://schemas.openxmlformats.org/officeDocument/2006/relationships/image" Target="media/image397.png"/><Relationship Id="rId428" Type="http://schemas.openxmlformats.org/officeDocument/2006/relationships/image" Target="media/image398.png"/><Relationship Id="rId429" Type="http://schemas.openxmlformats.org/officeDocument/2006/relationships/image" Target="media/image399.png"/><Relationship Id="rId430" Type="http://schemas.openxmlformats.org/officeDocument/2006/relationships/image" Target="media/image400.png"/><Relationship Id="rId431" Type="http://schemas.openxmlformats.org/officeDocument/2006/relationships/image" Target="media/image401.png"/><Relationship Id="rId432" Type="http://schemas.openxmlformats.org/officeDocument/2006/relationships/image" Target="media/image402.png"/><Relationship Id="rId433" Type="http://schemas.openxmlformats.org/officeDocument/2006/relationships/image" Target="media/image403.png"/><Relationship Id="rId434" Type="http://schemas.openxmlformats.org/officeDocument/2006/relationships/image" Target="media/image404.png"/><Relationship Id="rId435" Type="http://schemas.openxmlformats.org/officeDocument/2006/relationships/image" Target="media/image405.png"/><Relationship Id="rId436" Type="http://schemas.openxmlformats.org/officeDocument/2006/relationships/image" Target="media/image406.png"/><Relationship Id="rId437" Type="http://schemas.openxmlformats.org/officeDocument/2006/relationships/image" Target="media/image407.png"/><Relationship Id="rId438" Type="http://schemas.openxmlformats.org/officeDocument/2006/relationships/image" Target="media/image408.png"/><Relationship Id="rId439" Type="http://schemas.openxmlformats.org/officeDocument/2006/relationships/image" Target="media/image409.png"/><Relationship Id="rId440" Type="http://schemas.openxmlformats.org/officeDocument/2006/relationships/image" Target="media/image410.png"/><Relationship Id="rId441" Type="http://schemas.openxmlformats.org/officeDocument/2006/relationships/image" Target="media/image411.png"/><Relationship Id="rId442" Type="http://schemas.openxmlformats.org/officeDocument/2006/relationships/image" Target="media/image412.png"/><Relationship Id="rId443" Type="http://schemas.openxmlformats.org/officeDocument/2006/relationships/image" Target="media/image413.png"/><Relationship Id="rId444" Type="http://schemas.openxmlformats.org/officeDocument/2006/relationships/image" Target="media/image414.png"/><Relationship Id="rId445" Type="http://schemas.openxmlformats.org/officeDocument/2006/relationships/image" Target="media/image415.png"/><Relationship Id="rId446" Type="http://schemas.openxmlformats.org/officeDocument/2006/relationships/image" Target="media/image416.png"/><Relationship Id="rId447" Type="http://schemas.openxmlformats.org/officeDocument/2006/relationships/image" Target="media/image417.png"/><Relationship Id="rId448" Type="http://schemas.openxmlformats.org/officeDocument/2006/relationships/image" Target="media/image418.png"/><Relationship Id="rId449" Type="http://schemas.openxmlformats.org/officeDocument/2006/relationships/image" Target="media/image419.png"/><Relationship Id="rId450" Type="http://schemas.openxmlformats.org/officeDocument/2006/relationships/image" Target="media/image420.png"/><Relationship Id="rId451" Type="http://schemas.openxmlformats.org/officeDocument/2006/relationships/image" Target="media/image421.png"/><Relationship Id="rId452" Type="http://schemas.openxmlformats.org/officeDocument/2006/relationships/image" Target="media/image422.png"/><Relationship Id="rId453" Type="http://schemas.openxmlformats.org/officeDocument/2006/relationships/image" Target="media/image423.png"/><Relationship Id="rId454" Type="http://schemas.openxmlformats.org/officeDocument/2006/relationships/image" Target="media/image424.png"/><Relationship Id="rId455" Type="http://schemas.openxmlformats.org/officeDocument/2006/relationships/image" Target="media/image425.png"/><Relationship Id="rId456" Type="http://schemas.openxmlformats.org/officeDocument/2006/relationships/image" Target="media/image426.png"/><Relationship Id="rId457" Type="http://schemas.openxmlformats.org/officeDocument/2006/relationships/image" Target="media/image427.png"/><Relationship Id="rId458" Type="http://schemas.openxmlformats.org/officeDocument/2006/relationships/image" Target="media/image428.png"/><Relationship Id="rId459" Type="http://schemas.openxmlformats.org/officeDocument/2006/relationships/image" Target="media/image429.png"/><Relationship Id="rId460" Type="http://schemas.openxmlformats.org/officeDocument/2006/relationships/image" Target="media/image430.png"/><Relationship Id="rId461" Type="http://schemas.openxmlformats.org/officeDocument/2006/relationships/image" Target="media/image431.png"/><Relationship Id="rId462" Type="http://schemas.openxmlformats.org/officeDocument/2006/relationships/image" Target="media/image432.png"/><Relationship Id="rId463" Type="http://schemas.openxmlformats.org/officeDocument/2006/relationships/image" Target="media/image433.png"/><Relationship Id="rId464" Type="http://schemas.openxmlformats.org/officeDocument/2006/relationships/image" Target="media/image434.png"/><Relationship Id="rId465" Type="http://schemas.openxmlformats.org/officeDocument/2006/relationships/image" Target="media/image435.png"/><Relationship Id="rId466" Type="http://schemas.openxmlformats.org/officeDocument/2006/relationships/image" Target="media/image436.png"/><Relationship Id="rId467" Type="http://schemas.openxmlformats.org/officeDocument/2006/relationships/image" Target="media/image437.png"/><Relationship Id="rId468" Type="http://schemas.openxmlformats.org/officeDocument/2006/relationships/image" Target="media/image438.png"/><Relationship Id="rId469" Type="http://schemas.openxmlformats.org/officeDocument/2006/relationships/image" Target="media/image439.png"/><Relationship Id="rId470" Type="http://schemas.openxmlformats.org/officeDocument/2006/relationships/image" Target="media/image440.png"/><Relationship Id="rId471" Type="http://schemas.openxmlformats.org/officeDocument/2006/relationships/image" Target="media/image441.png"/><Relationship Id="rId472" Type="http://schemas.openxmlformats.org/officeDocument/2006/relationships/image" Target="media/image442.png"/><Relationship Id="rId473" Type="http://schemas.openxmlformats.org/officeDocument/2006/relationships/image" Target="media/image443.png"/><Relationship Id="rId474" Type="http://schemas.openxmlformats.org/officeDocument/2006/relationships/image" Target="media/image444.png"/><Relationship Id="rId475" Type="http://schemas.openxmlformats.org/officeDocument/2006/relationships/image" Target="media/image445.png"/><Relationship Id="rId476" Type="http://schemas.openxmlformats.org/officeDocument/2006/relationships/image" Target="media/image446.png"/><Relationship Id="rId477" Type="http://schemas.openxmlformats.org/officeDocument/2006/relationships/image" Target="media/image447.png"/><Relationship Id="rId478" Type="http://schemas.openxmlformats.org/officeDocument/2006/relationships/image" Target="media/image448.png"/><Relationship Id="rId479" Type="http://schemas.openxmlformats.org/officeDocument/2006/relationships/image" Target="media/image449.png"/><Relationship Id="rId480" Type="http://schemas.openxmlformats.org/officeDocument/2006/relationships/image" Target="media/image450.png"/><Relationship Id="rId481" Type="http://schemas.openxmlformats.org/officeDocument/2006/relationships/image" Target="media/image451.png"/><Relationship Id="rId482" Type="http://schemas.openxmlformats.org/officeDocument/2006/relationships/image" Target="media/image452.png"/><Relationship Id="rId483" Type="http://schemas.openxmlformats.org/officeDocument/2006/relationships/image" Target="media/image453.png"/><Relationship Id="rId484" Type="http://schemas.openxmlformats.org/officeDocument/2006/relationships/image" Target="media/image454.png"/><Relationship Id="rId485" Type="http://schemas.openxmlformats.org/officeDocument/2006/relationships/image" Target="media/image455.png"/><Relationship Id="rId486" Type="http://schemas.openxmlformats.org/officeDocument/2006/relationships/image" Target="media/image456.png"/><Relationship Id="rId487" Type="http://schemas.openxmlformats.org/officeDocument/2006/relationships/image" Target="media/image457.png"/><Relationship Id="rId488" Type="http://schemas.openxmlformats.org/officeDocument/2006/relationships/image" Target="media/image458.png"/><Relationship Id="rId489" Type="http://schemas.openxmlformats.org/officeDocument/2006/relationships/image" Target="media/image459.png"/><Relationship Id="rId490" Type="http://schemas.openxmlformats.org/officeDocument/2006/relationships/image" Target="media/image460.png"/><Relationship Id="rId491" Type="http://schemas.openxmlformats.org/officeDocument/2006/relationships/image" Target="media/image461.png"/><Relationship Id="rId492" Type="http://schemas.openxmlformats.org/officeDocument/2006/relationships/image" Target="media/image462.png"/><Relationship Id="rId493" Type="http://schemas.openxmlformats.org/officeDocument/2006/relationships/image" Target="media/image463.png"/><Relationship Id="rId494" Type="http://schemas.openxmlformats.org/officeDocument/2006/relationships/image" Target="media/image464.png"/><Relationship Id="rId495" Type="http://schemas.openxmlformats.org/officeDocument/2006/relationships/image" Target="media/image465.png"/><Relationship Id="rId496" Type="http://schemas.openxmlformats.org/officeDocument/2006/relationships/image" Target="media/image466.png"/><Relationship Id="rId497" Type="http://schemas.openxmlformats.org/officeDocument/2006/relationships/image" Target="media/image467.png"/><Relationship Id="rId498" Type="http://schemas.openxmlformats.org/officeDocument/2006/relationships/image" Target="media/image468.png"/><Relationship Id="rId499" Type="http://schemas.openxmlformats.org/officeDocument/2006/relationships/image" Target="media/image469.png"/><Relationship Id="rId500" Type="http://schemas.openxmlformats.org/officeDocument/2006/relationships/image" Target="media/image470.png"/><Relationship Id="rId501" Type="http://schemas.openxmlformats.org/officeDocument/2006/relationships/image" Target="media/image471.png"/><Relationship Id="rId502" Type="http://schemas.openxmlformats.org/officeDocument/2006/relationships/image" Target="media/image472.png"/><Relationship Id="rId503" Type="http://schemas.openxmlformats.org/officeDocument/2006/relationships/image" Target="media/image473.png"/><Relationship Id="rId504" Type="http://schemas.openxmlformats.org/officeDocument/2006/relationships/image" Target="media/image474.png"/><Relationship Id="rId505" Type="http://schemas.openxmlformats.org/officeDocument/2006/relationships/image" Target="media/image475.png"/><Relationship Id="rId506" Type="http://schemas.openxmlformats.org/officeDocument/2006/relationships/image" Target="media/image476.png"/><Relationship Id="rId507" Type="http://schemas.openxmlformats.org/officeDocument/2006/relationships/image" Target="media/image477.png"/><Relationship Id="rId508" Type="http://schemas.openxmlformats.org/officeDocument/2006/relationships/image" Target="media/image478.png"/><Relationship Id="rId509" Type="http://schemas.openxmlformats.org/officeDocument/2006/relationships/image" Target="media/image479.png"/><Relationship Id="rId510" Type="http://schemas.openxmlformats.org/officeDocument/2006/relationships/image" Target="media/image480.png"/><Relationship Id="rId511" Type="http://schemas.openxmlformats.org/officeDocument/2006/relationships/image" Target="media/image481.png"/><Relationship Id="rId512" Type="http://schemas.openxmlformats.org/officeDocument/2006/relationships/image" Target="media/image482.png"/><Relationship Id="rId513" Type="http://schemas.openxmlformats.org/officeDocument/2006/relationships/image" Target="media/image483.png"/><Relationship Id="rId514" Type="http://schemas.openxmlformats.org/officeDocument/2006/relationships/image" Target="media/image484.png"/><Relationship Id="rId515" Type="http://schemas.openxmlformats.org/officeDocument/2006/relationships/image" Target="media/image485.png"/><Relationship Id="rId516" Type="http://schemas.openxmlformats.org/officeDocument/2006/relationships/image" Target="media/image486.png"/><Relationship Id="rId517" Type="http://schemas.openxmlformats.org/officeDocument/2006/relationships/image" Target="media/image487.png"/><Relationship Id="rId518" Type="http://schemas.openxmlformats.org/officeDocument/2006/relationships/image" Target="media/image488.png"/><Relationship Id="rId519" Type="http://schemas.openxmlformats.org/officeDocument/2006/relationships/image" Target="media/image489.png"/><Relationship Id="rId520" Type="http://schemas.openxmlformats.org/officeDocument/2006/relationships/image" Target="media/image490.png"/><Relationship Id="rId521" Type="http://schemas.openxmlformats.org/officeDocument/2006/relationships/image" Target="media/image491.png"/><Relationship Id="rId522" Type="http://schemas.openxmlformats.org/officeDocument/2006/relationships/image" Target="media/image492.png"/><Relationship Id="rId523" Type="http://schemas.openxmlformats.org/officeDocument/2006/relationships/image" Target="media/image493.png"/><Relationship Id="rId524" Type="http://schemas.openxmlformats.org/officeDocument/2006/relationships/image" Target="media/image494.png"/><Relationship Id="rId525" Type="http://schemas.openxmlformats.org/officeDocument/2006/relationships/image" Target="media/image495.png"/><Relationship Id="rId526" Type="http://schemas.openxmlformats.org/officeDocument/2006/relationships/image" Target="media/image496.png"/><Relationship Id="rId527" Type="http://schemas.openxmlformats.org/officeDocument/2006/relationships/image" Target="media/image497.png"/><Relationship Id="rId528" Type="http://schemas.openxmlformats.org/officeDocument/2006/relationships/image" Target="media/image498.png"/><Relationship Id="rId529" Type="http://schemas.openxmlformats.org/officeDocument/2006/relationships/image" Target="media/image499.png"/><Relationship Id="rId530" Type="http://schemas.openxmlformats.org/officeDocument/2006/relationships/image" Target="media/image500.png"/><Relationship Id="rId531" Type="http://schemas.openxmlformats.org/officeDocument/2006/relationships/image" Target="media/image501.png"/><Relationship Id="rId532" Type="http://schemas.openxmlformats.org/officeDocument/2006/relationships/image" Target="media/image502.png"/><Relationship Id="rId533" Type="http://schemas.openxmlformats.org/officeDocument/2006/relationships/image" Target="media/image503.png"/><Relationship Id="rId534" Type="http://schemas.openxmlformats.org/officeDocument/2006/relationships/image" Target="media/image504.png"/><Relationship Id="rId535" Type="http://schemas.openxmlformats.org/officeDocument/2006/relationships/image" Target="media/image505.png"/><Relationship Id="rId536" Type="http://schemas.openxmlformats.org/officeDocument/2006/relationships/image" Target="media/image506.png"/><Relationship Id="rId537" Type="http://schemas.openxmlformats.org/officeDocument/2006/relationships/image" Target="media/image507.png"/><Relationship Id="rId538" Type="http://schemas.openxmlformats.org/officeDocument/2006/relationships/image" Target="media/image508.png"/><Relationship Id="rId539" Type="http://schemas.openxmlformats.org/officeDocument/2006/relationships/image" Target="media/image509.png"/><Relationship Id="rId540" Type="http://schemas.openxmlformats.org/officeDocument/2006/relationships/image" Target="media/image510.png"/><Relationship Id="rId541" Type="http://schemas.openxmlformats.org/officeDocument/2006/relationships/image" Target="media/image511.png"/><Relationship Id="rId542" Type="http://schemas.openxmlformats.org/officeDocument/2006/relationships/image" Target="media/image512.png"/><Relationship Id="rId543" Type="http://schemas.openxmlformats.org/officeDocument/2006/relationships/image" Target="media/image513.png"/><Relationship Id="rId544" Type="http://schemas.openxmlformats.org/officeDocument/2006/relationships/image" Target="media/image514.png"/><Relationship Id="rId545" Type="http://schemas.openxmlformats.org/officeDocument/2006/relationships/image" Target="media/image515.png"/><Relationship Id="rId546" Type="http://schemas.openxmlformats.org/officeDocument/2006/relationships/image" Target="media/image516.png"/><Relationship Id="rId547" Type="http://schemas.openxmlformats.org/officeDocument/2006/relationships/image" Target="media/image517.png"/><Relationship Id="rId548" Type="http://schemas.openxmlformats.org/officeDocument/2006/relationships/image" Target="media/image518.png"/><Relationship Id="rId549" Type="http://schemas.openxmlformats.org/officeDocument/2006/relationships/image" Target="media/image519.png"/><Relationship Id="rId550" Type="http://schemas.openxmlformats.org/officeDocument/2006/relationships/image" Target="media/image520.png"/><Relationship Id="rId551" Type="http://schemas.openxmlformats.org/officeDocument/2006/relationships/image" Target="media/image521.png"/><Relationship Id="rId552" Type="http://schemas.openxmlformats.org/officeDocument/2006/relationships/image" Target="media/image522.png"/><Relationship Id="rId553" Type="http://schemas.openxmlformats.org/officeDocument/2006/relationships/image" Target="media/image523.png"/><Relationship Id="rId554" Type="http://schemas.openxmlformats.org/officeDocument/2006/relationships/image" Target="media/image524.png"/><Relationship Id="rId555" Type="http://schemas.openxmlformats.org/officeDocument/2006/relationships/image" Target="media/image525.png"/><Relationship Id="rId556" Type="http://schemas.openxmlformats.org/officeDocument/2006/relationships/image" Target="media/image526.png"/><Relationship Id="rId557" Type="http://schemas.openxmlformats.org/officeDocument/2006/relationships/image" Target="media/image527.png"/><Relationship Id="rId558" Type="http://schemas.openxmlformats.org/officeDocument/2006/relationships/image" Target="media/image528.png"/><Relationship Id="rId559" Type="http://schemas.openxmlformats.org/officeDocument/2006/relationships/image" Target="media/image529.png"/><Relationship Id="rId560" Type="http://schemas.openxmlformats.org/officeDocument/2006/relationships/image" Target="media/image530.png"/><Relationship Id="rId561" Type="http://schemas.openxmlformats.org/officeDocument/2006/relationships/image" Target="media/image531.png"/><Relationship Id="rId562" Type="http://schemas.openxmlformats.org/officeDocument/2006/relationships/image" Target="media/image532.png"/><Relationship Id="rId563" Type="http://schemas.openxmlformats.org/officeDocument/2006/relationships/image" Target="media/image533.png"/><Relationship Id="rId564" Type="http://schemas.openxmlformats.org/officeDocument/2006/relationships/image" Target="media/image534.jpeg"/><Relationship Id="rId565" Type="http://schemas.openxmlformats.org/officeDocument/2006/relationships/image" Target="media/image535.png"/><Relationship Id="rId566" Type="http://schemas.openxmlformats.org/officeDocument/2006/relationships/image" Target="media/image536.jpeg"/><Relationship Id="rId567" Type="http://schemas.openxmlformats.org/officeDocument/2006/relationships/image" Target="media/image537.png"/><Relationship Id="rId568" Type="http://schemas.openxmlformats.org/officeDocument/2006/relationships/image" Target="media/image538.png"/><Relationship Id="rId569" Type="http://schemas.openxmlformats.org/officeDocument/2006/relationships/image" Target="media/image539.png"/><Relationship Id="rId570" Type="http://schemas.openxmlformats.org/officeDocument/2006/relationships/image" Target="media/image540.png"/><Relationship Id="rId571" Type="http://schemas.openxmlformats.org/officeDocument/2006/relationships/image" Target="media/image541.png"/><Relationship Id="rId572" Type="http://schemas.openxmlformats.org/officeDocument/2006/relationships/image" Target="media/image542.png"/><Relationship Id="rId573" Type="http://schemas.openxmlformats.org/officeDocument/2006/relationships/image" Target="media/image543.png"/><Relationship Id="rId574" Type="http://schemas.openxmlformats.org/officeDocument/2006/relationships/image" Target="media/image544.png"/><Relationship Id="rId575" Type="http://schemas.openxmlformats.org/officeDocument/2006/relationships/image" Target="media/image545.png"/><Relationship Id="rId576" Type="http://schemas.openxmlformats.org/officeDocument/2006/relationships/image" Target="media/image546.png"/><Relationship Id="rId577" Type="http://schemas.openxmlformats.org/officeDocument/2006/relationships/image" Target="media/image547.png"/><Relationship Id="rId578" Type="http://schemas.openxmlformats.org/officeDocument/2006/relationships/image" Target="media/image548.png"/><Relationship Id="rId579" Type="http://schemas.openxmlformats.org/officeDocument/2006/relationships/image" Target="media/image549.png"/><Relationship Id="rId580" Type="http://schemas.openxmlformats.org/officeDocument/2006/relationships/image" Target="media/image550.png"/><Relationship Id="rId581" Type="http://schemas.openxmlformats.org/officeDocument/2006/relationships/image" Target="media/image551.png"/><Relationship Id="rId582" Type="http://schemas.openxmlformats.org/officeDocument/2006/relationships/image" Target="media/image552.png"/><Relationship Id="rId583" Type="http://schemas.openxmlformats.org/officeDocument/2006/relationships/image" Target="media/image553.png"/><Relationship Id="rId584" Type="http://schemas.openxmlformats.org/officeDocument/2006/relationships/image" Target="media/image554.png"/><Relationship Id="rId585" Type="http://schemas.openxmlformats.org/officeDocument/2006/relationships/image" Target="media/image555.png"/><Relationship Id="rId586" Type="http://schemas.openxmlformats.org/officeDocument/2006/relationships/image" Target="media/image556.png"/><Relationship Id="rId587" Type="http://schemas.openxmlformats.org/officeDocument/2006/relationships/image" Target="media/image557.png"/><Relationship Id="rId588" Type="http://schemas.openxmlformats.org/officeDocument/2006/relationships/image" Target="media/image558.png"/><Relationship Id="rId589" Type="http://schemas.openxmlformats.org/officeDocument/2006/relationships/image" Target="media/image559.png"/><Relationship Id="rId590" Type="http://schemas.openxmlformats.org/officeDocument/2006/relationships/image" Target="media/image560.png"/><Relationship Id="rId591" Type="http://schemas.openxmlformats.org/officeDocument/2006/relationships/image" Target="media/image561.png"/><Relationship Id="rId592" Type="http://schemas.openxmlformats.org/officeDocument/2006/relationships/image" Target="media/image562.png"/><Relationship Id="rId593" Type="http://schemas.openxmlformats.org/officeDocument/2006/relationships/image" Target="media/image563.png"/><Relationship Id="rId594" Type="http://schemas.openxmlformats.org/officeDocument/2006/relationships/image" Target="media/image564.png"/><Relationship Id="rId595" Type="http://schemas.openxmlformats.org/officeDocument/2006/relationships/image" Target="media/image565.png"/><Relationship Id="rId596" Type="http://schemas.openxmlformats.org/officeDocument/2006/relationships/image" Target="media/image566.png"/><Relationship Id="rId597" Type="http://schemas.openxmlformats.org/officeDocument/2006/relationships/image" Target="media/image567.png"/><Relationship Id="rId598" Type="http://schemas.openxmlformats.org/officeDocument/2006/relationships/image" Target="media/image568.png"/><Relationship Id="rId599" Type="http://schemas.openxmlformats.org/officeDocument/2006/relationships/image" Target="media/image569.png"/><Relationship Id="rId600" Type="http://schemas.openxmlformats.org/officeDocument/2006/relationships/image" Target="media/image570.png"/><Relationship Id="rId601" Type="http://schemas.openxmlformats.org/officeDocument/2006/relationships/image" Target="media/image571.png"/><Relationship Id="rId602" Type="http://schemas.openxmlformats.org/officeDocument/2006/relationships/image" Target="media/image572.png"/><Relationship Id="rId603" Type="http://schemas.openxmlformats.org/officeDocument/2006/relationships/image" Target="media/image573.png"/><Relationship Id="rId604" Type="http://schemas.openxmlformats.org/officeDocument/2006/relationships/image" Target="media/image574.png"/><Relationship Id="rId605" Type="http://schemas.openxmlformats.org/officeDocument/2006/relationships/image" Target="media/image575.png"/><Relationship Id="rId606" Type="http://schemas.openxmlformats.org/officeDocument/2006/relationships/image" Target="media/image576.png"/><Relationship Id="rId607" Type="http://schemas.openxmlformats.org/officeDocument/2006/relationships/image" Target="media/image577.png"/><Relationship Id="rId608" Type="http://schemas.openxmlformats.org/officeDocument/2006/relationships/image" Target="media/image578.png"/><Relationship Id="rId609" Type="http://schemas.openxmlformats.org/officeDocument/2006/relationships/image" Target="media/image579.png"/><Relationship Id="rId610" Type="http://schemas.openxmlformats.org/officeDocument/2006/relationships/image" Target="media/image580.png"/><Relationship Id="rId611" Type="http://schemas.openxmlformats.org/officeDocument/2006/relationships/image" Target="media/image581.png"/><Relationship Id="rId612" Type="http://schemas.openxmlformats.org/officeDocument/2006/relationships/image" Target="media/image582.png"/><Relationship Id="rId613" Type="http://schemas.openxmlformats.org/officeDocument/2006/relationships/image" Target="media/image583.png"/><Relationship Id="rId614" Type="http://schemas.openxmlformats.org/officeDocument/2006/relationships/image" Target="media/image584.png"/><Relationship Id="rId615" Type="http://schemas.openxmlformats.org/officeDocument/2006/relationships/image" Target="media/image585.png"/><Relationship Id="rId616" Type="http://schemas.openxmlformats.org/officeDocument/2006/relationships/image" Target="media/image586.png"/><Relationship Id="rId617" Type="http://schemas.openxmlformats.org/officeDocument/2006/relationships/image" Target="media/image587.png"/><Relationship Id="rId618" Type="http://schemas.openxmlformats.org/officeDocument/2006/relationships/image" Target="media/image588.png"/><Relationship Id="rId619" Type="http://schemas.openxmlformats.org/officeDocument/2006/relationships/image" Target="media/image589.png"/><Relationship Id="rId620" Type="http://schemas.openxmlformats.org/officeDocument/2006/relationships/image" Target="media/image590.png"/><Relationship Id="rId621" Type="http://schemas.openxmlformats.org/officeDocument/2006/relationships/image" Target="media/image591.png"/><Relationship Id="rId622" Type="http://schemas.openxmlformats.org/officeDocument/2006/relationships/image" Target="media/image592.png"/><Relationship Id="rId623" Type="http://schemas.openxmlformats.org/officeDocument/2006/relationships/image" Target="media/image593.png"/><Relationship Id="rId624" Type="http://schemas.openxmlformats.org/officeDocument/2006/relationships/image" Target="media/image594.png"/><Relationship Id="rId625" Type="http://schemas.openxmlformats.org/officeDocument/2006/relationships/image" Target="media/image595.png"/><Relationship Id="rId626" Type="http://schemas.openxmlformats.org/officeDocument/2006/relationships/image" Target="media/image596.png"/><Relationship Id="rId627" Type="http://schemas.openxmlformats.org/officeDocument/2006/relationships/image" Target="media/image597.png"/><Relationship Id="rId628" Type="http://schemas.openxmlformats.org/officeDocument/2006/relationships/image" Target="media/image598.png"/><Relationship Id="rId629" Type="http://schemas.openxmlformats.org/officeDocument/2006/relationships/image" Target="media/image599.png"/><Relationship Id="rId630" Type="http://schemas.openxmlformats.org/officeDocument/2006/relationships/image" Target="media/image600.png"/><Relationship Id="rId631" Type="http://schemas.openxmlformats.org/officeDocument/2006/relationships/image" Target="media/image601.png"/><Relationship Id="rId632" Type="http://schemas.openxmlformats.org/officeDocument/2006/relationships/image" Target="media/image602.png"/><Relationship Id="rId633" Type="http://schemas.openxmlformats.org/officeDocument/2006/relationships/image" Target="media/image603.png"/><Relationship Id="rId634" Type="http://schemas.openxmlformats.org/officeDocument/2006/relationships/image" Target="media/image604.png"/><Relationship Id="rId635" Type="http://schemas.openxmlformats.org/officeDocument/2006/relationships/image" Target="media/image605.png"/><Relationship Id="rId636" Type="http://schemas.openxmlformats.org/officeDocument/2006/relationships/image" Target="media/image606.png"/><Relationship Id="rId637" Type="http://schemas.openxmlformats.org/officeDocument/2006/relationships/image" Target="media/image607.png"/><Relationship Id="rId638" Type="http://schemas.openxmlformats.org/officeDocument/2006/relationships/image" Target="media/image608.png"/><Relationship Id="rId639" Type="http://schemas.openxmlformats.org/officeDocument/2006/relationships/image" Target="media/image609.png"/><Relationship Id="rId640" Type="http://schemas.openxmlformats.org/officeDocument/2006/relationships/image" Target="media/image610.png"/><Relationship Id="rId641" Type="http://schemas.openxmlformats.org/officeDocument/2006/relationships/image" Target="media/image611.png"/><Relationship Id="rId642" Type="http://schemas.openxmlformats.org/officeDocument/2006/relationships/image" Target="media/image612.png"/><Relationship Id="rId643" Type="http://schemas.openxmlformats.org/officeDocument/2006/relationships/image" Target="media/image613.png"/><Relationship Id="rId644" Type="http://schemas.openxmlformats.org/officeDocument/2006/relationships/image" Target="media/image614.png"/><Relationship Id="rId645" Type="http://schemas.openxmlformats.org/officeDocument/2006/relationships/image" Target="media/image615.png"/><Relationship Id="rId646" Type="http://schemas.openxmlformats.org/officeDocument/2006/relationships/image" Target="media/image616.png"/><Relationship Id="rId647" Type="http://schemas.openxmlformats.org/officeDocument/2006/relationships/image" Target="media/image617.png"/><Relationship Id="rId648" Type="http://schemas.openxmlformats.org/officeDocument/2006/relationships/image" Target="media/image618.png"/><Relationship Id="rId649" Type="http://schemas.openxmlformats.org/officeDocument/2006/relationships/image" Target="media/image619.png"/><Relationship Id="rId650" Type="http://schemas.openxmlformats.org/officeDocument/2006/relationships/image" Target="media/image620.png"/><Relationship Id="rId651" Type="http://schemas.openxmlformats.org/officeDocument/2006/relationships/image" Target="media/image621.png"/><Relationship Id="rId652" Type="http://schemas.openxmlformats.org/officeDocument/2006/relationships/image" Target="media/image622.png"/><Relationship Id="rId653" Type="http://schemas.openxmlformats.org/officeDocument/2006/relationships/image" Target="media/image623.png"/><Relationship Id="rId654" Type="http://schemas.openxmlformats.org/officeDocument/2006/relationships/image" Target="media/image624.png"/><Relationship Id="rId655" Type="http://schemas.openxmlformats.org/officeDocument/2006/relationships/image" Target="media/image625.png"/><Relationship Id="rId656" Type="http://schemas.openxmlformats.org/officeDocument/2006/relationships/image" Target="media/image626.png"/><Relationship Id="rId657" Type="http://schemas.openxmlformats.org/officeDocument/2006/relationships/image" Target="media/image627.png"/><Relationship Id="rId658" Type="http://schemas.openxmlformats.org/officeDocument/2006/relationships/image" Target="media/image628.png"/><Relationship Id="rId659" Type="http://schemas.openxmlformats.org/officeDocument/2006/relationships/image" Target="media/image629.png"/><Relationship Id="rId660" Type="http://schemas.openxmlformats.org/officeDocument/2006/relationships/image" Target="media/image630.png"/><Relationship Id="rId661" Type="http://schemas.openxmlformats.org/officeDocument/2006/relationships/image" Target="media/image631.png"/><Relationship Id="rId662" Type="http://schemas.openxmlformats.org/officeDocument/2006/relationships/image" Target="media/image632.png"/><Relationship Id="rId663" Type="http://schemas.openxmlformats.org/officeDocument/2006/relationships/image" Target="media/image633.png"/><Relationship Id="rId664" Type="http://schemas.openxmlformats.org/officeDocument/2006/relationships/image" Target="media/image634.png"/><Relationship Id="rId665" Type="http://schemas.openxmlformats.org/officeDocument/2006/relationships/image" Target="media/image635.png"/><Relationship Id="rId666" Type="http://schemas.openxmlformats.org/officeDocument/2006/relationships/image" Target="media/image636.png"/><Relationship Id="rId667" Type="http://schemas.openxmlformats.org/officeDocument/2006/relationships/image" Target="media/image637.png"/><Relationship Id="rId668" Type="http://schemas.openxmlformats.org/officeDocument/2006/relationships/image" Target="media/image638.png"/><Relationship Id="rId669" Type="http://schemas.openxmlformats.org/officeDocument/2006/relationships/image" Target="media/image639.png"/><Relationship Id="rId670" Type="http://schemas.openxmlformats.org/officeDocument/2006/relationships/image" Target="media/image640.png"/><Relationship Id="rId671" Type="http://schemas.openxmlformats.org/officeDocument/2006/relationships/image" Target="media/image641.png"/><Relationship Id="rId672" Type="http://schemas.openxmlformats.org/officeDocument/2006/relationships/image" Target="media/image642.png"/><Relationship Id="rId673" Type="http://schemas.openxmlformats.org/officeDocument/2006/relationships/image" Target="media/image643.png"/><Relationship Id="rId674" Type="http://schemas.openxmlformats.org/officeDocument/2006/relationships/image" Target="media/image644.png"/><Relationship Id="rId675" Type="http://schemas.openxmlformats.org/officeDocument/2006/relationships/image" Target="media/image645.png"/><Relationship Id="rId676" Type="http://schemas.openxmlformats.org/officeDocument/2006/relationships/image" Target="media/image646.png"/><Relationship Id="rId677" Type="http://schemas.openxmlformats.org/officeDocument/2006/relationships/image" Target="media/image647.png"/><Relationship Id="rId678" Type="http://schemas.openxmlformats.org/officeDocument/2006/relationships/image" Target="media/image648.png"/><Relationship Id="rId679" Type="http://schemas.openxmlformats.org/officeDocument/2006/relationships/image" Target="media/image649.png"/><Relationship Id="rId680" Type="http://schemas.openxmlformats.org/officeDocument/2006/relationships/image" Target="media/image650.png"/><Relationship Id="rId681" Type="http://schemas.openxmlformats.org/officeDocument/2006/relationships/image" Target="media/image651.png"/><Relationship Id="rId682" Type="http://schemas.openxmlformats.org/officeDocument/2006/relationships/image" Target="media/image652.png"/><Relationship Id="rId683" Type="http://schemas.openxmlformats.org/officeDocument/2006/relationships/image" Target="media/image653.png"/><Relationship Id="rId684" Type="http://schemas.openxmlformats.org/officeDocument/2006/relationships/image" Target="media/image654.png"/><Relationship Id="rId685" Type="http://schemas.openxmlformats.org/officeDocument/2006/relationships/image" Target="media/image655.png"/><Relationship Id="rId686" Type="http://schemas.openxmlformats.org/officeDocument/2006/relationships/image" Target="media/image656.png"/><Relationship Id="rId687" Type="http://schemas.openxmlformats.org/officeDocument/2006/relationships/image" Target="media/image657.png"/><Relationship Id="rId688" Type="http://schemas.openxmlformats.org/officeDocument/2006/relationships/image" Target="media/image658.png"/><Relationship Id="rId689" Type="http://schemas.openxmlformats.org/officeDocument/2006/relationships/image" Target="media/image659.png"/><Relationship Id="rId690" Type="http://schemas.openxmlformats.org/officeDocument/2006/relationships/image" Target="media/image660.png"/><Relationship Id="rId691" Type="http://schemas.openxmlformats.org/officeDocument/2006/relationships/image" Target="media/image661.png"/><Relationship Id="rId692" Type="http://schemas.openxmlformats.org/officeDocument/2006/relationships/image" Target="media/image662.png"/><Relationship Id="rId693" Type="http://schemas.openxmlformats.org/officeDocument/2006/relationships/image" Target="media/image663.png"/><Relationship Id="rId694" Type="http://schemas.openxmlformats.org/officeDocument/2006/relationships/image" Target="media/image664.png"/><Relationship Id="rId695" Type="http://schemas.openxmlformats.org/officeDocument/2006/relationships/image" Target="media/image665.png"/><Relationship Id="rId696" Type="http://schemas.openxmlformats.org/officeDocument/2006/relationships/image" Target="media/image666.png"/><Relationship Id="rId697" Type="http://schemas.openxmlformats.org/officeDocument/2006/relationships/image" Target="media/image667.png"/><Relationship Id="rId698" Type="http://schemas.openxmlformats.org/officeDocument/2006/relationships/image" Target="media/image668.png"/><Relationship Id="rId699" Type="http://schemas.openxmlformats.org/officeDocument/2006/relationships/image" Target="media/image669.png"/><Relationship Id="rId700" Type="http://schemas.openxmlformats.org/officeDocument/2006/relationships/image" Target="media/image670.png"/><Relationship Id="rId701" Type="http://schemas.openxmlformats.org/officeDocument/2006/relationships/image" Target="media/image671.png"/><Relationship Id="rId702" Type="http://schemas.openxmlformats.org/officeDocument/2006/relationships/image" Target="media/image672.png"/><Relationship Id="rId703" Type="http://schemas.openxmlformats.org/officeDocument/2006/relationships/image" Target="media/image673.png"/><Relationship Id="rId704" Type="http://schemas.openxmlformats.org/officeDocument/2006/relationships/image" Target="media/image674.png"/><Relationship Id="rId705" Type="http://schemas.openxmlformats.org/officeDocument/2006/relationships/image" Target="media/image675.png"/><Relationship Id="rId706" Type="http://schemas.openxmlformats.org/officeDocument/2006/relationships/image" Target="media/image676.png"/><Relationship Id="rId707" Type="http://schemas.openxmlformats.org/officeDocument/2006/relationships/image" Target="media/image677.png"/><Relationship Id="rId708" Type="http://schemas.openxmlformats.org/officeDocument/2006/relationships/image" Target="media/image678.png"/><Relationship Id="rId709" Type="http://schemas.openxmlformats.org/officeDocument/2006/relationships/image" Target="media/image679.png"/><Relationship Id="rId710" Type="http://schemas.openxmlformats.org/officeDocument/2006/relationships/image" Target="media/image680.png"/><Relationship Id="rId711" Type="http://schemas.openxmlformats.org/officeDocument/2006/relationships/image" Target="media/image681.png"/><Relationship Id="rId712" Type="http://schemas.openxmlformats.org/officeDocument/2006/relationships/image" Target="media/image682.png"/><Relationship Id="rId713" Type="http://schemas.openxmlformats.org/officeDocument/2006/relationships/image" Target="media/image683.png"/><Relationship Id="rId714" Type="http://schemas.openxmlformats.org/officeDocument/2006/relationships/image" Target="media/image684.png"/><Relationship Id="rId715" Type="http://schemas.openxmlformats.org/officeDocument/2006/relationships/image" Target="media/image685.png"/><Relationship Id="rId716" Type="http://schemas.openxmlformats.org/officeDocument/2006/relationships/image" Target="media/image686.png"/><Relationship Id="rId717" Type="http://schemas.openxmlformats.org/officeDocument/2006/relationships/image" Target="media/image687.png"/><Relationship Id="rId718" Type="http://schemas.openxmlformats.org/officeDocument/2006/relationships/image" Target="media/image688.png"/><Relationship Id="rId719" Type="http://schemas.openxmlformats.org/officeDocument/2006/relationships/image" Target="media/image689.png"/><Relationship Id="rId720" Type="http://schemas.openxmlformats.org/officeDocument/2006/relationships/image" Target="media/image690.png"/><Relationship Id="rId721" Type="http://schemas.openxmlformats.org/officeDocument/2006/relationships/image" Target="media/image691.png"/><Relationship Id="rId722" Type="http://schemas.openxmlformats.org/officeDocument/2006/relationships/image" Target="media/image692.png"/><Relationship Id="rId723" Type="http://schemas.openxmlformats.org/officeDocument/2006/relationships/image" Target="media/image693.png"/><Relationship Id="rId724" Type="http://schemas.openxmlformats.org/officeDocument/2006/relationships/image" Target="media/image694.png"/><Relationship Id="rId725" Type="http://schemas.openxmlformats.org/officeDocument/2006/relationships/image" Target="media/image695.png"/><Relationship Id="rId726" Type="http://schemas.openxmlformats.org/officeDocument/2006/relationships/image" Target="media/image696.png"/><Relationship Id="rId727" Type="http://schemas.openxmlformats.org/officeDocument/2006/relationships/image" Target="media/image697.png"/><Relationship Id="rId728" Type="http://schemas.openxmlformats.org/officeDocument/2006/relationships/image" Target="media/image698.png"/><Relationship Id="rId729" Type="http://schemas.openxmlformats.org/officeDocument/2006/relationships/image" Target="media/image699.png"/><Relationship Id="rId730" Type="http://schemas.openxmlformats.org/officeDocument/2006/relationships/image" Target="media/image700.png"/><Relationship Id="rId731" Type="http://schemas.openxmlformats.org/officeDocument/2006/relationships/image" Target="media/image701.png"/><Relationship Id="rId732" Type="http://schemas.openxmlformats.org/officeDocument/2006/relationships/image" Target="media/image702.png"/><Relationship Id="rId733" Type="http://schemas.openxmlformats.org/officeDocument/2006/relationships/image" Target="media/image703.png"/><Relationship Id="rId734" Type="http://schemas.openxmlformats.org/officeDocument/2006/relationships/image" Target="media/image704.png"/><Relationship Id="rId735" Type="http://schemas.openxmlformats.org/officeDocument/2006/relationships/image" Target="media/image705.png"/><Relationship Id="rId736" Type="http://schemas.openxmlformats.org/officeDocument/2006/relationships/image" Target="media/image706.png"/><Relationship Id="rId737" Type="http://schemas.openxmlformats.org/officeDocument/2006/relationships/image" Target="media/image707.png"/><Relationship Id="rId738" Type="http://schemas.openxmlformats.org/officeDocument/2006/relationships/image" Target="media/image708.png"/><Relationship Id="rId739" Type="http://schemas.openxmlformats.org/officeDocument/2006/relationships/image" Target="media/image709.png"/><Relationship Id="rId740" Type="http://schemas.openxmlformats.org/officeDocument/2006/relationships/image" Target="media/image710.png"/><Relationship Id="rId741" Type="http://schemas.openxmlformats.org/officeDocument/2006/relationships/image" Target="media/image711.png"/><Relationship Id="rId742" Type="http://schemas.openxmlformats.org/officeDocument/2006/relationships/image" Target="media/image712.png"/><Relationship Id="rId743" Type="http://schemas.openxmlformats.org/officeDocument/2006/relationships/image" Target="media/image713.png"/><Relationship Id="rId744" Type="http://schemas.openxmlformats.org/officeDocument/2006/relationships/image" Target="media/image714.png"/><Relationship Id="rId745" Type="http://schemas.openxmlformats.org/officeDocument/2006/relationships/image" Target="media/image715.png"/><Relationship Id="rId746" Type="http://schemas.openxmlformats.org/officeDocument/2006/relationships/image" Target="media/image716.png"/><Relationship Id="rId747" Type="http://schemas.openxmlformats.org/officeDocument/2006/relationships/image" Target="media/image717.png"/><Relationship Id="rId748" Type="http://schemas.openxmlformats.org/officeDocument/2006/relationships/image" Target="media/image718.png"/><Relationship Id="rId749" Type="http://schemas.openxmlformats.org/officeDocument/2006/relationships/image" Target="media/image719.png"/><Relationship Id="rId750" Type="http://schemas.openxmlformats.org/officeDocument/2006/relationships/image" Target="media/image720.png"/><Relationship Id="rId751" Type="http://schemas.openxmlformats.org/officeDocument/2006/relationships/image" Target="media/image721.png"/><Relationship Id="rId752" Type="http://schemas.openxmlformats.org/officeDocument/2006/relationships/image" Target="media/image722.png"/><Relationship Id="rId753" Type="http://schemas.openxmlformats.org/officeDocument/2006/relationships/image" Target="media/image723.png"/><Relationship Id="rId754" Type="http://schemas.openxmlformats.org/officeDocument/2006/relationships/image" Target="media/image724.png"/><Relationship Id="rId755" Type="http://schemas.openxmlformats.org/officeDocument/2006/relationships/image" Target="media/image725.png"/><Relationship Id="rId756" Type="http://schemas.openxmlformats.org/officeDocument/2006/relationships/image" Target="media/image726.png"/><Relationship Id="rId757" Type="http://schemas.openxmlformats.org/officeDocument/2006/relationships/image" Target="media/image727.png"/><Relationship Id="rId758" Type="http://schemas.openxmlformats.org/officeDocument/2006/relationships/image" Target="media/image728.png"/><Relationship Id="rId759" Type="http://schemas.openxmlformats.org/officeDocument/2006/relationships/image" Target="media/image729.png"/><Relationship Id="rId760" Type="http://schemas.openxmlformats.org/officeDocument/2006/relationships/image" Target="media/image730.png"/><Relationship Id="rId761" Type="http://schemas.openxmlformats.org/officeDocument/2006/relationships/image" Target="media/image731.png"/><Relationship Id="rId762" Type="http://schemas.openxmlformats.org/officeDocument/2006/relationships/image" Target="media/image732.png"/><Relationship Id="rId763" Type="http://schemas.openxmlformats.org/officeDocument/2006/relationships/image" Target="media/image733.png"/><Relationship Id="rId764" Type="http://schemas.openxmlformats.org/officeDocument/2006/relationships/image" Target="media/image734.png"/><Relationship Id="rId765" Type="http://schemas.openxmlformats.org/officeDocument/2006/relationships/image" Target="media/image735.png"/><Relationship Id="rId766" Type="http://schemas.openxmlformats.org/officeDocument/2006/relationships/image" Target="media/image736.png"/><Relationship Id="rId767" Type="http://schemas.openxmlformats.org/officeDocument/2006/relationships/image" Target="media/image737.png"/><Relationship Id="rId768" Type="http://schemas.openxmlformats.org/officeDocument/2006/relationships/image" Target="media/image738.png"/><Relationship Id="rId769" Type="http://schemas.openxmlformats.org/officeDocument/2006/relationships/image" Target="media/image739.png"/><Relationship Id="rId770" Type="http://schemas.openxmlformats.org/officeDocument/2006/relationships/image" Target="media/image740.png"/><Relationship Id="rId771" Type="http://schemas.openxmlformats.org/officeDocument/2006/relationships/image" Target="media/image741.png"/><Relationship Id="rId772" Type="http://schemas.openxmlformats.org/officeDocument/2006/relationships/image" Target="media/image742.png"/><Relationship Id="rId773" Type="http://schemas.openxmlformats.org/officeDocument/2006/relationships/image" Target="media/image743.png"/><Relationship Id="rId774" Type="http://schemas.openxmlformats.org/officeDocument/2006/relationships/image" Target="media/image744.png"/><Relationship Id="rId775" Type="http://schemas.openxmlformats.org/officeDocument/2006/relationships/image" Target="media/image745.png"/><Relationship Id="rId776" Type="http://schemas.openxmlformats.org/officeDocument/2006/relationships/image" Target="media/image746.png"/><Relationship Id="rId777" Type="http://schemas.openxmlformats.org/officeDocument/2006/relationships/image" Target="media/image747.png"/><Relationship Id="rId778" Type="http://schemas.openxmlformats.org/officeDocument/2006/relationships/image" Target="media/image748.png"/><Relationship Id="rId779" Type="http://schemas.openxmlformats.org/officeDocument/2006/relationships/image" Target="media/image749.png"/><Relationship Id="rId780" Type="http://schemas.openxmlformats.org/officeDocument/2006/relationships/image" Target="media/image750.png"/><Relationship Id="rId781" Type="http://schemas.openxmlformats.org/officeDocument/2006/relationships/image" Target="media/image751.png"/><Relationship Id="rId782" Type="http://schemas.openxmlformats.org/officeDocument/2006/relationships/image" Target="media/image752.png"/><Relationship Id="rId783" Type="http://schemas.openxmlformats.org/officeDocument/2006/relationships/image" Target="media/image753.png"/><Relationship Id="rId784" Type="http://schemas.openxmlformats.org/officeDocument/2006/relationships/image" Target="media/image754.png"/><Relationship Id="rId785" Type="http://schemas.openxmlformats.org/officeDocument/2006/relationships/image" Target="media/image755.png"/><Relationship Id="rId786" Type="http://schemas.openxmlformats.org/officeDocument/2006/relationships/image" Target="media/image756.png"/><Relationship Id="rId787" Type="http://schemas.openxmlformats.org/officeDocument/2006/relationships/image" Target="media/image757.png"/><Relationship Id="rId788" Type="http://schemas.openxmlformats.org/officeDocument/2006/relationships/image" Target="media/image758.png"/><Relationship Id="rId789" Type="http://schemas.openxmlformats.org/officeDocument/2006/relationships/image" Target="media/image759.png"/><Relationship Id="rId790" Type="http://schemas.openxmlformats.org/officeDocument/2006/relationships/image" Target="media/image760.png"/><Relationship Id="rId791" Type="http://schemas.openxmlformats.org/officeDocument/2006/relationships/image" Target="media/image761.png"/><Relationship Id="rId792" Type="http://schemas.openxmlformats.org/officeDocument/2006/relationships/image" Target="media/image762.png"/><Relationship Id="rId793" Type="http://schemas.openxmlformats.org/officeDocument/2006/relationships/image" Target="media/image763.png"/><Relationship Id="rId794" Type="http://schemas.openxmlformats.org/officeDocument/2006/relationships/image" Target="media/image764.png"/><Relationship Id="rId795" Type="http://schemas.openxmlformats.org/officeDocument/2006/relationships/image" Target="media/image765.png"/><Relationship Id="rId796" Type="http://schemas.openxmlformats.org/officeDocument/2006/relationships/image" Target="media/image766.png"/><Relationship Id="rId797" Type="http://schemas.openxmlformats.org/officeDocument/2006/relationships/image" Target="media/image767.png"/><Relationship Id="rId798" Type="http://schemas.openxmlformats.org/officeDocument/2006/relationships/image" Target="media/image768.png"/><Relationship Id="rId799" Type="http://schemas.openxmlformats.org/officeDocument/2006/relationships/image" Target="media/image769.png"/><Relationship Id="rId800" Type="http://schemas.openxmlformats.org/officeDocument/2006/relationships/image" Target="media/image770.png"/><Relationship Id="rId801" Type="http://schemas.openxmlformats.org/officeDocument/2006/relationships/image" Target="media/image771.png"/><Relationship Id="rId802" Type="http://schemas.openxmlformats.org/officeDocument/2006/relationships/image" Target="media/image772.png"/><Relationship Id="rId803" Type="http://schemas.openxmlformats.org/officeDocument/2006/relationships/image" Target="media/image773.png"/><Relationship Id="rId804" Type="http://schemas.openxmlformats.org/officeDocument/2006/relationships/image" Target="media/image774.png"/><Relationship Id="rId805" Type="http://schemas.openxmlformats.org/officeDocument/2006/relationships/image" Target="media/image775.png"/><Relationship Id="rId806" Type="http://schemas.openxmlformats.org/officeDocument/2006/relationships/image" Target="media/image776.png"/><Relationship Id="rId807" Type="http://schemas.openxmlformats.org/officeDocument/2006/relationships/image" Target="media/image777.png"/><Relationship Id="rId808" Type="http://schemas.openxmlformats.org/officeDocument/2006/relationships/image" Target="media/image778.png"/><Relationship Id="rId809" Type="http://schemas.openxmlformats.org/officeDocument/2006/relationships/image" Target="media/image779.png"/><Relationship Id="rId810" Type="http://schemas.openxmlformats.org/officeDocument/2006/relationships/image" Target="media/image780.png"/><Relationship Id="rId811" Type="http://schemas.openxmlformats.org/officeDocument/2006/relationships/image" Target="media/image781.png"/><Relationship Id="rId812" Type="http://schemas.openxmlformats.org/officeDocument/2006/relationships/image" Target="media/image782.png"/><Relationship Id="rId813" Type="http://schemas.openxmlformats.org/officeDocument/2006/relationships/image" Target="media/image783.png"/><Relationship Id="rId814" Type="http://schemas.openxmlformats.org/officeDocument/2006/relationships/image" Target="media/image784.png"/><Relationship Id="rId815" Type="http://schemas.openxmlformats.org/officeDocument/2006/relationships/image" Target="media/image785.png"/><Relationship Id="rId816" Type="http://schemas.openxmlformats.org/officeDocument/2006/relationships/image" Target="media/image786.png"/><Relationship Id="rId817" Type="http://schemas.openxmlformats.org/officeDocument/2006/relationships/image" Target="media/image787.png"/><Relationship Id="rId818" Type="http://schemas.openxmlformats.org/officeDocument/2006/relationships/image" Target="media/image788.png"/><Relationship Id="rId819" Type="http://schemas.openxmlformats.org/officeDocument/2006/relationships/image" Target="media/image789.png"/><Relationship Id="rId820" Type="http://schemas.openxmlformats.org/officeDocument/2006/relationships/image" Target="media/image790.png"/><Relationship Id="rId821" Type="http://schemas.openxmlformats.org/officeDocument/2006/relationships/image" Target="media/image791.png"/><Relationship Id="rId822" Type="http://schemas.openxmlformats.org/officeDocument/2006/relationships/image" Target="media/image792.png"/><Relationship Id="rId823" Type="http://schemas.openxmlformats.org/officeDocument/2006/relationships/image" Target="media/image793.png"/><Relationship Id="rId824" Type="http://schemas.openxmlformats.org/officeDocument/2006/relationships/image" Target="media/image794.png"/><Relationship Id="rId825" Type="http://schemas.openxmlformats.org/officeDocument/2006/relationships/image" Target="media/image795.png"/><Relationship Id="rId826" Type="http://schemas.openxmlformats.org/officeDocument/2006/relationships/image" Target="media/image796.png"/><Relationship Id="rId827" Type="http://schemas.openxmlformats.org/officeDocument/2006/relationships/image" Target="media/image797.png"/><Relationship Id="rId828" Type="http://schemas.openxmlformats.org/officeDocument/2006/relationships/image" Target="media/image798.png"/><Relationship Id="rId356" Type="http://schemas.openxmlformats.org/officeDocument/2006/relationships/hyperlink" Target="http://www.sec.gov/Archives/edgar/data/0001809519/000119312520234662/d949310dex31.htm" TargetMode="External"/><Relationship Id="rId357" Type="http://schemas.openxmlformats.org/officeDocument/2006/relationships/hyperlink" Target="http://www.sec.gov/Archives/edgar/data/1809519/000119312520234662/d949310dex311.htm" TargetMode="External"/><Relationship Id="rId358" Type="http://schemas.openxmlformats.org/officeDocument/2006/relationships/hyperlink" Target="http://www.sec.gov/Archives/edgar/data/0001809519/000119312520234662/d949310dex33.htm" TargetMode="External"/><Relationship Id="rId359" Type="http://schemas.openxmlformats.org/officeDocument/2006/relationships/hyperlink" Target="http://www.sec.gov/Archives/edgar/data/0001809519/000119312520234662/d949310dex41.htm" TargetMode="External"/><Relationship Id="rId360" Type="http://schemas.openxmlformats.org/officeDocument/2006/relationships/hyperlink" Target="http://www.sec.gov/Archives/edgar/data/0001809519/000119312520234662/d949310dex42.htm" TargetMode="External"/><Relationship Id="rId361" Type="http://schemas.openxmlformats.org/officeDocument/2006/relationships/hyperlink" Target="http://www.sec.gov/Archives/edgar/data/0001809519/000119312520234662/d949310dex44.htm" TargetMode="External"/><Relationship Id="rId363" Type="http://schemas.openxmlformats.org/officeDocument/2006/relationships/hyperlink" Target="http://www.sec.gov/Archives/edgar/data/1809519/000119312520234662/d949310dex106.htm" TargetMode="External"/><Relationship Id="rId364" Type="http://schemas.openxmlformats.org/officeDocument/2006/relationships/hyperlink" Target="http://www.sec.gov/Archives/edgar/data/1809519/000119312520234662/d949310dex107.htm" TargetMode="External"/><Relationship Id="rId365" Type="http://schemas.openxmlformats.org/officeDocument/2006/relationships/hyperlink" Target="http://www.sec.gov/Archives/edgar/data/1809519/000119312520234662/d949310dex108.htm" TargetMode="External"/><Relationship Id="rId366" Type="http://schemas.openxmlformats.org/officeDocument/2006/relationships/hyperlink" Target="http://www.sec.gov/Archives/edgar/data/0001809519/000119312520234662/d949310dex109.htm" TargetMode="External"/><Relationship Id="rId367" Type="http://schemas.openxmlformats.org/officeDocument/2006/relationships/hyperlink" Target="http://www.sec.gov/Archives/edgar/data/0001809519/000119312520234662/d949310dex1010.htm" TargetMode="External"/><Relationship Id="rId368" Type="http://schemas.openxmlformats.org/officeDocument/2006/relationships/hyperlink" Target="http://www.sec.gov/Archives/edgar/data/0001809519/000119312520234662/d949310dex1011.htm" TargetMode="External"/><Relationship Id="rId369" Type="http://schemas.openxmlformats.org/officeDocument/2006/relationships/hyperlink" Target="http://www.sec.gov/Archives/edgar/data/0001809519/000119312520234662/d949310dex1012.htm" TargetMode="External"/><Relationship Id="rId370" Type="http://schemas.openxmlformats.org/officeDocument/2006/relationships/hyperlink" Target="http://www.sec.gov/Archives/edgar/data/0001809519/000119312520234662/d949310dex1013.htm" TargetMode="External"/><Relationship Id="rId371" Type="http://schemas.openxmlformats.org/officeDocument/2006/relationships/hyperlink" Target="http://www.sec.gov/Archives/edgar/data/0001809519/000119312520234662/d949310dex1014.htm" TargetMode="External"/><Relationship Id="rId372" Type="http://schemas.openxmlformats.org/officeDocument/2006/relationships/hyperlink" Target="http://www.sec.gov/Archives/edgar/data/0001809519/000119312520234662/d949310dex1015.htm" TargetMode="External"/><Relationship Id="rId373" Type="http://schemas.openxmlformats.org/officeDocument/2006/relationships/hyperlink" Target="http://www.sec.gov/Archives/edgar/data/0001809519/000119312520234662/d949310dex1016.htm" TargetMode="External"/><Relationship Id="rId374" Type="http://schemas.openxmlformats.org/officeDocument/2006/relationships/hyperlink" Target="http://www.sec.gov/Archives/edgar/data/0001809519/000119312520234662/d949310dex1017.htm" TargetMode="External"/><Relationship Id="rId375" Type="http://schemas.openxmlformats.org/officeDocument/2006/relationships/hyperlink" Target="http://www.sec.gov/Archives/edgar/data/0001809519/000119312520234662/d949310dex1018.htm" TargetMode="External"/><Relationship Id="rId376" Type="http://schemas.openxmlformats.org/officeDocument/2006/relationships/hyperlink" Target="http://www.sec.gov/Archives/edgar/data/0001809519/000119312520234662/d949310dex1019.htm" TargetMode="External"/><Relationship Id="rId377" Type="http://schemas.openxmlformats.org/officeDocument/2006/relationships/hyperlink" Target="http://www.sec.gov/Archives/edgar/data/0001809519/000119312520234662/d949310dex161.htm" TargetMode="External"/><Relationship Id="rId378" Type="http://schemas.openxmlformats.org/officeDocument/2006/relationships/hyperlink" Target="http://www.sec.gov/Archives/edgar/data/0001809519/000119312520234662/d949310dex211.htm" TargetMode="External"/><Relationship Id="rId379" Type="http://schemas.openxmlformats.org/officeDocument/2006/relationships/hyperlink" Target="http://www.sec.gov/Archives/edgar/data/1809519/000119312520234662/d949310ds1.htm#ii949310_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2020-09-14T05:34:42Z</dcterms:created>
  <dcterms:modified xsi:type="dcterms:W3CDTF">2020-09-14T05:34:42Z</dcterms:modified>
</cp:coreProperties>
</file>