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pBdr>
          <w:bottom w:val="single" w:sz="2" w:space="1" w:color="000000"/>
        </w:pBdr>
        <w:spacing w:lineRule="atLeast" w:line="141" w:before="0" w:after="0"/>
        <w:jc w:val="left"/>
        <w:rPr/>
      </w:pPr>
      <w:bookmarkStart w:id="0" w:name="d436463d8k.htm"/>
      <w:bookmarkStart w:id="1" w:name="ksd436463d8k"/>
      <w:bookmarkEnd w:id="0"/>
      <w:bookmarkEnd w:id="1"/>
      <w:r>
        <w:rPr/>
        <w:t> </w:t>
      </w:r>
    </w:p>
    <w:p>
      <w:pPr>
        <w:pStyle w:val="TextBody"/>
        <w:pBdr>
          <w:bottom w:val="single" w:sz="2" w:space="1" w:color="000000"/>
        </w:pBdr>
        <w:spacing w:lineRule="atLeast" w:line="141" w:before="0" w:after="40"/>
        <w:jc w:val="left"/>
        <w:rPr/>
      </w:pPr>
      <w:r>
        <w:rPr/>
        <w:t> </w:t>
      </w:r>
    </w:p>
    <w:p>
      <w:pPr>
        <w:pStyle w:val="TextBody"/>
        <w:spacing w:before="80" w:after="0"/>
        <w:jc w:val="center"/>
        <w:rPr>
          <w:rFonts w:ascii="Times New Roman" w:hAnsi="Times New Roman"/>
          <w:b/>
          <w:sz w:val="36"/>
        </w:rPr>
      </w:pPr>
      <w:r>
        <w:rPr>
          <w:rFonts w:ascii="Times New Roman" w:hAnsi="Times New Roman"/>
          <w:b/>
          <w:sz w:val="36"/>
        </w:rPr>
        <w:t>UNITED STATES</w:t>
      </w:r>
    </w:p>
    <w:p>
      <w:pPr>
        <w:pStyle w:val="TextBody"/>
        <w:spacing w:before="0" w:after="0"/>
        <w:jc w:val="center"/>
        <w:rPr>
          <w:rFonts w:ascii="Times New Roman" w:hAnsi="Times New Roman"/>
          <w:b/>
          <w:sz w:val="36"/>
        </w:rPr>
      </w:pPr>
      <w:r>
        <w:rPr>
          <w:rFonts w:ascii="Times New Roman" w:hAnsi="Times New Roman"/>
          <w:b/>
          <w:sz w:val="36"/>
        </w:rPr>
        <w:t>SECURITIES AND EXCHANGE COMMISSION</w:t>
      </w:r>
    </w:p>
    <w:p>
      <w:pPr>
        <w:pStyle w:val="TextBody"/>
        <w:spacing w:before="0" w:after="0"/>
        <w:jc w:val="center"/>
        <w:rPr>
          <w:rFonts w:ascii="Times New Roman" w:hAnsi="Times New Roman"/>
          <w:b/>
          <w:sz w:val="24"/>
        </w:rPr>
      </w:pPr>
      <w:r>
        <w:rPr>
          <w:rFonts w:ascii="Times New Roman" w:hAnsi="Times New Roman"/>
          <w:b/>
          <w:sz w:val="24"/>
        </w:rPr>
        <w:t>Washington, D.C. 20549</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center"/>
        <w:rPr>
          <w:rFonts w:ascii="Times New Roman" w:hAnsi="Times New Roman"/>
          <w:b/>
          <w:sz w:val="36"/>
        </w:rPr>
      </w:pPr>
      <w:r>
        <w:rPr>
          <w:rFonts w:ascii="Times New Roman" w:hAnsi="Times New Roman"/>
          <w:b/>
          <w:sz w:val="36"/>
        </w:rPr>
        <w:t>FORM 8-K</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center"/>
        <w:rPr>
          <w:rFonts w:ascii="Times New Roman" w:hAnsi="Times New Roman"/>
          <w:b/>
          <w:sz w:val="24"/>
        </w:rPr>
      </w:pPr>
      <w:r>
        <w:rPr>
          <w:rFonts w:ascii="Times New Roman" w:hAnsi="Times New Roman"/>
          <w:b/>
          <w:sz w:val="24"/>
        </w:rPr>
        <w:t>CURRENT REPORT</w:t>
      </w:r>
    </w:p>
    <w:p>
      <w:pPr>
        <w:pStyle w:val="TextBody"/>
        <w:spacing w:before="0" w:after="0"/>
        <w:jc w:val="center"/>
        <w:rPr>
          <w:rFonts w:ascii="Times New Roman" w:hAnsi="Times New Roman"/>
          <w:b/>
          <w:sz w:val="24"/>
        </w:rPr>
      </w:pPr>
      <w:r>
        <w:rPr>
          <w:rFonts w:ascii="Times New Roman" w:hAnsi="Times New Roman"/>
          <w:b/>
          <w:sz w:val="24"/>
        </w:rPr>
        <w:t>PURSUANT TO SECTION 13 OR 15(d)</w:t>
      </w:r>
    </w:p>
    <w:p>
      <w:pPr>
        <w:pStyle w:val="TextBody"/>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spacing w:before="240" w:after="0"/>
        <w:jc w:val="center"/>
        <w:rPr>
          <w:rFonts w:ascii="Times New Roman" w:hAnsi="Times New Roman"/>
          <w:b/>
          <w:sz w:val="24"/>
        </w:rPr>
      </w:pPr>
      <w:r>
        <w:rPr>
          <w:rFonts w:ascii="Times New Roman" w:hAnsi="Times New Roman"/>
          <w:b/>
          <w:sz w:val="24"/>
        </w:rPr>
        <w:t>Date of report (Date of earliest event reported): April 25, 2023</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center"/>
        <w:rPr>
          <w:rFonts w:ascii="Times New Roman" w:hAnsi="Times New Roman"/>
          <w:b/>
          <w:sz w:val="48"/>
        </w:rPr>
      </w:pPr>
      <w:r>
        <w:rPr>
          <w:rFonts w:ascii="Times New Roman" w:hAnsi="Times New Roman"/>
          <w:b/>
          <w:sz w:val="48"/>
        </w:rPr>
        <w:t>GoodRx Holdings, Inc.</w:t>
      </w:r>
    </w:p>
    <w:p>
      <w:pPr>
        <w:pStyle w:val="TextBody"/>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0" w:after="0"/>
        <w:jc w:val="left"/>
        <w:rPr/>
      </w:pPr>
      <w:r>
        <w:rPr/>
        <w:t> </w:t>
      </w:r>
    </w:p>
    <w:tbl>
      <w:tblPr>
        <w:tblW w:w="4605" w:type="dxa"/>
        <w:jc w:val="left"/>
        <w:tblInd w:w="0" w:type="dxa"/>
        <w:tblCellMar>
          <w:top w:w="0" w:type="dxa"/>
          <w:left w:w="0" w:type="dxa"/>
          <w:bottom w:w="0" w:type="dxa"/>
          <w:right w:w="0" w:type="dxa"/>
        </w:tblCellMar>
      </w:tblPr>
      <w:tblGrid>
        <w:gridCol w:w="2060"/>
        <w:gridCol w:w="60"/>
        <w:gridCol w:w="1055"/>
        <w:gridCol w:w="60"/>
        <w:gridCol w:w="1370"/>
      </w:tblGrid>
      <w:tr>
        <w:trPr/>
        <w:tc>
          <w:tcPr>
            <w:tcW w:w="20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370" w:type="dxa"/>
            <w:tcBorders/>
            <w:shd w:fill="auto" w:val="clear"/>
            <w:vAlign w:val="center"/>
          </w:tcPr>
          <w:p>
            <w:pPr>
              <w:pStyle w:val="TableContents"/>
              <w:spacing w:before="0" w:after="283"/>
              <w:rPr>
                <w:sz w:val="4"/>
                <w:szCs w:val="4"/>
              </w:rPr>
            </w:pPr>
            <w:r>
              <w:rPr>
                <w:sz w:val="4"/>
                <w:szCs w:val="4"/>
              </w:rPr>
            </w:r>
          </w:p>
        </w:tc>
      </w:tr>
      <w:tr>
        <w:trPr/>
        <w:tc>
          <w:tcPr>
            <w:tcW w:w="2060" w:type="dxa"/>
            <w:tcBorders/>
            <w:shd w:fill="auto" w:val="clear"/>
            <w:vAlign w:val="center"/>
          </w:tcPr>
          <w:p>
            <w:pPr>
              <w:pStyle w:val="TableContents"/>
              <w:spacing w:before="0" w:after="283"/>
              <w:jc w:val="center"/>
              <w:rPr>
                <w:b/>
              </w:rPr>
            </w:pPr>
            <w:r>
              <w:rPr>
                <w:b/>
              </w:rPr>
              <w:t>Delaware</w:t>
            </w:r>
          </w:p>
        </w:tc>
        <w:tc>
          <w:tcPr>
            <w:tcW w:w="6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jc w:val="center"/>
              <w:rPr>
                <w:b/>
              </w:rPr>
            </w:pPr>
            <w:r>
              <w:rPr>
                <w:b/>
              </w:rPr>
              <w:t>001-39549</w:t>
            </w:r>
          </w:p>
        </w:tc>
        <w:tc>
          <w:tcPr>
            <w:tcW w:w="60" w:type="dxa"/>
            <w:tcBorders/>
            <w:shd w:fill="auto" w:val="clear"/>
            <w:vAlign w:val="center"/>
          </w:tcPr>
          <w:p>
            <w:pPr>
              <w:pStyle w:val="TableContents"/>
              <w:spacing w:before="0" w:after="283"/>
              <w:rPr/>
            </w:pPr>
            <w:r>
              <w:rPr/>
              <w:t> </w:t>
            </w:r>
          </w:p>
        </w:tc>
        <w:tc>
          <w:tcPr>
            <w:tcW w:w="1370" w:type="dxa"/>
            <w:tcBorders/>
            <w:shd w:fill="auto" w:val="clear"/>
            <w:vAlign w:val="center"/>
          </w:tcPr>
          <w:p>
            <w:pPr>
              <w:pStyle w:val="TableContents"/>
              <w:spacing w:before="0" w:after="283"/>
              <w:jc w:val="center"/>
              <w:rPr>
                <w:b/>
              </w:rPr>
            </w:pPr>
            <w:r>
              <w:rPr>
                <w:b/>
              </w:rPr>
              <w:t>47-5104396</w:t>
            </w:r>
          </w:p>
        </w:tc>
      </w:tr>
      <w:tr>
        <w:trPr/>
        <w:tc>
          <w:tcPr>
            <w:tcW w:w="2060" w:type="dxa"/>
            <w:tcBorders/>
            <w:shd w:fill="auto" w:val="clear"/>
            <w:vAlign w:val="center"/>
          </w:tcPr>
          <w:p>
            <w:pPr>
              <w:pStyle w:val="TableContents"/>
              <w:spacing w:before="0" w:after="0"/>
              <w:jc w:val="center"/>
              <w:rPr>
                <w:rFonts w:ascii="Times New Roman" w:hAnsi="Times New Roman"/>
                <w:b/>
                <w:sz w:val="16"/>
              </w:rPr>
            </w:pPr>
            <w:r>
              <w:rPr>
                <w:rFonts w:ascii="Times New Roman" w:hAnsi="Times New Roman"/>
                <w:b/>
                <w:sz w:val="16"/>
              </w:rPr>
              <w:t>(State or Other Jurisdiction</w:t>
            </w:r>
          </w:p>
          <w:p>
            <w:pPr>
              <w:pStyle w:val="TableContents"/>
              <w:spacing w:before="0" w:after="20"/>
              <w:jc w:val="center"/>
              <w:rPr>
                <w:rFonts w:ascii="Times New Roman" w:hAnsi="Times New Roman"/>
                <w:b/>
                <w:sz w:val="16"/>
              </w:rPr>
            </w:pPr>
            <w:r>
              <w:rPr>
                <w:rFonts w:ascii="Times New Roman" w:hAnsi="Times New Roman"/>
                <w:b/>
                <w:sz w:val="16"/>
              </w:rPr>
              <w:t>of Incorporation)</w:t>
            </w:r>
          </w:p>
        </w:tc>
        <w:tc>
          <w:tcPr>
            <w:tcW w:w="6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0"/>
              <w:jc w:val="center"/>
              <w:rPr>
                <w:rFonts w:ascii="Times New Roman" w:hAnsi="Times New Roman"/>
                <w:b/>
                <w:sz w:val="16"/>
              </w:rPr>
            </w:pPr>
            <w:r>
              <w:rPr>
                <w:rFonts w:ascii="Times New Roman" w:hAnsi="Times New Roman"/>
                <w:b/>
                <w:sz w:val="16"/>
              </w:rPr>
              <w:t>(Commission</w:t>
            </w:r>
          </w:p>
          <w:p>
            <w:pPr>
              <w:pStyle w:val="TableContents"/>
              <w:spacing w:before="0" w:after="20"/>
              <w:jc w:val="center"/>
              <w:rPr>
                <w:rFonts w:ascii="Times New Roman" w:hAnsi="Times New Roman"/>
                <w:b/>
                <w:sz w:val="16"/>
              </w:rPr>
            </w:pPr>
            <w:r>
              <w:rPr>
                <w:rFonts w:ascii="Times New Roman" w:hAnsi="Times New Roman"/>
                <w:b/>
                <w:sz w:val="16"/>
              </w:rPr>
              <w:t>File Number)</w:t>
            </w:r>
          </w:p>
        </w:tc>
        <w:tc>
          <w:tcPr>
            <w:tcW w:w="60" w:type="dxa"/>
            <w:tcBorders/>
            <w:shd w:fill="auto" w:val="clear"/>
            <w:vAlign w:val="center"/>
          </w:tcPr>
          <w:p>
            <w:pPr>
              <w:pStyle w:val="TableContents"/>
              <w:spacing w:before="0" w:after="283"/>
              <w:rPr/>
            </w:pPr>
            <w:r>
              <w:rPr/>
              <w:t> </w:t>
            </w:r>
          </w:p>
        </w:tc>
        <w:tc>
          <w:tcPr>
            <w:tcW w:w="1370" w:type="dxa"/>
            <w:tcBorders/>
            <w:shd w:fill="auto" w:val="clear"/>
            <w:vAlign w:val="center"/>
          </w:tcPr>
          <w:p>
            <w:pPr>
              <w:pStyle w:val="TableContents"/>
              <w:spacing w:before="0" w:after="0"/>
              <w:jc w:val="center"/>
              <w:rPr>
                <w:rFonts w:ascii="Times New Roman" w:hAnsi="Times New Roman"/>
                <w:b/>
                <w:sz w:val="16"/>
              </w:rPr>
            </w:pPr>
            <w:r>
              <w:rPr>
                <w:rFonts w:ascii="Times New Roman" w:hAnsi="Times New Roman"/>
                <w:b/>
                <w:sz w:val="16"/>
              </w:rPr>
              <w:t>(IRS Employer</w:t>
            </w:r>
          </w:p>
          <w:p>
            <w:pPr>
              <w:pStyle w:val="TableContents"/>
              <w:spacing w:before="0" w:after="20"/>
              <w:jc w:val="center"/>
              <w:rPr>
                <w:rFonts w:ascii="Times New Roman" w:hAnsi="Times New Roman"/>
                <w:b/>
                <w:sz w:val="16"/>
              </w:rPr>
            </w:pPr>
            <w:r>
              <w:rPr>
                <w:rFonts w:ascii="Times New Roman" w:hAnsi="Times New Roman"/>
                <w:b/>
                <w:sz w:val="16"/>
              </w:rPr>
              <w:t>Identification No.)</w:t>
            </w:r>
          </w:p>
        </w:tc>
      </w:tr>
    </w:tbl>
    <w:p>
      <w:pPr>
        <w:pStyle w:val="TextBody"/>
        <w:spacing w:before="240" w:after="0"/>
        <w:jc w:val="center"/>
        <w:rPr>
          <w:rFonts w:ascii="Times New Roman" w:hAnsi="Times New Roman"/>
          <w:b/>
          <w:sz w:val="20"/>
        </w:rPr>
      </w:pPr>
      <w:r>
        <w:rPr>
          <w:rFonts w:ascii="Times New Roman" w:hAnsi="Times New Roman"/>
          <w:b/>
          <w:sz w:val="20"/>
        </w:rPr>
        <w:t>2701 Olympic Boulevard</w:t>
      </w:r>
    </w:p>
    <w:p>
      <w:pPr>
        <w:pStyle w:val="TextBody"/>
        <w:spacing w:before="0" w:after="0"/>
        <w:jc w:val="center"/>
        <w:rPr>
          <w:rFonts w:ascii="Times New Roman" w:hAnsi="Times New Roman"/>
          <w:b/>
          <w:sz w:val="20"/>
        </w:rPr>
      </w:pPr>
      <w:r>
        <w:rPr>
          <w:rFonts w:ascii="Times New Roman" w:hAnsi="Times New Roman"/>
          <w:b/>
          <w:sz w:val="20"/>
        </w:rPr>
        <w:t>Santa Monica, CA 90404</w:t>
      </w:r>
    </w:p>
    <w:p>
      <w:pPr>
        <w:pStyle w:val="TextBody"/>
        <w:spacing w:before="0" w:after="0"/>
        <w:jc w:val="center"/>
        <w:rPr>
          <w:rFonts w:ascii="Times New Roman" w:hAnsi="Times New Roman"/>
          <w:b/>
          <w:sz w:val="16"/>
        </w:rPr>
      </w:pPr>
      <w:r>
        <w:rPr>
          <w:rFonts w:ascii="Times New Roman" w:hAnsi="Times New Roman"/>
          <w:b/>
          <w:sz w:val="16"/>
        </w:rPr>
        <w:t>(Address of Principal Executive Offices) (Zip Code)</w:t>
      </w:r>
    </w:p>
    <w:p>
      <w:pPr>
        <w:pStyle w:val="TextBody"/>
        <w:spacing w:before="240" w:after="0"/>
        <w:jc w:val="center"/>
        <w:rPr>
          <w:rFonts w:ascii="Times New Roman" w:hAnsi="Times New Roman"/>
          <w:b/>
          <w:sz w:val="20"/>
        </w:rPr>
      </w:pPr>
      <w:r>
        <w:rPr>
          <w:rFonts w:ascii="Times New Roman" w:hAnsi="Times New Roman"/>
          <w:b/>
          <w:sz w:val="20"/>
        </w:rPr>
        <w:t>(855) 268-2822</w:t>
      </w:r>
    </w:p>
    <w:p>
      <w:pPr>
        <w:pStyle w:val="TextBody"/>
        <w:spacing w:before="0" w:after="0"/>
        <w:jc w:val="center"/>
        <w:rPr>
          <w:rFonts w:ascii="Times New Roman" w:hAnsi="Times New Roman"/>
          <w:b/>
          <w:sz w:val="16"/>
        </w:rPr>
      </w:pPr>
      <w:r>
        <w:rPr>
          <w:rFonts w:ascii="Times New Roman" w:hAnsi="Times New Roman"/>
          <w:b/>
          <w:sz w:val="16"/>
        </w:rPr>
        <w:t>(Registrant’s telephone number, including area code)</w:t>
      </w:r>
    </w:p>
    <w:p>
      <w:pPr>
        <w:pStyle w:val="TextBody"/>
        <w:spacing w:before="240" w:after="0"/>
        <w:jc w:val="center"/>
        <w:rPr>
          <w:rFonts w:ascii="Times New Roman" w:hAnsi="Times New Roman"/>
          <w:b/>
          <w:sz w:val="20"/>
        </w:rPr>
      </w:pPr>
      <w:r>
        <w:rPr>
          <w:rFonts w:ascii="Times New Roman" w:hAnsi="Times New Roman"/>
          <w:b/>
          <w:sz w:val="20"/>
        </w:rPr>
        <w:t>N/A</w:t>
      </w:r>
    </w:p>
    <w:p>
      <w:pPr>
        <w:pStyle w:val="TextBody"/>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spacing w:before="0" w:after="0"/>
        <w:jc w:val="left"/>
        <w:rPr/>
      </w:pPr>
      <w:r>
        <w:rPr/>
        <w:t> </w:t>
      </w:r>
    </w:p>
    <w:tbl>
      <w:tblPr>
        <w:tblW w:w="7585" w:type="dxa"/>
        <w:jc w:val="left"/>
        <w:tblInd w:w="0" w:type="dxa"/>
        <w:tblCellMar>
          <w:top w:w="0" w:type="dxa"/>
          <w:left w:w="0" w:type="dxa"/>
          <w:bottom w:w="0" w:type="dxa"/>
          <w:right w:w="0" w:type="dxa"/>
        </w:tblCellMar>
      </w:tblPr>
      <w:tblGrid>
        <w:gridCol w:w="245"/>
        <w:gridCol w:w="7340"/>
      </w:tblGrid>
      <w:tr>
        <w:trPr/>
        <w:tc>
          <w:tcPr>
            <w:tcW w:w="245" w:type="dxa"/>
            <w:tcBorders/>
            <w:shd w:fill="auto" w:val="clear"/>
            <w:vAlign w:val="center"/>
          </w:tcPr>
          <w:p>
            <w:pPr>
              <w:pStyle w:val="TableContents"/>
              <w:spacing w:before="0" w:after="283"/>
              <w:rPr/>
            </w:pPr>
            <w:r>
              <w:rPr/>
              <w:t>☐</w:t>
            </w:r>
          </w:p>
        </w:tc>
        <w:tc>
          <w:tcPr>
            <w:tcW w:w="734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spacing w:before="0" w:after="0"/>
        <w:jc w:val="left"/>
        <w:rPr/>
      </w:pPr>
      <w:r>
        <w:rPr/>
        <w:t> </w:t>
      </w:r>
    </w:p>
    <w:tbl>
      <w:tblPr>
        <w:tblW w:w="7615" w:type="dxa"/>
        <w:jc w:val="left"/>
        <w:tblInd w:w="0" w:type="dxa"/>
        <w:tblCellMar>
          <w:top w:w="0" w:type="dxa"/>
          <w:left w:w="0" w:type="dxa"/>
          <w:bottom w:w="0" w:type="dxa"/>
          <w:right w:w="0" w:type="dxa"/>
        </w:tblCellMar>
      </w:tblPr>
      <w:tblGrid>
        <w:gridCol w:w="245"/>
        <w:gridCol w:w="7370"/>
      </w:tblGrid>
      <w:tr>
        <w:trPr/>
        <w:tc>
          <w:tcPr>
            <w:tcW w:w="245" w:type="dxa"/>
            <w:tcBorders/>
            <w:shd w:fill="auto" w:val="clear"/>
            <w:vAlign w:val="center"/>
          </w:tcPr>
          <w:p>
            <w:pPr>
              <w:pStyle w:val="TableContents"/>
              <w:spacing w:before="0" w:after="283"/>
              <w:rPr/>
            </w:pPr>
            <w:r>
              <w:rPr/>
              <w:t>☐</w:t>
            </w:r>
          </w:p>
        </w:tc>
        <w:tc>
          <w:tcPr>
            <w:tcW w:w="737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spacing w:before="0" w:after="0"/>
        <w:jc w:val="left"/>
        <w:rPr/>
      </w:pPr>
      <w:r>
        <w:rPr/>
        <w:t> </w:t>
      </w:r>
    </w:p>
    <w:tbl>
      <w:tblPr>
        <w:tblW w:w="9355" w:type="dxa"/>
        <w:jc w:val="left"/>
        <w:tblInd w:w="0" w:type="dxa"/>
        <w:tblCellMar>
          <w:top w:w="0" w:type="dxa"/>
          <w:left w:w="0" w:type="dxa"/>
          <w:bottom w:w="0" w:type="dxa"/>
          <w:right w:w="0" w:type="dxa"/>
        </w:tblCellMar>
      </w:tblPr>
      <w:tblGrid>
        <w:gridCol w:w="245"/>
        <w:gridCol w:w="9110"/>
      </w:tblGrid>
      <w:tr>
        <w:trPr/>
        <w:tc>
          <w:tcPr>
            <w:tcW w:w="245" w:type="dxa"/>
            <w:tcBorders/>
            <w:shd w:fill="auto" w:val="clear"/>
            <w:vAlign w:val="center"/>
          </w:tcPr>
          <w:p>
            <w:pPr>
              <w:pStyle w:val="TableContents"/>
              <w:spacing w:before="0" w:after="283"/>
              <w:rPr/>
            </w:pPr>
            <w:r>
              <w:rPr/>
              <w:t>☐</w:t>
            </w:r>
          </w:p>
        </w:tc>
        <w:tc>
          <w:tcPr>
            <w:tcW w:w="911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spacing w:before="0" w:after="0"/>
        <w:jc w:val="left"/>
        <w:rPr/>
      </w:pPr>
      <w:r>
        <w:rPr/>
        <w:t> </w:t>
      </w:r>
    </w:p>
    <w:tbl>
      <w:tblPr>
        <w:tblW w:w="9295" w:type="dxa"/>
        <w:jc w:val="left"/>
        <w:tblInd w:w="0" w:type="dxa"/>
        <w:tblCellMar>
          <w:top w:w="0" w:type="dxa"/>
          <w:left w:w="0" w:type="dxa"/>
          <w:bottom w:w="0" w:type="dxa"/>
          <w:right w:w="0" w:type="dxa"/>
        </w:tblCellMar>
      </w:tblPr>
      <w:tblGrid>
        <w:gridCol w:w="245"/>
        <w:gridCol w:w="9050"/>
      </w:tblGrid>
      <w:tr>
        <w:trPr/>
        <w:tc>
          <w:tcPr>
            <w:tcW w:w="245" w:type="dxa"/>
            <w:tcBorders/>
            <w:shd w:fill="auto" w:val="clear"/>
            <w:vAlign w:val="center"/>
          </w:tcPr>
          <w:p>
            <w:pPr>
              <w:pStyle w:val="TableContents"/>
              <w:spacing w:before="0" w:after="283"/>
              <w:rPr/>
            </w:pPr>
            <w:r>
              <w:rPr/>
              <w:t>☐</w:t>
            </w:r>
          </w:p>
        </w:tc>
        <w:tc>
          <w:tcPr>
            <w:tcW w:w="905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spacing w:before="240" w:after="0"/>
        <w:jc w:val="left"/>
        <w:rPr>
          <w:rFonts w:ascii="Times New Roman" w:hAnsi="Times New Roman"/>
          <w:sz w:val="20"/>
        </w:rPr>
      </w:pPr>
      <w:r>
        <w:rPr>
          <w:rFonts w:ascii="Times New Roman" w:hAnsi="Times New Roman"/>
          <w:sz w:val="20"/>
        </w:rPr>
        <w:t>Securities registered pursuant to Section 12(b) of the Act:</w:t>
      </w:r>
    </w:p>
    <w:p>
      <w:pPr>
        <w:pStyle w:val="TextBody"/>
        <w:spacing w:before="0" w:after="0"/>
        <w:jc w:val="left"/>
        <w:rPr/>
      </w:pPr>
      <w:r>
        <w:rPr/>
        <w:t> </w:t>
      </w:r>
    </w:p>
    <w:tbl>
      <w:tblPr>
        <w:tblW w:w="8985" w:type="dxa"/>
        <w:jc w:val="left"/>
        <w:tblInd w:w="0" w:type="dxa"/>
        <w:tblCellMar>
          <w:top w:w="0" w:type="dxa"/>
          <w:left w:w="0" w:type="dxa"/>
          <w:bottom w:w="0" w:type="dxa"/>
          <w:right w:w="0" w:type="dxa"/>
        </w:tblCellMar>
      </w:tblPr>
      <w:tblGrid>
        <w:gridCol w:w="5075"/>
        <w:gridCol w:w="60"/>
        <w:gridCol w:w="740"/>
        <w:gridCol w:w="60"/>
        <w:gridCol w:w="3050"/>
      </w:tblGrid>
      <w:tr>
        <w:trPr/>
        <w:tc>
          <w:tcPr>
            <w:tcW w:w="50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74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050" w:type="dxa"/>
            <w:tcBorders/>
            <w:shd w:fill="auto" w:val="clear"/>
            <w:vAlign w:val="center"/>
          </w:tcPr>
          <w:p>
            <w:pPr>
              <w:pStyle w:val="TableContents"/>
              <w:spacing w:before="0" w:after="283"/>
              <w:rPr>
                <w:sz w:val="4"/>
                <w:szCs w:val="4"/>
              </w:rPr>
            </w:pPr>
            <w:r>
              <w:rPr>
                <w:sz w:val="4"/>
                <w:szCs w:val="4"/>
              </w:rPr>
            </w:r>
          </w:p>
        </w:tc>
      </w:tr>
      <w:tr>
        <w:trPr/>
        <w:tc>
          <w:tcPr>
            <w:tcW w:w="5075" w:type="dxa"/>
            <w:tcBorders>
              <w:bottom w:val="single" w:sz="8" w:space="0" w:color="000000"/>
            </w:tcBorders>
            <w:shd w:fill="auto" w:val="clear"/>
            <w:tcMar>
              <w:bottom w:w="28" w:type="dxa"/>
            </w:tcMar>
            <w:vAlign w:val="center"/>
          </w:tcPr>
          <w:p>
            <w:pPr>
              <w:pStyle w:val="TableContents"/>
              <w:spacing w:before="0" w:after="20"/>
              <w:jc w:val="center"/>
              <w:rPr>
                <w:rFonts w:ascii="Times New Roman" w:hAnsi="Times New Roman"/>
                <w:b/>
                <w:sz w:val="16"/>
              </w:rPr>
            </w:pPr>
            <w:r>
              <w:rPr>
                <w:rFonts w:ascii="Times New Roman" w:hAnsi="Times New Roman"/>
                <w:b/>
                <w:sz w:val="16"/>
              </w:rPr>
              <w:t>Title of each class</w:t>
            </w:r>
          </w:p>
        </w:tc>
        <w:tc>
          <w:tcPr>
            <w:tcW w:w="60" w:type="dxa"/>
            <w:tcBorders/>
            <w:shd w:fill="auto" w:val="clear"/>
            <w:vAlign w:val="center"/>
          </w:tcPr>
          <w:p>
            <w:pPr>
              <w:pStyle w:val="TableContents"/>
              <w:spacing w:before="0" w:after="283"/>
              <w:rPr/>
            </w:pPr>
            <w:r>
              <w:rPr/>
              <w:t> </w:t>
            </w:r>
          </w:p>
        </w:tc>
        <w:tc>
          <w:tcPr>
            <w:tcW w:w="740" w:type="dxa"/>
            <w:tcBorders>
              <w:bottom w:val="single" w:sz="8" w:space="0" w:color="000000"/>
            </w:tcBorders>
            <w:shd w:fill="auto" w:val="clear"/>
            <w:tcMar>
              <w:bottom w:w="28" w:type="dxa"/>
            </w:tcMar>
            <w:vAlign w:val="center"/>
          </w:tcPr>
          <w:p>
            <w:pPr>
              <w:pStyle w:val="TableContents"/>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shd w:fill="auto" w:val="clear"/>
            <w:vAlign w:val="center"/>
          </w:tcPr>
          <w:p>
            <w:pPr>
              <w:pStyle w:val="TableContents"/>
              <w:spacing w:before="0" w:after="283"/>
              <w:rPr/>
            </w:pPr>
            <w:r>
              <w:rPr/>
              <w:t> </w:t>
            </w:r>
          </w:p>
        </w:tc>
        <w:tc>
          <w:tcPr>
            <w:tcW w:w="3050" w:type="dxa"/>
            <w:tcBorders>
              <w:bottom w:val="single" w:sz="8" w:space="0" w:color="000000"/>
            </w:tcBorders>
            <w:shd w:fill="auto" w:val="clear"/>
            <w:tcMar>
              <w:bottom w:w="28" w:type="dxa"/>
            </w:tcMar>
            <w:vAlign w:val="center"/>
          </w:tcPr>
          <w:p>
            <w:pPr>
              <w:pStyle w:val="TableContents"/>
              <w:spacing w:before="0" w:after="0"/>
              <w:jc w:val="center"/>
              <w:rPr>
                <w:rFonts w:ascii="Times New Roman" w:hAnsi="Times New Roman"/>
                <w:b/>
                <w:sz w:val="16"/>
              </w:rPr>
            </w:pPr>
            <w:r>
              <w:rPr>
                <w:rFonts w:ascii="Times New Roman" w:hAnsi="Times New Roman"/>
                <w:b/>
                <w:sz w:val="16"/>
              </w:rPr>
              <w:t>Name of each exchange</w:t>
            </w:r>
          </w:p>
          <w:p>
            <w:pPr>
              <w:pStyle w:val="TableContents"/>
              <w:spacing w:before="0" w:after="20"/>
              <w:jc w:val="center"/>
              <w:rPr>
                <w:rFonts w:ascii="Times New Roman" w:hAnsi="Times New Roman"/>
                <w:b/>
                <w:sz w:val="16"/>
              </w:rPr>
            </w:pPr>
            <w:r>
              <w:rPr>
                <w:rFonts w:ascii="Times New Roman" w:hAnsi="Times New Roman"/>
                <w:b/>
                <w:sz w:val="16"/>
              </w:rPr>
              <w:t>on which registered</w:t>
            </w:r>
          </w:p>
        </w:tc>
      </w:tr>
      <w:tr>
        <w:trPr/>
        <w:tc>
          <w:tcPr>
            <w:tcW w:w="5075" w:type="dxa"/>
            <w:tcBorders/>
            <w:shd w:fill="auto" w:val="clear"/>
            <w:vAlign w:val="center"/>
          </w:tcPr>
          <w:p>
            <w:pPr>
              <w:pStyle w:val="TableContents"/>
              <w:spacing w:before="0" w:after="283"/>
              <w:jc w:val="center"/>
              <w:rPr/>
            </w:pPr>
            <w:r>
              <w:rPr/>
              <w:t>Class A Common Stock, $0.0001 par value per share</w:t>
            </w:r>
          </w:p>
        </w:tc>
        <w:tc>
          <w:tcPr>
            <w:tcW w:w="60" w:type="dxa"/>
            <w:tcBorders/>
            <w:shd w:fill="auto" w:val="clear"/>
            <w:vAlign w:val="center"/>
          </w:tcPr>
          <w:p>
            <w:pPr>
              <w:pStyle w:val="TableContents"/>
              <w:spacing w:before="0" w:after="283"/>
              <w:rPr/>
            </w:pPr>
            <w:r>
              <w:rPr/>
              <w:t> </w:t>
            </w:r>
          </w:p>
        </w:tc>
        <w:tc>
          <w:tcPr>
            <w:tcW w:w="740" w:type="dxa"/>
            <w:tcBorders/>
            <w:shd w:fill="auto" w:val="clear"/>
            <w:vAlign w:val="center"/>
          </w:tcPr>
          <w:p>
            <w:pPr>
              <w:pStyle w:val="TableContents"/>
              <w:spacing w:before="0" w:after="283"/>
              <w:jc w:val="center"/>
              <w:rPr/>
            </w:pPr>
            <w:r>
              <w:rPr/>
              <w:t>GDRX</w:t>
            </w:r>
          </w:p>
        </w:tc>
        <w:tc>
          <w:tcPr>
            <w:tcW w:w="60" w:type="dxa"/>
            <w:tcBorders/>
            <w:shd w:fill="auto" w:val="clear"/>
            <w:vAlign w:val="center"/>
          </w:tcPr>
          <w:p>
            <w:pPr>
              <w:pStyle w:val="TableContents"/>
              <w:spacing w:before="0" w:after="283"/>
              <w:rPr/>
            </w:pPr>
            <w:r>
              <w:rPr/>
              <w:t> </w:t>
            </w:r>
          </w:p>
        </w:tc>
        <w:tc>
          <w:tcPr>
            <w:tcW w:w="3050" w:type="dxa"/>
            <w:tcBorders/>
            <w:shd w:fill="auto" w:val="clear"/>
            <w:vAlign w:val="center"/>
          </w:tcPr>
          <w:p>
            <w:pPr>
              <w:pStyle w:val="TableContents"/>
              <w:spacing w:before="0" w:after="283"/>
              <w:jc w:val="center"/>
              <w:rPr/>
            </w:pPr>
            <w:r>
              <w:rPr/>
              <w:t>The Nasdaq Stock Market LLC</w:t>
            </w:r>
          </w:p>
        </w:tc>
      </w:tr>
    </w:tbl>
    <w:p>
      <w:pPr>
        <w:pStyle w:val="TextBody"/>
        <w:spacing w:before="24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spacing w:before="240" w:after="0"/>
        <w:jc w:val="left"/>
        <w:rPr>
          <w:rFonts w:ascii="Times New Roman" w:hAnsi="Times New Roman"/>
          <w:sz w:val="20"/>
        </w:rPr>
      </w:pPr>
      <w:r>
        <w:rPr>
          <w:rFonts w:ascii="Times New Roman" w:hAnsi="Times New Roman"/>
          <w:sz w:val="20"/>
        </w:rPr>
        <w:t>Emerging growth company ☐</w:t>
      </w:r>
    </w:p>
    <w:p>
      <w:pPr>
        <w:pStyle w:val="TextBody"/>
        <w:spacing w:before="24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pacing w:before="0" w:after="0"/>
        <w:jc w:val="left"/>
        <w:rPr/>
      </w:pPr>
      <w:r>
        <w:rPr/>
        <w:t> </w:t>
      </w:r>
    </w:p>
    <w:p>
      <w:pPr>
        <w:pStyle w:val="TextBody"/>
        <w:pBdr>
          <w:bottom w:val="single" w:sz="2" w:space="1" w:color="000000"/>
        </w:pBdr>
        <w:spacing w:lineRule="atLeast" w:line="141" w:before="0" w:after="0"/>
        <w:jc w:val="left"/>
        <w:rPr/>
      </w:pPr>
      <w:r>
        <w:rPr/>
        <w:t> </w:t>
      </w:r>
    </w:p>
    <w:p>
      <w:pPr>
        <w:pStyle w:val="TextBody"/>
        <w:pBdr>
          <w:bottom w:val="single" w:sz="2" w:space="1" w:color="000000"/>
        </w:pBdr>
        <w:spacing w:lineRule="atLeast" w:line="141" w:before="0" w:after="40"/>
        <w:jc w:val="left"/>
        <w:rPr/>
      </w:pPr>
      <w:r>
        <w:rPr/>
        <w:t> </w:t>
      </w:r>
      <w:r>
        <w:br w:type="page"/>
      </w:r>
    </w:p>
    <w:p>
      <w:pPr>
        <w:pStyle w:val="HorizontalLine"/>
        <w:rPr/>
      </w:pPr>
      <w:r>
        <w:rPr/>
      </w:r>
    </w:p>
    <w:p>
      <w:pPr>
        <w:pStyle w:val="TextBody"/>
        <w:spacing w:before="0" w:after="0"/>
        <w:jc w:val="left"/>
        <w:rPr>
          <w:rFonts w:ascii="Times New Roman" w:hAnsi="Times New Roman"/>
          <w:b/>
          <w:sz w:val="20"/>
        </w:rPr>
      </w:pPr>
      <w:r>
        <w:rPr>
          <w:rFonts w:ascii="Times New Roman" w:hAnsi="Times New Roman"/>
          <w:b/>
          <w:sz w:val="20"/>
        </w:rPr>
        <w:t xml:space="preserve">Item 2.02. Results of Operations and Financial Condition. </w:t>
      </w:r>
    </w:p>
    <w:p>
      <w:pPr>
        <w:pStyle w:val="TextBody"/>
        <w:spacing w:before="120" w:after="0"/>
        <w:jc w:val="left"/>
        <w:rPr>
          <w:rFonts w:ascii="Times New Roman" w:hAnsi="Times New Roman"/>
          <w:sz w:val="20"/>
        </w:rPr>
      </w:pPr>
      <w:r>
        <w:rPr>
          <w:rFonts w:ascii="Times New Roman" w:hAnsi="Times New Roman"/>
          <w:sz w:val="20"/>
        </w:rPr>
        <w:t xml:space="preserve">On April 25, 2023, GoodRx Holdings, Inc. (the “Company”) issued a press release in connection with the executive leadership transition described in Item 5.02 of this Current Report on Form 8-K which addresses the Company’s financial performance for the first quarter ended March 31, 2023. The full text of the press release issued in connection with the announcement is furnished as Exhibit 99.1 hereto and incorporated herein by reference. </w:t>
      </w:r>
    </w:p>
    <w:p>
      <w:pPr>
        <w:pStyle w:val="TextBody"/>
        <w:spacing w:before="240" w:after="0"/>
        <w:jc w:val="left"/>
        <w:rPr>
          <w:rFonts w:ascii="Times New Roman" w:hAnsi="Times New Roman"/>
          <w:sz w:val="20"/>
        </w:rPr>
      </w:pPr>
      <w:r>
        <w:rPr>
          <w:rFonts w:ascii="Times New Roman" w:hAnsi="Times New Roman"/>
          <w:sz w:val="20"/>
        </w:rPr>
        <w:t xml:space="preserve">The information in this report (including Exhibit 99.1)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specified reference in such a filing. </w:t>
      </w:r>
    </w:p>
    <w:p>
      <w:pPr>
        <w:pStyle w:val="TextBody"/>
        <w:spacing w:before="360" w:after="0"/>
        <w:jc w:val="left"/>
        <w:rPr>
          <w:rFonts w:ascii="Times New Roman" w:hAnsi="Times New Roman"/>
          <w:b/>
          <w:sz w:val="20"/>
        </w:rPr>
      </w:pPr>
      <w:r>
        <w:rPr>
          <w:rFonts w:ascii="Times New Roman" w:hAnsi="Times New Roman"/>
          <w:b/>
          <w:sz w:val="20"/>
        </w:rPr>
        <w:t xml:space="preserve">Item 5.02. Departure of Directors or Certain Officers; Election of Directors; Appointment of Certain Officers; Compensatory Arrangements of Certain Officers. </w:t>
      </w:r>
    </w:p>
    <w:p>
      <w:pPr>
        <w:pStyle w:val="TextBody"/>
        <w:spacing w:before="120" w:after="0"/>
        <w:jc w:val="left"/>
        <w:rPr>
          <w:rFonts w:ascii="Times New Roman" w:hAnsi="Times New Roman"/>
          <w:sz w:val="20"/>
        </w:rPr>
      </w:pPr>
      <w:r>
        <w:rPr>
          <w:rFonts w:ascii="Times New Roman" w:hAnsi="Times New Roman"/>
          <w:sz w:val="20"/>
        </w:rPr>
        <w:t xml:space="preserve">On April 25, 2023, Trevor Bezdek and Douglas Hirsch determined that they would transition from their roles as co-Chief Executive Officers of the Company (the “Transition”). In connection with the Transition, the Company’s Board of Directors (the “Board”) appointed Scott Wagner as Interim Chief Executive Officer of the Company (principal executive officer), effective April 25, 2023. Messrs. Bezdek and Hirsch will each remain executive officers of the Company, serving as Chairman and Chief Mission Officer, respectively, in addition to continuing as directors of the Company. The Board is engaged in a search process for a permanent successor to Messrs. Bezdek and Hirsch. </w:t>
      </w:r>
    </w:p>
    <w:p>
      <w:pPr>
        <w:pStyle w:val="TextBody"/>
        <w:spacing w:before="240" w:after="0"/>
        <w:jc w:val="left"/>
        <w:rPr>
          <w:rFonts w:ascii="Times New Roman" w:hAnsi="Times New Roman"/>
          <w:sz w:val="20"/>
        </w:rPr>
      </w:pPr>
      <w:r>
        <w:rPr>
          <w:rFonts w:ascii="Times New Roman" w:hAnsi="Times New Roman"/>
          <w:sz w:val="20"/>
        </w:rPr>
        <w:t xml:space="preserve">Mr. Wagner, 52, has been serving as an investor and advisor to technology companies. From July 2012 to September 2019, Mr. Wagner served in various leadership roles at GoDaddy Inc. (“GoDaddy”), a leading internet domain registrar and web hosting company, including as Chief Executive Officer from 2017 to 2019, as President, Chief Financial Officer and Chief Operating Officer from 2013 to 2017, and as Interim Chief Executive Officer from 2012 to 2013. During Mr. Wagner’s tenure, Mr. Wagner oversaw GoDaddy’s operational transformation from a leading domain name registrar in the United States into a global software-as-a-service company. Prior to GoDaddy, Mr. Wagner served as a Partner at KKR &amp; Co. Inc., a global investment company, where he worked from 2000 to 2012 as one of the leads of KKR’s Capstone team. </w:t>
      </w:r>
    </w:p>
    <w:p>
      <w:pPr>
        <w:pStyle w:val="TextBody"/>
        <w:spacing w:before="240" w:after="0"/>
        <w:jc w:val="left"/>
        <w:rPr>
          <w:rFonts w:ascii="Times New Roman" w:hAnsi="Times New Roman"/>
          <w:sz w:val="20"/>
        </w:rPr>
      </w:pPr>
      <w:r>
        <w:rPr>
          <w:rFonts w:ascii="Times New Roman" w:hAnsi="Times New Roman"/>
          <w:sz w:val="20"/>
        </w:rPr>
        <w:t xml:space="preserve">Mr. Wagner has served on the board of directors of public companies DoubleVerify Holdings, Inc. since October 2021 and Bill.com Holdings, Inc. since September 2021. Mr. Wagner previously served on the board of directors of GoDaddy from December 2017 to September 2019. Mr. Wagner also serves on the board of directors of private companies GoFundMe, Inc. and Kajabi, LLC. </w:t>
      </w:r>
    </w:p>
    <w:p>
      <w:pPr>
        <w:pStyle w:val="TextBody"/>
        <w:spacing w:before="240" w:after="0"/>
        <w:jc w:val="left"/>
        <w:rPr>
          <w:rFonts w:ascii="Times New Roman" w:hAnsi="Times New Roman"/>
          <w:sz w:val="20"/>
        </w:rPr>
      </w:pPr>
      <w:r>
        <w:rPr>
          <w:rFonts w:ascii="Times New Roman" w:hAnsi="Times New Roman"/>
          <w:sz w:val="20"/>
        </w:rPr>
        <w:t xml:space="preserve">Mr. Wagner holds a B.A. degree in Economics from Yale University and an M.B.A. degree from Harvard Business School. </w:t>
      </w:r>
    </w:p>
    <w:p>
      <w:pPr>
        <w:pStyle w:val="TextBody"/>
        <w:spacing w:before="360" w:after="0"/>
        <w:jc w:val="left"/>
        <w:rPr>
          <w:rFonts w:ascii="Times New Roman" w:hAnsi="Times New Roman"/>
          <w:i/>
          <w:sz w:val="20"/>
        </w:rPr>
      </w:pPr>
      <w:r>
        <w:rPr>
          <w:rFonts w:ascii="Times New Roman" w:hAnsi="Times New Roman"/>
          <w:i/>
          <w:sz w:val="20"/>
        </w:rPr>
        <w:t xml:space="preserve">Wagner Employment Agreement </w:t>
      </w:r>
    </w:p>
    <w:p>
      <w:pPr>
        <w:pStyle w:val="TextBody"/>
        <w:spacing w:before="120" w:after="0"/>
        <w:jc w:val="left"/>
        <w:rPr>
          <w:rFonts w:ascii="Times New Roman" w:hAnsi="Times New Roman"/>
          <w:sz w:val="20"/>
        </w:rPr>
      </w:pPr>
      <w:r>
        <w:rPr>
          <w:rFonts w:ascii="Times New Roman" w:hAnsi="Times New Roman"/>
          <w:sz w:val="20"/>
        </w:rPr>
        <w:t xml:space="preserve">In connection with his appointment as Interim Chief Executive Officer of the Company, on April 25, 2023, GoodRx, Inc. (a subsidiary of the Company) entered into an Employment Agreement with Mr. Wagner (the “Wagner Employment Agreement”). Mr. Wagner’s employment under the Wagner Employment Agreement is at-will and will continue for a period of one year, unless earlier terminated in accordance with the terms of the Wagner Employment Agreement. The Wagner Employment Agreement also provides for (i) an annual base salary; and (ii) eligibility to participate in the health and welfare benefit plans and programs maintained by GoodRx, Inc. for the benefit of its employees and certain other perquisites. In addition, Mr. Wagner is eligible to earn a cash incentive bonus targeted at 100% of his base salary (the “Incentive Bonus”), which bonus is payable based on the Board’s assessment of Mr. Wagner’s performance at the end of the employment term. </w:t>
      </w:r>
    </w:p>
    <w:p>
      <w:pPr>
        <w:pStyle w:val="TextBody"/>
        <w:spacing w:before="240" w:after="0"/>
        <w:jc w:val="left"/>
        <w:rPr>
          <w:rFonts w:ascii="Times New Roman" w:hAnsi="Times New Roman"/>
          <w:sz w:val="20"/>
        </w:rPr>
      </w:pPr>
      <w:r>
        <w:rPr>
          <w:rFonts w:ascii="Times New Roman" w:hAnsi="Times New Roman"/>
          <w:sz w:val="20"/>
        </w:rPr>
        <w:t xml:space="preserve">Pursuant to the Wagner Employment Agreement, Mr. Wagner will be granted a stock option under the Company’s 2020 Incentive Award Plan on the first trading day of the first “open window” under the Company’s Insider Trading Policy that occurs following April 25, 2023. The option will cover between 2,500,000 and 3,000,000 shares of the Company’s Class A common stock, with the final number determined by the Board in its sole discretion prior to or on the applicable grant date. The option will vest and become exercisable in 12 substantially equal installments on each monthly anniversary of April 25, 2023, subject to Mr. Wagner’s continued employment through the applicable vesting date. </w:t>
      </w:r>
      <w:r>
        <w:br w:type="page"/>
      </w:r>
    </w:p>
    <w:p>
      <w:pPr>
        <w:pStyle w:val="HorizontalLine"/>
        <w:rPr/>
      </w:pPr>
      <w:r>
        <w:rPr/>
      </w:r>
    </w:p>
    <w:p>
      <w:pPr>
        <w:pStyle w:val="TextBody"/>
        <w:spacing w:before="0" w:after="0"/>
        <w:jc w:val="left"/>
        <w:rPr>
          <w:rFonts w:ascii="Times New Roman" w:hAnsi="Times New Roman"/>
          <w:sz w:val="20"/>
        </w:rPr>
      </w:pPr>
      <w:r>
        <w:rPr>
          <w:rFonts w:ascii="Times New Roman" w:hAnsi="Times New Roman"/>
          <w:sz w:val="20"/>
        </w:rPr>
        <w:t xml:space="preserve">Pursuant to the Wagner Employment Agreement, if Mr. Wagner’s employment is terminated without “cause” or due to his death, “disability” or resignation for “good reason” (each, as defined in the Wagner Employment Agreement) prior to April 25, 2024, then, subject to his timely execution and non-revocation of a general release of claims and continued compliance with restrictive covenants, Mr. Wagner will be eligible to receive (i) an amount equal to the base salary (at the rate in effect on the termination date) that Mr. Wagner would have received had he remained employed through April 25, 2024, (ii) the Incentive Bonus determined in the Board’s sole discretion (pro-rated for the portion of the year during which Mr. Wagner was employed) and (iii) company-reimbursed COBRA continuation coverage premiums for the severance period. </w:t>
      </w:r>
    </w:p>
    <w:p>
      <w:pPr>
        <w:pStyle w:val="TextBody"/>
        <w:spacing w:before="240" w:after="0"/>
        <w:jc w:val="left"/>
        <w:rPr>
          <w:rFonts w:ascii="Times New Roman" w:hAnsi="Times New Roman"/>
          <w:sz w:val="20"/>
        </w:rPr>
      </w:pPr>
      <w:r>
        <w:rPr>
          <w:rFonts w:ascii="Times New Roman" w:hAnsi="Times New Roman"/>
          <w:sz w:val="20"/>
        </w:rPr>
        <w:t xml:space="preserve">The Wagner Employment Agreement also includes a “best pay” provision under Section 280G of the Internal Revenue Code, pursuant to which any “parachute payments” that become payable to Mr. Wagner will either be paid in full or reduced so that such payments are not subject to the excise tax under Section 4999 of the Internal Revenue Code, whichever results in the better after-tax treatment to Mr. Wagner. </w:t>
      </w:r>
    </w:p>
    <w:p>
      <w:pPr>
        <w:pStyle w:val="TextBody"/>
        <w:spacing w:before="240" w:after="0"/>
        <w:jc w:val="left"/>
        <w:rPr>
          <w:rFonts w:ascii="Times New Roman" w:hAnsi="Times New Roman"/>
          <w:sz w:val="20"/>
        </w:rPr>
      </w:pPr>
      <w:r>
        <w:rPr>
          <w:rFonts w:ascii="Times New Roman" w:hAnsi="Times New Roman"/>
          <w:sz w:val="20"/>
        </w:rPr>
        <w:t xml:space="preserve">Mr. Wagner is also subject to the terms and conditions of a proprietary information and invention assignment agreement containing confidentiality, intellectual property assignment, non-competition, non-solicitation and other protective covenants. </w:t>
      </w:r>
    </w:p>
    <w:p>
      <w:pPr>
        <w:pStyle w:val="TextBody"/>
        <w:spacing w:before="240" w:after="0"/>
        <w:jc w:val="left"/>
        <w:rPr>
          <w:rFonts w:ascii="Times New Roman" w:hAnsi="Times New Roman"/>
          <w:sz w:val="20"/>
        </w:rPr>
      </w:pPr>
      <w:r>
        <w:rPr>
          <w:rFonts w:ascii="Times New Roman" w:hAnsi="Times New Roman"/>
          <w:sz w:val="20"/>
        </w:rPr>
        <w:t xml:space="preserve">Mr. Wagner has also entered into the Company’s standard indemnification agreement for directors and officers, the form of which was previously filed by the Company as Exhibit 10.1 to the Registration Statement on Form S-1/A (File No. 333-248465) initially filed by the Company with the Securities and Exchange Commission on September 14, 2020. </w:t>
      </w:r>
    </w:p>
    <w:p>
      <w:pPr>
        <w:pStyle w:val="TextBody"/>
        <w:spacing w:before="240" w:after="0"/>
        <w:jc w:val="left"/>
        <w:rPr>
          <w:rFonts w:ascii="Times New Roman" w:hAnsi="Times New Roman"/>
          <w:sz w:val="20"/>
        </w:rPr>
      </w:pPr>
      <w:r>
        <w:rPr>
          <w:rFonts w:ascii="Times New Roman" w:hAnsi="Times New Roman"/>
          <w:sz w:val="20"/>
        </w:rPr>
        <w:t xml:space="preserve">The foregoing description of the Wagner Employment Agreement does not purport to be complete and is subject to, and qualified in its entirety by, the full text of the Wagner Employment Agreement, a copy of which is filed as Exhibit 10.1 hereto and is incorporated by reference herein. </w:t>
      </w:r>
    </w:p>
    <w:p>
      <w:pPr>
        <w:pStyle w:val="TextBody"/>
        <w:spacing w:before="360" w:after="0"/>
        <w:jc w:val="left"/>
        <w:rPr>
          <w:rFonts w:ascii="Times New Roman" w:hAnsi="Times New Roman"/>
          <w:i/>
          <w:sz w:val="20"/>
        </w:rPr>
      </w:pPr>
      <w:r>
        <w:rPr>
          <w:rFonts w:ascii="Times New Roman" w:hAnsi="Times New Roman"/>
          <w:i/>
          <w:sz w:val="20"/>
        </w:rPr>
        <w:t xml:space="preserve">Hirsch and Bezdek Employment Agreements </w:t>
      </w:r>
    </w:p>
    <w:p>
      <w:pPr>
        <w:pStyle w:val="TextBody"/>
        <w:spacing w:before="120" w:after="0"/>
        <w:jc w:val="left"/>
        <w:rPr>
          <w:rFonts w:ascii="Times New Roman" w:hAnsi="Times New Roman"/>
          <w:sz w:val="20"/>
        </w:rPr>
      </w:pPr>
      <w:r>
        <w:rPr>
          <w:rFonts w:ascii="Times New Roman" w:hAnsi="Times New Roman"/>
          <w:sz w:val="20"/>
        </w:rPr>
        <w:t xml:space="preserve">In connection with the Transition, on April 25, 2023 (the “Transition Effective Date”), the Company, through its indirect wholly owned subsidiary, GoodRx, Inc., entered into a Second Amended and Restated Employment Agreement (collectively, the “Restated Employment Agreements”) with each of Messrs. Bezdek and Hirsch. </w:t>
      </w:r>
    </w:p>
    <w:p>
      <w:pPr>
        <w:pStyle w:val="TextBody"/>
        <w:spacing w:before="240" w:after="0"/>
        <w:jc w:val="left"/>
        <w:rPr>
          <w:rFonts w:ascii="Times New Roman" w:hAnsi="Times New Roman"/>
          <w:sz w:val="20"/>
        </w:rPr>
      </w:pPr>
      <w:r>
        <w:rPr>
          <w:rFonts w:ascii="Times New Roman" w:hAnsi="Times New Roman"/>
          <w:sz w:val="20"/>
        </w:rPr>
        <w:t xml:space="preserve">The term of the Restated Employment Agreements with each of Messrs. Bezdek and Hirsch commence on the Transition Effective Date and end on the 18-month anniversary of the Transition Effective Date, unless earlier terminated in accordance with the terms of the applicable Restated Employment Agreement. The Restated Employment Agreements provide that during the employment term, Messrs. Bezdek and Hirsch will continue to be eligible (i) to receive a base salary of $500,000, (ii) a cash incentive bonus targeted at 100% of the applicable executive’s base salary (subject to continued employment (a) for 2023, through December 31, 2023 and (b) for 2024, the 18-month anniversary of the Transition Effective Date) and (iii) to participate in the health and welfare benefit plans and programs maintained by GoodRx, Inc. for the benefit of its employees. </w:t>
      </w:r>
    </w:p>
    <w:p>
      <w:pPr>
        <w:pStyle w:val="TextBody"/>
        <w:spacing w:before="240" w:after="0"/>
        <w:jc w:val="left"/>
        <w:rPr>
          <w:rFonts w:ascii="Times New Roman" w:hAnsi="Times New Roman"/>
          <w:sz w:val="20"/>
        </w:rPr>
      </w:pPr>
      <w:r>
        <w:rPr>
          <w:rFonts w:ascii="Times New Roman" w:hAnsi="Times New Roman"/>
          <w:sz w:val="20"/>
        </w:rPr>
        <w:t xml:space="preserve">In addition, pursuant to each Restated Employment Agreement, Mr. Bezdek and Mr. Hirsch have agreed not to sell any securities of the Company without Board approval, subject to certain exceptions including, but not limited to, pursuant to any new, modified or amended contract, instruction or written plan intended to satisfy the affirmative defense conditions of Rule 10b5-1(c)(1) under the Exchange Act (a “Rule 10b5-1 Plan”) that has been approved by the Board after April 25, 2023 or an existing Rule 10b5-1 Plan. </w:t>
      </w:r>
    </w:p>
    <w:p>
      <w:pPr>
        <w:pStyle w:val="TextBody"/>
        <w:spacing w:before="240" w:after="0"/>
        <w:jc w:val="left"/>
        <w:rPr>
          <w:rFonts w:ascii="Times New Roman" w:hAnsi="Times New Roman"/>
          <w:sz w:val="20"/>
        </w:rPr>
      </w:pPr>
      <w:r>
        <w:rPr>
          <w:rFonts w:ascii="Times New Roman" w:hAnsi="Times New Roman"/>
          <w:sz w:val="20"/>
        </w:rPr>
        <w:t xml:space="preserve">Pursuant to the Restated Employment Agreements, if the applicable executive’s employment is terminated without “cause” or due to his death, “disability” or resignation for “good reason” (each, as defined in the respective Restated Employment Agreement), then, in addition to any accrued obligations and subject to the executive’s timely execution and non-revocation of a general release of claims, each of Messrs. Bezdek and Hirsch will be eligible to receive (i) an amount equal to the base salary (at the rate in effect on the termination date) that the executive would have received had he remained employed through the 18-month anniversary of the Transition Effective Date and (ii) company-reimbursed COBRA continuation coverage premiums for the period from the separation date until the 18-month anniversary of the Transition Effective Date. </w:t>
      </w:r>
      <w:r>
        <w:br w:type="page"/>
      </w:r>
    </w:p>
    <w:p>
      <w:pPr>
        <w:pStyle w:val="HorizontalLine"/>
        <w:rPr/>
      </w:pPr>
      <w:r>
        <w:rPr/>
      </w:r>
    </w:p>
    <w:p>
      <w:pPr>
        <w:pStyle w:val="TextBody"/>
        <w:spacing w:before="0" w:after="0"/>
        <w:jc w:val="left"/>
        <w:rPr>
          <w:rFonts w:ascii="Times New Roman" w:hAnsi="Times New Roman"/>
          <w:sz w:val="20"/>
        </w:rPr>
      </w:pPr>
      <w:r>
        <w:rPr>
          <w:rFonts w:ascii="Times New Roman" w:hAnsi="Times New Roman"/>
          <w:sz w:val="20"/>
        </w:rPr>
        <w:t xml:space="preserve">The foregoing description of the Restated Employment Agreements do not purport to be complete and is subject to, and qualified in its entirety by, the full text of the Restated Employment Agreements, copies of which are filed as Exhibits 10.2 and 10.3 hereto and are incorporated by reference herein. </w:t>
      </w:r>
    </w:p>
    <w:p>
      <w:pPr>
        <w:pStyle w:val="TextBody"/>
        <w:spacing w:before="360" w:after="0"/>
        <w:jc w:val="left"/>
        <w:rPr>
          <w:rFonts w:ascii="Times New Roman" w:hAnsi="Times New Roman"/>
          <w:b/>
          <w:sz w:val="20"/>
        </w:rPr>
      </w:pPr>
      <w:r>
        <w:rPr>
          <w:rFonts w:ascii="Times New Roman" w:hAnsi="Times New Roman"/>
          <w:b/>
          <w:sz w:val="20"/>
        </w:rPr>
        <w:t xml:space="preserve">Item 9.01 Financial Statements and Exhibits. </w:t>
      </w:r>
    </w:p>
    <w:p>
      <w:pPr>
        <w:pStyle w:val="TextBody"/>
        <w:spacing w:before="120" w:after="0"/>
        <w:jc w:val="left"/>
        <w:rPr>
          <w:rFonts w:ascii="Times New Roman" w:hAnsi="Times New Roman"/>
          <w:sz w:val="20"/>
        </w:rPr>
      </w:pPr>
      <w:r>
        <w:rPr>
          <w:rFonts w:ascii="Times New Roman" w:hAnsi="Times New Roman"/>
          <w:sz w:val="20"/>
        </w:rPr>
        <w:t xml:space="preserve">(d) Exhibits </w:t>
      </w:r>
    </w:p>
    <w:p>
      <w:pPr>
        <w:pStyle w:val="TextBody"/>
        <w:spacing w:before="240" w:after="0"/>
        <w:jc w:val="left"/>
        <w:rPr>
          <w:rFonts w:ascii="Times New Roman" w:hAnsi="Times New Roman"/>
          <w:sz w:val="20"/>
        </w:rPr>
      </w:pPr>
      <w:r>
        <w:rPr>
          <w:rFonts w:ascii="Times New Roman" w:hAnsi="Times New Roman"/>
          <w:sz w:val="20"/>
        </w:rPr>
        <w:t xml:space="preserve">The following exhibits are included with this Current Report on Form 8-K: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25"/>
        <w:gridCol w:w="120"/>
        <w:gridCol w:w="9360"/>
      </w:tblGrid>
      <w:tr>
        <w:trPr/>
        <w:tc>
          <w:tcPr>
            <w:tcW w:w="72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9360" w:type="dxa"/>
            <w:tcBorders/>
            <w:shd w:fill="auto" w:val="clear"/>
            <w:vAlign w:val="center"/>
          </w:tcPr>
          <w:p>
            <w:pPr>
              <w:pStyle w:val="TableContents"/>
              <w:spacing w:before="0" w:after="283"/>
              <w:rPr>
                <w:sz w:val="4"/>
                <w:szCs w:val="4"/>
              </w:rPr>
            </w:pPr>
            <w:r>
              <w:rPr>
                <w:sz w:val="4"/>
                <w:szCs w:val="4"/>
              </w:rPr>
            </w:r>
          </w:p>
        </w:tc>
      </w:tr>
      <w:tr>
        <w:trPr/>
        <w:tc>
          <w:tcPr>
            <w:tcW w:w="725" w:type="dxa"/>
            <w:tcBorders>
              <w:bottom w:val="single" w:sz="8" w:space="0" w:color="000000"/>
            </w:tcBorders>
            <w:shd w:fill="auto" w:val="clear"/>
            <w:tcMar>
              <w:bottom w:w="28" w:type="dxa"/>
            </w:tcMar>
            <w:vAlign w:val="center"/>
          </w:tcPr>
          <w:p>
            <w:pPr>
              <w:pStyle w:val="TableContents"/>
              <w:spacing w:before="0" w:after="283"/>
              <w:jc w:val="center"/>
              <w:rPr/>
            </w:pPr>
            <w:r>
              <w:rPr/>
              <w:t>Exhibit</w:t>
              <w:br/>
              <w:t>No.</w:t>
            </w:r>
          </w:p>
        </w:tc>
        <w:tc>
          <w:tcPr>
            <w:tcW w:w="120" w:type="dxa"/>
            <w:tcBorders/>
            <w:shd w:fill="auto" w:val="clear"/>
            <w:vAlign w:val="center"/>
          </w:tcPr>
          <w:p>
            <w:pPr>
              <w:pStyle w:val="TableContents"/>
              <w:spacing w:before="0" w:after="283"/>
              <w:rPr/>
            </w:pPr>
            <w:r>
              <w:rPr/>
              <w:t>  </w:t>
            </w:r>
          </w:p>
        </w:tc>
        <w:tc>
          <w:tcPr>
            <w:tcW w:w="9360" w:type="dxa"/>
            <w:tcBorders/>
            <w:shd w:fill="auto" w:val="clear"/>
            <w:vAlign w:val="center"/>
          </w:tcPr>
          <w:p>
            <w:pPr>
              <w:pStyle w:val="TableContents"/>
              <w:spacing w:before="0" w:after="283"/>
              <w:rPr/>
            </w:pPr>
            <w:r>
              <w:rPr/>
              <w:t> </w:t>
            </w:r>
          </w:p>
        </w:tc>
      </w:tr>
      <w:tr>
        <w:trPr/>
        <w:tc>
          <w:tcPr>
            <w:tcW w:w="725" w:type="dxa"/>
            <w:tcBorders/>
            <w:shd w:fill="auto" w:val="clear"/>
            <w:vAlign w:val="center"/>
          </w:tcPr>
          <w:p>
            <w:pPr>
              <w:pStyle w:val="TableContents"/>
              <w:spacing w:before="0" w:after="283"/>
              <w:rPr>
                <w:sz w:val="4"/>
                <w:szCs w:val="4"/>
              </w:rPr>
            </w:pPr>
            <w:r>
              <w:rPr>
                <w:sz w:val="4"/>
                <w:szCs w:val="4"/>
              </w:rPr>
            </w:r>
          </w:p>
        </w:tc>
        <w:tc>
          <w:tcPr>
            <w:tcW w:w="9480" w:type="dxa"/>
            <w:gridSpan w:val="2"/>
            <w:tcBorders/>
            <w:shd w:fill="auto" w:val="clear"/>
            <w:vAlign w:val="center"/>
          </w:tcPr>
          <w:p>
            <w:pPr>
              <w:pStyle w:val="TableContents"/>
              <w:spacing w:before="0" w:after="283"/>
              <w:rPr>
                <w:sz w:val="4"/>
                <w:szCs w:val="4"/>
              </w:rPr>
            </w:pPr>
            <w:r>
              <w:rPr>
                <w:sz w:val="4"/>
                <w:szCs w:val="4"/>
              </w:rPr>
            </w:r>
          </w:p>
        </w:tc>
      </w:tr>
      <w:tr>
        <w:trPr/>
        <w:tc>
          <w:tcPr>
            <w:tcW w:w="725" w:type="dxa"/>
            <w:tcBorders/>
            <w:shd w:fill="auto" w:val="clear"/>
            <w:vAlign w:val="center"/>
          </w:tcPr>
          <w:p>
            <w:pPr>
              <w:pStyle w:val="TableContents"/>
              <w:spacing w:before="0" w:after="283"/>
              <w:rPr/>
            </w:pPr>
            <w:r>
              <w:rPr/>
              <w:t>10.1</w:t>
            </w:r>
          </w:p>
        </w:tc>
        <w:tc>
          <w:tcPr>
            <w:tcW w:w="120" w:type="dxa"/>
            <w:tcBorders/>
            <w:shd w:fill="auto" w:val="clear"/>
            <w:vAlign w:val="center"/>
          </w:tcPr>
          <w:p>
            <w:pPr>
              <w:pStyle w:val="TableContents"/>
              <w:spacing w:before="0" w:after="283"/>
              <w:rPr/>
            </w:pPr>
            <w:r>
              <w:rPr/>
              <w:t>  </w:t>
            </w:r>
          </w:p>
        </w:tc>
        <w:tc>
          <w:tcPr>
            <w:tcW w:w="9360" w:type="dxa"/>
            <w:tcBorders/>
            <w:shd w:fill="auto" w:val="clear"/>
            <w:vAlign w:val="center"/>
          </w:tcPr>
          <w:p>
            <w:pPr>
              <w:pStyle w:val="TableContents"/>
              <w:spacing w:before="0" w:after="283"/>
              <w:rPr/>
            </w:pPr>
            <w:hyperlink w:anchor="d436463dex101.htm">
              <w:r>
                <w:rPr>
                  <w:rStyle w:val="InternetLink"/>
                </w:rPr>
                <w:t xml:space="preserve">Employment Agreement, by and between GoodRx, Inc. and Scott Wagner, dated April 25, 2023 </w:t>
              </w:r>
            </w:hyperlink>
          </w:p>
        </w:tc>
      </w:tr>
      <w:tr>
        <w:trPr/>
        <w:tc>
          <w:tcPr>
            <w:tcW w:w="725" w:type="dxa"/>
            <w:tcBorders/>
            <w:shd w:fill="auto" w:val="clear"/>
            <w:vAlign w:val="center"/>
          </w:tcPr>
          <w:p>
            <w:pPr>
              <w:pStyle w:val="TableContents"/>
              <w:spacing w:before="0" w:after="283"/>
              <w:rPr>
                <w:sz w:val="4"/>
                <w:szCs w:val="4"/>
              </w:rPr>
            </w:pPr>
            <w:r>
              <w:rPr>
                <w:sz w:val="4"/>
                <w:szCs w:val="4"/>
              </w:rPr>
            </w:r>
          </w:p>
        </w:tc>
        <w:tc>
          <w:tcPr>
            <w:tcW w:w="9480" w:type="dxa"/>
            <w:gridSpan w:val="2"/>
            <w:tcBorders/>
            <w:shd w:fill="auto" w:val="clear"/>
            <w:vAlign w:val="center"/>
          </w:tcPr>
          <w:p>
            <w:pPr>
              <w:pStyle w:val="TableContents"/>
              <w:spacing w:before="0" w:after="283"/>
              <w:rPr>
                <w:sz w:val="4"/>
                <w:szCs w:val="4"/>
              </w:rPr>
            </w:pPr>
            <w:r>
              <w:rPr>
                <w:sz w:val="4"/>
                <w:szCs w:val="4"/>
              </w:rPr>
            </w:r>
          </w:p>
        </w:tc>
      </w:tr>
      <w:tr>
        <w:trPr/>
        <w:tc>
          <w:tcPr>
            <w:tcW w:w="725" w:type="dxa"/>
            <w:tcBorders/>
            <w:shd w:fill="auto" w:val="clear"/>
            <w:vAlign w:val="center"/>
          </w:tcPr>
          <w:p>
            <w:pPr>
              <w:pStyle w:val="TableContents"/>
              <w:spacing w:before="0" w:after="283"/>
              <w:rPr/>
            </w:pPr>
            <w:r>
              <w:rPr/>
              <w:t>10.2</w:t>
            </w:r>
          </w:p>
        </w:tc>
        <w:tc>
          <w:tcPr>
            <w:tcW w:w="120" w:type="dxa"/>
            <w:tcBorders/>
            <w:shd w:fill="auto" w:val="clear"/>
            <w:vAlign w:val="center"/>
          </w:tcPr>
          <w:p>
            <w:pPr>
              <w:pStyle w:val="TableContents"/>
              <w:spacing w:before="0" w:after="283"/>
              <w:rPr/>
            </w:pPr>
            <w:r>
              <w:rPr/>
              <w:t>  </w:t>
            </w:r>
          </w:p>
        </w:tc>
        <w:tc>
          <w:tcPr>
            <w:tcW w:w="9360" w:type="dxa"/>
            <w:tcBorders/>
            <w:shd w:fill="auto" w:val="clear"/>
            <w:vAlign w:val="center"/>
          </w:tcPr>
          <w:p>
            <w:pPr>
              <w:pStyle w:val="TableContents"/>
              <w:spacing w:before="0" w:after="283"/>
              <w:rPr/>
            </w:pPr>
            <w:hyperlink w:anchor="d436463dex102.htm">
              <w:r>
                <w:rPr>
                  <w:rStyle w:val="InternetLink"/>
                </w:rPr>
                <w:t xml:space="preserve">Second Amended and Restated Employment Agreement, by and between GoodRx, Inc. and Trevor Bezdek, dated April 25, 2023 </w:t>
              </w:r>
            </w:hyperlink>
          </w:p>
        </w:tc>
      </w:tr>
      <w:tr>
        <w:trPr/>
        <w:tc>
          <w:tcPr>
            <w:tcW w:w="725" w:type="dxa"/>
            <w:tcBorders/>
            <w:shd w:fill="auto" w:val="clear"/>
            <w:vAlign w:val="center"/>
          </w:tcPr>
          <w:p>
            <w:pPr>
              <w:pStyle w:val="TableContents"/>
              <w:spacing w:before="0" w:after="283"/>
              <w:rPr>
                <w:sz w:val="4"/>
                <w:szCs w:val="4"/>
              </w:rPr>
            </w:pPr>
            <w:r>
              <w:rPr>
                <w:sz w:val="4"/>
                <w:szCs w:val="4"/>
              </w:rPr>
            </w:r>
          </w:p>
        </w:tc>
        <w:tc>
          <w:tcPr>
            <w:tcW w:w="9480" w:type="dxa"/>
            <w:gridSpan w:val="2"/>
            <w:tcBorders/>
            <w:shd w:fill="auto" w:val="clear"/>
            <w:vAlign w:val="center"/>
          </w:tcPr>
          <w:p>
            <w:pPr>
              <w:pStyle w:val="TableContents"/>
              <w:spacing w:before="0" w:after="283"/>
              <w:rPr>
                <w:sz w:val="4"/>
                <w:szCs w:val="4"/>
              </w:rPr>
            </w:pPr>
            <w:r>
              <w:rPr>
                <w:sz w:val="4"/>
                <w:szCs w:val="4"/>
              </w:rPr>
            </w:r>
          </w:p>
        </w:tc>
      </w:tr>
      <w:tr>
        <w:trPr/>
        <w:tc>
          <w:tcPr>
            <w:tcW w:w="725" w:type="dxa"/>
            <w:tcBorders/>
            <w:shd w:fill="auto" w:val="clear"/>
            <w:vAlign w:val="center"/>
          </w:tcPr>
          <w:p>
            <w:pPr>
              <w:pStyle w:val="TableContents"/>
              <w:spacing w:before="0" w:after="283"/>
              <w:rPr/>
            </w:pPr>
            <w:r>
              <w:rPr/>
              <w:t>10.3</w:t>
            </w:r>
          </w:p>
        </w:tc>
        <w:tc>
          <w:tcPr>
            <w:tcW w:w="120" w:type="dxa"/>
            <w:tcBorders/>
            <w:shd w:fill="auto" w:val="clear"/>
            <w:vAlign w:val="center"/>
          </w:tcPr>
          <w:p>
            <w:pPr>
              <w:pStyle w:val="TableContents"/>
              <w:spacing w:before="0" w:after="283"/>
              <w:rPr/>
            </w:pPr>
            <w:r>
              <w:rPr/>
              <w:t>  </w:t>
            </w:r>
          </w:p>
        </w:tc>
        <w:tc>
          <w:tcPr>
            <w:tcW w:w="9360" w:type="dxa"/>
            <w:tcBorders/>
            <w:shd w:fill="auto" w:val="clear"/>
            <w:vAlign w:val="center"/>
          </w:tcPr>
          <w:p>
            <w:pPr>
              <w:pStyle w:val="TableContents"/>
              <w:spacing w:before="0" w:after="283"/>
              <w:rPr/>
            </w:pPr>
            <w:hyperlink w:anchor="d436463dex103.htm">
              <w:r>
                <w:rPr>
                  <w:rStyle w:val="InternetLink"/>
                </w:rPr>
                <w:t xml:space="preserve">Second Amended and Restated Employment Agreement, by and between GoodRx, Inc. and Douglas Hirsch, dated April 25, 2023 </w:t>
              </w:r>
            </w:hyperlink>
          </w:p>
        </w:tc>
      </w:tr>
      <w:tr>
        <w:trPr/>
        <w:tc>
          <w:tcPr>
            <w:tcW w:w="725" w:type="dxa"/>
            <w:tcBorders/>
            <w:shd w:fill="auto" w:val="clear"/>
            <w:vAlign w:val="center"/>
          </w:tcPr>
          <w:p>
            <w:pPr>
              <w:pStyle w:val="TableContents"/>
              <w:spacing w:before="0" w:after="283"/>
              <w:rPr>
                <w:sz w:val="4"/>
                <w:szCs w:val="4"/>
              </w:rPr>
            </w:pPr>
            <w:r>
              <w:rPr>
                <w:sz w:val="4"/>
                <w:szCs w:val="4"/>
              </w:rPr>
            </w:r>
          </w:p>
        </w:tc>
        <w:tc>
          <w:tcPr>
            <w:tcW w:w="9480" w:type="dxa"/>
            <w:gridSpan w:val="2"/>
            <w:tcBorders/>
            <w:shd w:fill="auto" w:val="clear"/>
            <w:vAlign w:val="center"/>
          </w:tcPr>
          <w:p>
            <w:pPr>
              <w:pStyle w:val="TableContents"/>
              <w:spacing w:before="0" w:after="283"/>
              <w:rPr>
                <w:sz w:val="4"/>
                <w:szCs w:val="4"/>
              </w:rPr>
            </w:pPr>
            <w:r>
              <w:rPr>
                <w:sz w:val="4"/>
                <w:szCs w:val="4"/>
              </w:rPr>
            </w:r>
          </w:p>
        </w:tc>
      </w:tr>
      <w:tr>
        <w:trPr/>
        <w:tc>
          <w:tcPr>
            <w:tcW w:w="725" w:type="dxa"/>
            <w:tcBorders/>
            <w:shd w:fill="auto" w:val="clear"/>
            <w:vAlign w:val="center"/>
          </w:tcPr>
          <w:p>
            <w:pPr>
              <w:pStyle w:val="TableContents"/>
              <w:spacing w:before="0" w:after="283"/>
              <w:rPr/>
            </w:pPr>
            <w:r>
              <w:rPr/>
              <w:t>99.1*</w:t>
            </w:r>
          </w:p>
        </w:tc>
        <w:tc>
          <w:tcPr>
            <w:tcW w:w="120" w:type="dxa"/>
            <w:tcBorders/>
            <w:shd w:fill="auto" w:val="clear"/>
            <w:vAlign w:val="center"/>
          </w:tcPr>
          <w:p>
            <w:pPr>
              <w:pStyle w:val="TableContents"/>
              <w:spacing w:before="0" w:after="283"/>
              <w:rPr/>
            </w:pPr>
            <w:r>
              <w:rPr/>
              <w:t>  </w:t>
            </w:r>
          </w:p>
        </w:tc>
        <w:tc>
          <w:tcPr>
            <w:tcW w:w="9360" w:type="dxa"/>
            <w:tcBorders/>
            <w:shd w:fill="auto" w:val="clear"/>
            <w:vAlign w:val="center"/>
          </w:tcPr>
          <w:p>
            <w:pPr>
              <w:pStyle w:val="TableContents"/>
              <w:spacing w:before="0" w:after="283"/>
              <w:rPr/>
            </w:pPr>
            <w:hyperlink w:anchor="d436463dex991.htm">
              <w:r>
                <w:rPr>
                  <w:rStyle w:val="InternetLink"/>
                </w:rPr>
                <w:t xml:space="preserve">Press Release dated April 25, 2023 </w:t>
              </w:r>
            </w:hyperlink>
          </w:p>
        </w:tc>
      </w:tr>
      <w:tr>
        <w:trPr/>
        <w:tc>
          <w:tcPr>
            <w:tcW w:w="725" w:type="dxa"/>
            <w:tcBorders/>
            <w:shd w:fill="auto" w:val="clear"/>
            <w:vAlign w:val="center"/>
          </w:tcPr>
          <w:p>
            <w:pPr>
              <w:pStyle w:val="TableContents"/>
              <w:spacing w:before="0" w:after="283"/>
              <w:rPr>
                <w:sz w:val="4"/>
                <w:szCs w:val="4"/>
              </w:rPr>
            </w:pPr>
            <w:r>
              <w:rPr>
                <w:sz w:val="4"/>
                <w:szCs w:val="4"/>
              </w:rPr>
            </w:r>
          </w:p>
        </w:tc>
        <w:tc>
          <w:tcPr>
            <w:tcW w:w="9480" w:type="dxa"/>
            <w:gridSpan w:val="2"/>
            <w:tcBorders/>
            <w:shd w:fill="auto" w:val="clear"/>
            <w:vAlign w:val="center"/>
          </w:tcPr>
          <w:p>
            <w:pPr>
              <w:pStyle w:val="TableContents"/>
              <w:spacing w:before="0" w:after="283"/>
              <w:rPr>
                <w:sz w:val="4"/>
                <w:szCs w:val="4"/>
              </w:rPr>
            </w:pPr>
            <w:r>
              <w:rPr>
                <w:sz w:val="4"/>
                <w:szCs w:val="4"/>
              </w:rPr>
            </w:r>
          </w:p>
        </w:tc>
      </w:tr>
      <w:tr>
        <w:trPr/>
        <w:tc>
          <w:tcPr>
            <w:tcW w:w="725" w:type="dxa"/>
            <w:tcBorders/>
            <w:shd w:fill="auto" w:val="clear"/>
            <w:vAlign w:val="center"/>
          </w:tcPr>
          <w:p>
            <w:pPr>
              <w:pStyle w:val="TableContents"/>
              <w:spacing w:before="0" w:after="283"/>
              <w:rPr/>
            </w:pPr>
            <w:r>
              <w:rPr/>
              <w:t>104</w:t>
            </w:r>
          </w:p>
        </w:tc>
        <w:tc>
          <w:tcPr>
            <w:tcW w:w="120" w:type="dxa"/>
            <w:tcBorders/>
            <w:shd w:fill="auto" w:val="clear"/>
            <w:vAlign w:val="center"/>
          </w:tcPr>
          <w:p>
            <w:pPr>
              <w:pStyle w:val="TableContents"/>
              <w:spacing w:before="0" w:after="283"/>
              <w:rPr/>
            </w:pPr>
            <w:r>
              <w:rPr/>
              <w:t>  </w:t>
            </w:r>
          </w:p>
        </w:tc>
        <w:tc>
          <w:tcPr>
            <w:tcW w:w="9360" w:type="dxa"/>
            <w:tcBorders/>
            <w:shd w:fill="auto" w:val="clear"/>
            <w:vAlign w:val="center"/>
          </w:tcPr>
          <w:p>
            <w:pPr>
              <w:pStyle w:val="TableContents"/>
              <w:spacing w:before="0" w:after="283"/>
              <w:rPr/>
            </w:pPr>
            <w:r>
              <w:rPr/>
              <w:t>Cover Page Interactive Data File - the cover page XBRL tags are embedded with the Inline XBRL document.</w:t>
            </w:r>
          </w:p>
        </w:tc>
      </w:tr>
    </w:tbl>
    <w:p>
      <w:pPr>
        <w:pStyle w:val="TextBody"/>
        <w:spacing w:before="0" w:after="0"/>
        <w:jc w:val="left"/>
        <w:rPr/>
      </w:pPr>
      <w:r>
        <w:rPr/>
        <w:t> </w:t>
      </w:r>
    </w:p>
    <w:tbl>
      <w:tblPr>
        <w:tblW w:w="1045" w:type="dxa"/>
        <w:jc w:val="left"/>
        <w:tblInd w:w="0" w:type="dxa"/>
        <w:tblCellMar>
          <w:top w:w="0" w:type="dxa"/>
          <w:left w:w="0" w:type="dxa"/>
          <w:bottom w:w="0" w:type="dxa"/>
          <w:right w:w="0" w:type="dxa"/>
        </w:tblCellMar>
      </w:tblPr>
      <w:tblGrid>
        <w:gridCol w:w="155"/>
        <w:gridCol w:w="890"/>
      </w:tblGrid>
      <w:tr>
        <w:trPr/>
        <w:tc>
          <w:tcPr>
            <w:tcW w:w="155" w:type="dxa"/>
            <w:tcBorders/>
            <w:shd w:fill="auto" w:val="clear"/>
            <w:vAlign w:val="center"/>
          </w:tcPr>
          <w:p>
            <w:pPr>
              <w:pStyle w:val="TableContents"/>
              <w:spacing w:before="0" w:after="283"/>
              <w:jc w:val="left"/>
              <w:rPr/>
            </w:pPr>
            <w:r>
              <w:rPr/>
              <w:t>*</w:t>
            </w:r>
          </w:p>
        </w:tc>
        <w:tc>
          <w:tcPr>
            <w:tcW w:w="89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Furnished </w:t>
            </w:r>
          </w:p>
        </w:tc>
      </w:tr>
    </w:tbl>
    <w:p>
      <w:pPr>
        <w:pStyle w:val="HorizontalLine"/>
        <w:rPr/>
      </w:pPr>
      <w:r>
        <w:br w:type="page"/>
      </w:r>
      <w:r>
        <w:rPr/>
      </w:r>
    </w:p>
    <w:p>
      <w:pPr>
        <w:pStyle w:val="TextBody"/>
        <w:spacing w:before="0" w:after="0"/>
        <w:jc w:val="center"/>
        <w:rPr>
          <w:rFonts w:ascii="Times New Roman" w:hAnsi="Times New Roman"/>
          <w:b/>
          <w:sz w:val="20"/>
        </w:rPr>
      </w:pPr>
      <w:r>
        <w:rPr>
          <w:rFonts w:ascii="Times New Roman" w:hAnsi="Times New Roman"/>
          <w:b/>
          <w:sz w:val="20"/>
        </w:rPr>
        <w:t xml:space="preserve">SIGNATURES </w:t>
      </w:r>
    </w:p>
    <w:p>
      <w:pPr>
        <w:pStyle w:val="TextBody"/>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as amended, the registrant has duly caused this report to be signed on its behalf by the undersigned hereunto duly authorized. </w:t>
      </w:r>
    </w:p>
    <w:p>
      <w:pPr>
        <w:pStyle w:val="TextBody"/>
        <w:spacing w:before="0" w:after="0"/>
        <w:jc w:val="left"/>
        <w:rPr/>
      </w:pPr>
      <w:r>
        <w:rPr/>
        <w:t> </w:t>
      </w:r>
    </w:p>
    <w:tbl>
      <w:tblPr>
        <w:tblW w:w="5588" w:type="dxa"/>
        <w:jc w:val="left"/>
        <w:tblInd w:w="0" w:type="dxa"/>
        <w:tblCellMar>
          <w:top w:w="0" w:type="dxa"/>
          <w:left w:w="0" w:type="dxa"/>
          <w:bottom w:w="0" w:type="dxa"/>
          <w:right w:w="0" w:type="dxa"/>
        </w:tblCellMar>
      </w:tblPr>
      <w:tblGrid>
        <w:gridCol w:w="2000"/>
        <w:gridCol w:w="60"/>
        <w:gridCol w:w="23"/>
        <w:gridCol w:w="60"/>
        <w:gridCol w:w="365"/>
        <w:gridCol w:w="60"/>
        <w:gridCol w:w="3020"/>
      </w:tblGrid>
      <w:tr>
        <w:trPr/>
        <w:tc>
          <w:tcPr>
            <w:tcW w:w="20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6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020" w:type="dxa"/>
            <w:tcBorders/>
            <w:shd w:fill="auto" w:val="clear"/>
            <w:vAlign w:val="center"/>
          </w:tcPr>
          <w:p>
            <w:pPr>
              <w:pStyle w:val="TableContents"/>
              <w:spacing w:before="0" w:after="283"/>
              <w:rPr>
                <w:sz w:val="4"/>
                <w:szCs w:val="4"/>
              </w:rPr>
            </w:pPr>
            <w:r>
              <w:rPr>
                <w:sz w:val="4"/>
                <w:szCs w:val="4"/>
              </w:rPr>
            </w:r>
          </w:p>
        </w:tc>
      </w:tr>
      <w:tr>
        <w:trPr/>
        <w:tc>
          <w:tcPr>
            <w:tcW w:w="20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3020" w:type="dxa"/>
            <w:tcBorders/>
            <w:shd w:fill="auto" w:val="clear"/>
            <w:vAlign w:val="center"/>
          </w:tcPr>
          <w:p>
            <w:pPr>
              <w:pStyle w:val="TableContents"/>
              <w:spacing w:before="0" w:after="283"/>
              <w:rPr/>
            </w:pPr>
            <w:r>
              <w:rPr/>
              <w:t>GOODRX HOLDINGS, INC.</w:t>
            </w:r>
          </w:p>
        </w:tc>
      </w:tr>
      <w:tr>
        <w:trPr/>
        <w:tc>
          <w:tcPr>
            <w:tcW w:w="2000" w:type="dxa"/>
            <w:tcBorders/>
            <w:shd w:fill="auto" w:val="clear"/>
            <w:vAlign w:val="center"/>
          </w:tcPr>
          <w:p>
            <w:pPr>
              <w:pStyle w:val="TableContents"/>
              <w:spacing w:before="0" w:after="283"/>
              <w:rPr>
                <w:sz w:val="4"/>
                <w:szCs w:val="4"/>
              </w:rPr>
            </w:pPr>
            <w:r>
              <w:rPr>
                <w:sz w:val="4"/>
                <w:szCs w:val="4"/>
              </w:rPr>
            </w:r>
          </w:p>
        </w:tc>
        <w:tc>
          <w:tcPr>
            <w:tcW w:w="83" w:type="dxa"/>
            <w:gridSpan w:val="2"/>
            <w:tcBorders/>
            <w:shd w:fill="auto" w:val="clear"/>
            <w:vAlign w:val="center"/>
          </w:tcPr>
          <w:p>
            <w:pPr>
              <w:pStyle w:val="TableContents"/>
              <w:spacing w:before="0" w:after="283"/>
              <w:rPr>
                <w:sz w:val="4"/>
                <w:szCs w:val="4"/>
              </w:rPr>
            </w:pPr>
            <w:r>
              <w:rPr>
                <w:sz w:val="4"/>
                <w:szCs w:val="4"/>
              </w:rPr>
            </w:r>
          </w:p>
        </w:tc>
        <w:tc>
          <w:tcPr>
            <w:tcW w:w="425" w:type="dxa"/>
            <w:gridSpan w:val="2"/>
            <w:tcBorders/>
            <w:shd w:fill="auto" w:val="clear"/>
            <w:vAlign w:val="center"/>
          </w:tcPr>
          <w:p>
            <w:pPr>
              <w:pStyle w:val="TableContents"/>
              <w:spacing w:before="0" w:after="283"/>
              <w:rPr>
                <w:sz w:val="4"/>
                <w:szCs w:val="4"/>
              </w:rPr>
            </w:pPr>
            <w:r>
              <w:rPr>
                <w:sz w:val="4"/>
                <w:szCs w:val="4"/>
              </w:rPr>
            </w:r>
          </w:p>
        </w:tc>
        <w:tc>
          <w:tcPr>
            <w:tcW w:w="3080" w:type="dxa"/>
            <w:gridSpan w:val="2"/>
            <w:tcBorders/>
            <w:shd w:fill="auto" w:val="clear"/>
            <w:vAlign w:val="center"/>
          </w:tcPr>
          <w:p>
            <w:pPr>
              <w:pStyle w:val="TableContents"/>
              <w:spacing w:before="0" w:after="283"/>
              <w:rPr>
                <w:sz w:val="4"/>
                <w:szCs w:val="4"/>
              </w:rPr>
            </w:pPr>
            <w:r>
              <w:rPr>
                <w:sz w:val="4"/>
                <w:szCs w:val="4"/>
              </w:rPr>
            </w:r>
          </w:p>
        </w:tc>
      </w:tr>
      <w:tr>
        <w:trPr/>
        <w:tc>
          <w:tcPr>
            <w:tcW w:w="2000" w:type="dxa"/>
            <w:tcBorders/>
            <w:shd w:fill="auto" w:val="clear"/>
            <w:vAlign w:val="center"/>
          </w:tcPr>
          <w:p>
            <w:pPr>
              <w:pStyle w:val="TableContents"/>
              <w:spacing w:before="0" w:after="283"/>
              <w:rPr/>
            </w:pPr>
            <w:r>
              <w:rPr/>
              <w:t>Date: April 25, 2023</w:t>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By:</w:t>
            </w:r>
          </w:p>
        </w:tc>
        <w:tc>
          <w:tcPr>
            <w:tcW w:w="60" w:type="dxa"/>
            <w:tcBorders/>
            <w:shd w:fill="auto" w:val="clear"/>
            <w:vAlign w:val="center"/>
          </w:tcPr>
          <w:p>
            <w:pPr>
              <w:pStyle w:val="TableContents"/>
              <w:spacing w:before="0" w:after="283"/>
              <w:rPr/>
            </w:pPr>
            <w:r>
              <w:rPr/>
              <w:t> </w:t>
            </w:r>
          </w:p>
        </w:tc>
        <w:tc>
          <w:tcPr>
            <w:tcW w:w="3020" w:type="dxa"/>
            <w:tcBorders/>
            <w:shd w:fill="auto" w:val="clear"/>
            <w:vAlign w:val="center"/>
          </w:tcPr>
          <w:p>
            <w:pPr>
              <w:pStyle w:val="TableContents"/>
              <w:pBdr>
                <w:bottom w:val="single" w:sz="2" w:space="1" w:color="000000"/>
              </w:pBdr>
              <w:spacing w:before="0" w:after="20"/>
              <w:rPr>
                <w:rFonts w:ascii="Times New Roman" w:hAnsi="Times New Roman"/>
                <w:sz w:val="20"/>
              </w:rPr>
            </w:pPr>
            <w:r>
              <w:rPr>
                <w:rFonts w:ascii="Times New Roman" w:hAnsi="Times New Roman"/>
                <w:sz w:val="20"/>
              </w:rPr>
              <w:t>/s/ Karsten Voermann</w:t>
            </w:r>
          </w:p>
        </w:tc>
      </w:tr>
      <w:tr>
        <w:trPr/>
        <w:tc>
          <w:tcPr>
            <w:tcW w:w="20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3020" w:type="dxa"/>
            <w:tcBorders/>
            <w:shd w:fill="auto" w:val="clear"/>
            <w:vAlign w:val="center"/>
          </w:tcPr>
          <w:p>
            <w:pPr>
              <w:pStyle w:val="TableContents"/>
              <w:spacing w:before="0" w:after="283"/>
              <w:rPr/>
            </w:pPr>
            <w:r>
              <w:rPr/>
              <w:t>Name: Karsten Voermann</w:t>
            </w:r>
          </w:p>
        </w:tc>
      </w:tr>
      <w:tr>
        <w:trPr/>
        <w:tc>
          <w:tcPr>
            <w:tcW w:w="20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3020" w:type="dxa"/>
            <w:tcBorders/>
            <w:shd w:fill="auto" w:val="clear"/>
            <w:vAlign w:val="center"/>
          </w:tcPr>
          <w:p>
            <w:pPr>
              <w:pStyle w:val="TableContents"/>
              <w:spacing w:before="0" w:after="283"/>
              <w:rPr/>
            </w:pPr>
            <w:r>
              <w:rPr/>
              <w:t>Title: Chief Financial Officer</w:t>
            </w:r>
          </w:p>
        </w:tc>
      </w:tr>
    </w:tbl>
    <w:p>
      <w:pPr>
        <w:pStyle w:val="TextBody"/>
        <w:spacing w:before="0" w:after="0"/>
        <w:jc w:val="right"/>
        <w:rPr>
          <w:rFonts w:ascii="Times New Roman" w:hAnsi="Times New Roman"/>
          <w:b/>
          <w:sz w:val="20"/>
        </w:rPr>
      </w:pPr>
      <w:r>
        <w:br w:type="page"/>
      </w:r>
      <w:bookmarkStart w:id="2" w:name="d436463dex101.htm"/>
      <w:bookmarkStart w:id="3" w:name="ksd436463dex101"/>
      <w:bookmarkEnd w:id="2"/>
      <w:bookmarkEnd w:id="3"/>
      <w:r>
        <w:rPr>
          <w:rFonts w:ascii="Times New Roman" w:hAnsi="Times New Roman"/>
          <w:b/>
          <w:sz w:val="20"/>
        </w:rPr>
        <w:t xml:space="preserve">Exhibit 10.1 </w:t>
      </w:r>
    </w:p>
    <w:p>
      <w:pPr>
        <w:pStyle w:val="TextBody"/>
        <w:spacing w:before="240" w:after="0"/>
        <w:jc w:val="center"/>
        <w:rPr>
          <w:rFonts w:ascii="Times New Roman" w:hAnsi="Times New Roman"/>
          <w:b/>
          <w:sz w:val="20"/>
          <w:u w:val="single"/>
        </w:rPr>
      </w:pPr>
      <w:r>
        <w:rPr>
          <w:rFonts w:ascii="Times New Roman" w:hAnsi="Times New Roman"/>
          <w:b/>
          <w:sz w:val="20"/>
          <w:u w:val="single"/>
        </w:rPr>
        <w:t xml:space="preserve">EMPLOYMENT AGREEMENT </w:t>
      </w:r>
    </w:p>
    <w:p>
      <w:pPr>
        <w:pStyle w:val="TextBody"/>
        <w:spacing w:before="240" w:after="0"/>
        <w:jc w:val="left"/>
        <w:rPr>
          <w:rFonts w:ascii="Times New Roman" w:hAnsi="Times New Roman"/>
          <w:sz w:val="20"/>
        </w:rPr>
      </w:pPr>
      <w:r>
        <w:rPr>
          <w:rFonts w:ascii="Times New Roman" w:hAnsi="Times New Roman"/>
          <w:b/>
          <w:sz w:val="20"/>
        </w:rPr>
        <w:t xml:space="preserve">THIS EMPLOYMENT AGREEMENT </w:t>
      </w:r>
      <w:r>
        <w:rPr>
          <w:rFonts w:ascii="Times New Roman" w:hAnsi="Times New Roman"/>
          <w:sz w:val="20"/>
        </w:rPr>
        <w:t>(this </w:t>
      </w:r>
      <w:r>
        <w:rPr>
          <w:rFonts w:ascii="Times New Roman" w:hAnsi="Times New Roman"/>
          <w:sz w:val="20"/>
          <w:u w:val="single"/>
        </w:rPr>
        <w:t>Agreement</w:t>
      </w:r>
      <w:r>
        <w:rPr>
          <w:rFonts w:ascii="Times New Roman" w:hAnsi="Times New Roman"/>
          <w:sz w:val="20"/>
        </w:rPr>
        <w:t>) is made and entered into as of April 25, 2023 by and among GoodRx, Inc., a Delaware corporation (the </w:t>
      </w:r>
      <w:r>
        <w:rPr>
          <w:rFonts w:ascii="Times New Roman" w:hAnsi="Times New Roman"/>
          <w:sz w:val="20"/>
          <w:u w:val="single"/>
        </w:rPr>
        <w:t>Corporation</w:t>
      </w:r>
      <w:r>
        <w:rPr>
          <w:rFonts w:ascii="Times New Roman" w:hAnsi="Times New Roman"/>
          <w:sz w:val="20"/>
        </w:rPr>
        <w:t>) and Scott Wagner, an individual (the </w:t>
      </w:r>
      <w:r>
        <w:rPr>
          <w:rFonts w:ascii="Times New Roman" w:hAnsi="Times New Roman"/>
          <w:sz w:val="20"/>
          <w:u w:val="single"/>
        </w:rPr>
        <w:t>Executive</w:t>
      </w:r>
      <w:r>
        <w:rPr>
          <w:rFonts w:ascii="Times New Roman" w:hAnsi="Times New Roman"/>
          <w:sz w:val="20"/>
        </w:rPr>
        <w:t xml:space="preserve">). </w:t>
      </w:r>
    </w:p>
    <w:p>
      <w:pPr>
        <w:pStyle w:val="TextBody"/>
        <w:spacing w:before="480" w:after="0"/>
        <w:jc w:val="center"/>
        <w:rPr>
          <w:rFonts w:ascii="Times New Roman" w:hAnsi="Times New Roman"/>
          <w:b/>
          <w:sz w:val="20"/>
        </w:rPr>
      </w:pPr>
      <w:r>
        <w:rPr>
          <w:rFonts w:ascii="Times New Roman" w:hAnsi="Times New Roman"/>
          <w:b/>
          <w:sz w:val="20"/>
        </w:rPr>
        <w:t xml:space="preserve">RECITALS </w:t>
      </w:r>
    </w:p>
    <w:p>
      <w:pPr>
        <w:pStyle w:val="TextBody"/>
        <w:spacing w:before="240" w:after="0"/>
        <w:jc w:val="left"/>
        <w:rPr>
          <w:rFonts w:ascii="Times New Roman" w:hAnsi="Times New Roman"/>
          <w:sz w:val="20"/>
        </w:rPr>
      </w:pPr>
      <w:r>
        <w:rPr>
          <w:rFonts w:ascii="Times New Roman" w:hAnsi="Times New Roman"/>
          <w:b/>
          <w:sz w:val="20"/>
        </w:rPr>
        <w:t xml:space="preserve">THE PARTIES ENTER THIS AGREEMENT </w:t>
      </w:r>
      <w:r>
        <w:rPr>
          <w:rFonts w:ascii="Times New Roman" w:hAnsi="Times New Roman"/>
          <w:sz w:val="20"/>
        </w:rPr>
        <w:t xml:space="preserve">on the basis of the following facts, understandings and intentions: </w:t>
      </w:r>
    </w:p>
    <w:p>
      <w:pPr>
        <w:pStyle w:val="TextBody"/>
        <w:spacing w:before="24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The Corporation and the Executive mutually desire that the Executive be employed by the Corporation as its Interim Chief Executive Officer to carry out the duties and responsibilities described below, all on the terms and conditions hereinafter set forth, effective as of the Effective Date (as defined below). </w:t>
      </w:r>
    </w:p>
    <w:p>
      <w:pPr>
        <w:pStyle w:val="TextBody"/>
        <w:spacing w:before="240" w:after="0"/>
        <w:jc w:val="left"/>
        <w:rPr>
          <w:rFonts w:ascii="Times New Roman" w:hAnsi="Times New Roman"/>
          <w:sz w:val="20"/>
        </w:rPr>
      </w:pPr>
      <w:r>
        <w:rPr>
          <w:rFonts w:ascii="Times New Roman" w:hAnsi="Times New Roman"/>
          <w:b/>
          <w:sz w:val="20"/>
        </w:rPr>
        <w:t>NOW, THEREFORE</w:t>
      </w:r>
      <w:r>
        <w:rPr>
          <w:rFonts w:ascii="Times New Roman" w:hAnsi="Times New Roman"/>
          <w:sz w:val="20"/>
        </w:rPr>
        <w:t xml:space="preserve">, in consideration of the above recitals incorporated herein and the mutual covenants and promises contained herein and other good and valuable consideration, the receipt and sufficiency of which are hereby expressly acknowledged, the parties agree as follows: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b/>
              </w:rPr>
            </w:pPr>
            <w:r>
              <w:rPr>
                <w:b/>
              </w:rPr>
              <w:t>1.</w:t>
            </w:r>
          </w:p>
        </w:tc>
        <w:tc>
          <w:tcPr>
            <w:tcW w:w="9798"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u w:val="single"/>
              </w:rPr>
              <w:t>Employment and Duties</w:t>
            </w:r>
            <w:r>
              <w:rPr>
                <w:rFonts w:ascii="Times New Roman" w:hAnsi="Times New Roman"/>
                <w:b/>
                <w:sz w:val="20"/>
              </w:rPr>
              <w:t xml:space="preserve">. </w:t>
            </w:r>
          </w:p>
        </w:tc>
      </w:tr>
    </w:tbl>
    <w:p>
      <w:pPr>
        <w:pStyle w:val="TextBody"/>
        <w:spacing w:before="120" w:after="0"/>
        <w:jc w:val="left"/>
        <w:rPr>
          <w:rFonts w:ascii="Times New Roman" w:hAnsi="Times New Roman"/>
          <w:sz w:val="20"/>
        </w:rPr>
      </w:pPr>
      <w:r>
        <w:rPr>
          <w:rFonts w:ascii="Times New Roman" w:hAnsi="Times New Roman"/>
          <w:b/>
          <w:sz w:val="20"/>
        </w:rPr>
        <w:t>1.1</w:t>
      </w:r>
      <w:r>
        <w:rPr>
          <w:rFonts w:ascii="Times New Roman" w:hAnsi="Times New Roman"/>
          <w:sz w:val="20"/>
        </w:rPr>
        <w:t xml:space="preserve"> </w:t>
      </w:r>
      <w:r>
        <w:rPr>
          <w:rFonts w:ascii="Times New Roman" w:hAnsi="Times New Roman"/>
          <w:b/>
          <w:sz w:val="20"/>
          <w:u w:val="single"/>
        </w:rPr>
        <w:t>Employment</w:t>
      </w:r>
      <w:r>
        <w:rPr>
          <w:rFonts w:ascii="Times New Roman" w:hAnsi="Times New Roman"/>
          <w:sz w:val="20"/>
        </w:rPr>
        <w:t xml:space="preserve">. Effective as of the Effective Date, the Corporation shall employ the Executive on an at-will basis, subject to the terms and conditions expressly set forth in this Agreement, including, but not limited to, Section 5 of this Agreement. The Executive does hereby accept and agree to such continued employment on the terms and conditions expressly set forth in this Agreement. </w:t>
      </w:r>
    </w:p>
    <w:p>
      <w:pPr>
        <w:pStyle w:val="TextBody"/>
        <w:spacing w:before="240" w:after="0"/>
        <w:jc w:val="left"/>
        <w:rPr>
          <w:rFonts w:ascii="Times New Roman" w:hAnsi="Times New Roman"/>
          <w:sz w:val="20"/>
        </w:rPr>
      </w:pPr>
      <w:r>
        <w:rPr>
          <w:rFonts w:ascii="Times New Roman" w:hAnsi="Times New Roman"/>
          <w:b/>
          <w:sz w:val="20"/>
        </w:rPr>
        <w:t>1.2</w:t>
      </w:r>
      <w:r>
        <w:rPr>
          <w:rFonts w:ascii="Times New Roman" w:hAnsi="Times New Roman"/>
          <w:sz w:val="20"/>
        </w:rPr>
        <w:t xml:space="preserve"> </w:t>
      </w:r>
      <w:r>
        <w:rPr>
          <w:rFonts w:ascii="Times New Roman" w:hAnsi="Times New Roman"/>
          <w:b/>
          <w:sz w:val="20"/>
          <w:u w:val="single"/>
        </w:rPr>
        <w:t>Duties</w:t>
      </w:r>
      <w:r>
        <w:rPr>
          <w:rFonts w:ascii="Times New Roman" w:hAnsi="Times New Roman"/>
          <w:sz w:val="20"/>
        </w:rPr>
        <w:t>. The Executive shall serve the Corporation as its Interim Chief Executive Officer and shall perform and have the responsibilities, duties, status and authority customary for a position in an organization of the size and nature of the Corporation, subject to the corporate policies of the Corporation as in effect from time to time (including, without limitation, the Corporations business conduct and ethics policies, as they may be amended from time to time). In this position, the Executive shall report to the Board of Directors (</w:t>
      </w:r>
      <w:r>
        <w:rPr>
          <w:rFonts w:ascii="Times New Roman" w:hAnsi="Times New Roman"/>
          <w:sz w:val="20"/>
          <w:u w:val="single"/>
        </w:rPr>
        <w:t>Board</w:t>
      </w:r>
      <w:r>
        <w:rPr>
          <w:rFonts w:ascii="Times New Roman" w:hAnsi="Times New Roman"/>
          <w:sz w:val="20"/>
        </w:rPr>
        <w:t>) of GoodRx Holdings, Inc. (</w:t>
      </w:r>
      <w:r>
        <w:rPr>
          <w:rFonts w:ascii="Times New Roman" w:hAnsi="Times New Roman"/>
          <w:sz w:val="20"/>
          <w:u w:val="single"/>
        </w:rPr>
        <w:t>Holdings</w:t>
      </w:r>
      <w:r>
        <w:rPr>
          <w:rFonts w:ascii="Times New Roman" w:hAnsi="Times New Roman"/>
          <w:sz w:val="20"/>
        </w:rPr>
        <w:t xml:space="preserve">) and shall render such administrative, financial, and other executive and managerial services to the Corporation and its affiliates as the Board may from time to time reasonably direct. </w:t>
      </w:r>
    </w:p>
    <w:p>
      <w:pPr>
        <w:pStyle w:val="TextBody"/>
        <w:spacing w:before="240" w:after="0"/>
        <w:jc w:val="left"/>
        <w:rPr>
          <w:rFonts w:ascii="Times New Roman" w:hAnsi="Times New Roman"/>
          <w:sz w:val="20"/>
        </w:rPr>
      </w:pPr>
      <w:r>
        <w:rPr>
          <w:rFonts w:ascii="Times New Roman" w:hAnsi="Times New Roman"/>
          <w:b/>
          <w:sz w:val="20"/>
        </w:rPr>
        <w:t>1.3</w:t>
      </w:r>
      <w:r>
        <w:rPr>
          <w:rFonts w:ascii="Times New Roman" w:hAnsi="Times New Roman"/>
          <w:sz w:val="20"/>
        </w:rPr>
        <w:t xml:space="preserve"> </w:t>
      </w:r>
      <w:r>
        <w:rPr>
          <w:rFonts w:ascii="Times New Roman" w:hAnsi="Times New Roman"/>
          <w:b/>
          <w:sz w:val="20"/>
          <w:u w:val="single"/>
        </w:rPr>
        <w:t>No Other Employment; Time Commitment</w:t>
      </w:r>
      <w:r>
        <w:rPr>
          <w:rFonts w:ascii="Times New Roman" w:hAnsi="Times New Roman"/>
          <w:sz w:val="20"/>
        </w:rPr>
        <w:t xml:space="preserve">. For so long as the Executive is employed with the Corporation, the Executive shall both (i) devote substantially all of his business time, energy and skill to the performance of the Executives duties for the Corporation and (ii) hold no other employment positions with any other entity. Further, the Executives service on the boards of directors (or similar bodies) of other business entities is subject to the prior approval of the Board not to be unreasonably withheld. The Corporation shall have the right to require the Executive to resign from any board or similar body on which the Executive may then serve if the Board reasonably determines that such service (x) creates a material conflict of interest or otherwise directly interferes with the effective discharge of the Executives duties and responsibilities to the Corporation in accordance with this Agreement or (y) is in respect of a business then in competition with any business of the Corporation. </w:t>
      </w:r>
    </w:p>
    <w:p>
      <w:pPr>
        <w:pStyle w:val="TextBody"/>
        <w:spacing w:before="0" w:after="0"/>
        <w:jc w:val="left"/>
        <w:rPr/>
      </w:pPr>
      <w:r>
        <w:rPr/>
        <w:t>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b/>
          <w:sz w:val="20"/>
        </w:rPr>
        <w:t>1.4</w:t>
      </w:r>
      <w:r>
        <w:rPr>
          <w:rFonts w:ascii="Times New Roman" w:hAnsi="Times New Roman"/>
          <w:sz w:val="20"/>
        </w:rPr>
        <w:t xml:space="preserve"> </w:t>
      </w:r>
      <w:r>
        <w:rPr>
          <w:rFonts w:ascii="Times New Roman" w:hAnsi="Times New Roman"/>
          <w:b/>
          <w:sz w:val="20"/>
          <w:u w:val="single"/>
        </w:rPr>
        <w:t>No Breach of Contract</w:t>
      </w:r>
      <w:r>
        <w:rPr>
          <w:rFonts w:ascii="Times New Roman" w:hAnsi="Times New Roman"/>
          <w:sz w:val="20"/>
        </w:rPr>
        <w:t xml:space="preserve">. The Executive hereby represents to the Corporation: (i) that the execution and delivery of this Agreement by the Executive and the Corporation and the performance by the Executive of the Executives duties hereunder shall not constitute a breach of, or otherwise contravene, the terms of any other agreement or policy to which the Executive is a party or otherwise bound; (ii) that the Executive has no information (including, without limitation, confidential information and trade secrets) relating to any other person or entity which would prevent, or be violated by, the Executive entering into this Agreement or carrying out the Executives duties hereunder; and (iii) that the Executive is not bound by any confidentiality, trade secret or similar agreement with any other person or entity which would prevent, or be violated by, the Executive (x) entering into this Agreement or (y) carrying out the Executives duties hereunder. </w:t>
      </w:r>
    </w:p>
    <w:p>
      <w:pPr>
        <w:pStyle w:val="TextBody"/>
        <w:spacing w:before="240" w:after="0"/>
        <w:jc w:val="left"/>
        <w:rPr>
          <w:rFonts w:ascii="Times New Roman" w:hAnsi="Times New Roman"/>
          <w:sz w:val="20"/>
        </w:rPr>
      </w:pPr>
      <w:r>
        <w:rPr>
          <w:rFonts w:ascii="Times New Roman" w:hAnsi="Times New Roman"/>
          <w:b/>
          <w:sz w:val="20"/>
        </w:rPr>
        <w:t>1.5</w:t>
      </w:r>
      <w:r>
        <w:rPr>
          <w:rFonts w:ascii="Times New Roman" w:hAnsi="Times New Roman"/>
          <w:sz w:val="20"/>
        </w:rPr>
        <w:t xml:space="preserve"> </w:t>
      </w:r>
      <w:r>
        <w:rPr>
          <w:rFonts w:ascii="Times New Roman" w:hAnsi="Times New Roman"/>
          <w:b/>
          <w:sz w:val="20"/>
          <w:u w:val="single"/>
        </w:rPr>
        <w:t>Location</w:t>
      </w:r>
      <w:r>
        <w:rPr>
          <w:rFonts w:ascii="Times New Roman" w:hAnsi="Times New Roman"/>
          <w:sz w:val="20"/>
        </w:rPr>
        <w:t xml:space="preserve">. The Executives principal place of employment initially shall be the offices of the Corporation located in Los Angeles, California. The Executive acknowledges that business travel may be required from time to time in the course of performing the Executives duties for the Corporation. Such air travel shall be provided to the Executive in business class. </w:t>
      </w:r>
    </w:p>
    <w:p>
      <w:pPr>
        <w:pStyle w:val="TextBody"/>
        <w:spacing w:before="240" w:after="0"/>
        <w:jc w:val="left"/>
        <w:rPr>
          <w:rFonts w:ascii="Times New Roman" w:hAnsi="Times New Roman"/>
          <w:sz w:val="20"/>
        </w:rPr>
      </w:pPr>
      <w:r>
        <w:rPr>
          <w:rFonts w:ascii="Times New Roman" w:hAnsi="Times New Roman"/>
          <w:b/>
          <w:sz w:val="20"/>
        </w:rPr>
        <w:t>2.</w:t>
      </w:r>
      <w:r>
        <w:rPr>
          <w:rFonts w:ascii="Times New Roman" w:hAnsi="Times New Roman"/>
          <w:sz w:val="20"/>
        </w:rPr>
        <w:t xml:space="preserve"> </w:t>
      </w:r>
      <w:r>
        <w:rPr>
          <w:rFonts w:ascii="Times New Roman" w:hAnsi="Times New Roman"/>
          <w:b/>
          <w:sz w:val="20"/>
          <w:u w:val="single"/>
        </w:rPr>
        <w:t>Term</w:t>
      </w:r>
      <w:r>
        <w:rPr>
          <w:rFonts w:ascii="Times New Roman" w:hAnsi="Times New Roman"/>
          <w:sz w:val="20"/>
        </w:rPr>
        <w:t>. The Executives employment under this Agreement shall commence on April 25, 2023 (the </w:t>
      </w:r>
      <w:r>
        <w:rPr>
          <w:rFonts w:ascii="Times New Roman" w:hAnsi="Times New Roman"/>
          <w:sz w:val="20"/>
          <w:u w:val="single"/>
        </w:rPr>
        <w:t>Effective Date</w:t>
      </w:r>
      <w:r>
        <w:rPr>
          <w:rFonts w:ascii="Times New Roman" w:hAnsi="Times New Roman"/>
          <w:sz w:val="20"/>
        </w:rPr>
        <w:t>) and shall be for a term ending on the first anniversary of the Effective Date, unless earlier terminated in accordance with the terms of this Agreement (the </w:t>
      </w:r>
      <w:r>
        <w:rPr>
          <w:rFonts w:ascii="Times New Roman" w:hAnsi="Times New Roman"/>
          <w:sz w:val="20"/>
          <w:u w:val="single"/>
        </w:rPr>
        <w:t>Term</w:t>
      </w:r>
      <w:r>
        <w:rPr>
          <w:rFonts w:ascii="Times New Roman" w:hAnsi="Times New Roman"/>
          <w:sz w:val="20"/>
        </w:rPr>
        <w:t xml:space="preserve">). For the avoidance of doubt, this Agreement will not be effective, and the Executive will not be entitled to any of the compensation and benefits set forth herein, unless and until the Executive commences employment on the Effective Date. If Executive remains employed following the expiration of the Term and this Agreement, the Executive shall continue as an at-will employee and only the terms of Sections 6, 8, 9, 12, 14, 15, 16, 17, 18, 20 and 23 shall survive the expiration of this Agreement.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b/>
              </w:rPr>
            </w:pPr>
            <w:r>
              <w:rPr>
                <w:b/>
              </w:rPr>
              <w:t>3.</w:t>
            </w:r>
          </w:p>
        </w:tc>
        <w:tc>
          <w:tcPr>
            <w:tcW w:w="9797"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u w:val="single"/>
              </w:rPr>
              <w:t>Compensation</w:t>
            </w:r>
            <w:r>
              <w:rPr>
                <w:rFonts w:ascii="Times New Roman" w:hAnsi="Times New Roman"/>
                <w:b/>
                <w:sz w:val="20"/>
              </w:rPr>
              <w:t xml:space="preserve">. </w:t>
            </w:r>
          </w:p>
        </w:tc>
      </w:tr>
    </w:tbl>
    <w:p>
      <w:pPr>
        <w:pStyle w:val="TextBody"/>
        <w:spacing w:before="120" w:after="0"/>
        <w:jc w:val="left"/>
        <w:rPr>
          <w:rFonts w:ascii="Times New Roman" w:hAnsi="Times New Roman"/>
          <w:sz w:val="20"/>
        </w:rPr>
      </w:pPr>
      <w:r>
        <w:rPr>
          <w:rFonts w:ascii="Times New Roman" w:hAnsi="Times New Roman"/>
          <w:b/>
          <w:sz w:val="20"/>
        </w:rPr>
        <w:t>3.1</w:t>
      </w:r>
      <w:r>
        <w:rPr>
          <w:rFonts w:ascii="Times New Roman" w:hAnsi="Times New Roman"/>
          <w:sz w:val="20"/>
        </w:rPr>
        <w:t xml:space="preserve"> </w:t>
      </w:r>
      <w:r>
        <w:rPr>
          <w:rFonts w:ascii="Times New Roman" w:hAnsi="Times New Roman"/>
          <w:b/>
          <w:sz w:val="20"/>
          <w:u w:val="single"/>
        </w:rPr>
        <w:t>Base Salary</w:t>
      </w:r>
      <w:r>
        <w:rPr>
          <w:rFonts w:ascii="Times New Roman" w:hAnsi="Times New Roman"/>
          <w:sz w:val="20"/>
        </w:rPr>
        <w:t>. During the Term, the Executives annual base salary (the </w:t>
      </w:r>
      <w:r>
        <w:rPr>
          <w:rFonts w:ascii="Times New Roman" w:hAnsi="Times New Roman"/>
          <w:sz w:val="20"/>
          <w:u w:val="single"/>
        </w:rPr>
        <w:t>Base Salary</w:t>
      </w:r>
      <w:r>
        <w:rPr>
          <w:rFonts w:ascii="Times New Roman" w:hAnsi="Times New Roman"/>
          <w:sz w:val="20"/>
        </w:rPr>
        <w:t>) shall be paid in accordance with the Corporations regular payroll practices in effect from time to time, but not less frequently than in monthly installments. As of the Effective Date, the Executives </w:t>
      </w:r>
      <w:r>
        <w:rPr>
          <w:rFonts w:ascii="Times New Roman" w:hAnsi="Times New Roman"/>
          <w:sz w:val="20"/>
          <w:u w:val="single"/>
        </w:rPr>
        <w:t>Base Salary</w:t>
      </w:r>
      <w:r>
        <w:rPr>
          <w:rFonts w:ascii="Times New Roman" w:hAnsi="Times New Roman"/>
          <w:sz w:val="20"/>
        </w:rPr>
        <w:t xml:space="preserve"> shall be at an annualized rate of $750,000. </w:t>
      </w:r>
    </w:p>
    <w:p>
      <w:pPr>
        <w:pStyle w:val="TextBody"/>
        <w:spacing w:before="240" w:after="0"/>
        <w:jc w:val="left"/>
        <w:rPr>
          <w:rFonts w:ascii="Times New Roman" w:hAnsi="Times New Roman"/>
          <w:sz w:val="20"/>
        </w:rPr>
      </w:pPr>
      <w:r>
        <w:rPr>
          <w:rFonts w:ascii="Times New Roman" w:hAnsi="Times New Roman"/>
          <w:b/>
          <w:sz w:val="20"/>
        </w:rPr>
        <w:t>3.2</w:t>
      </w:r>
      <w:r>
        <w:rPr>
          <w:rFonts w:ascii="Times New Roman" w:hAnsi="Times New Roman"/>
          <w:sz w:val="20"/>
        </w:rPr>
        <w:t xml:space="preserve"> </w:t>
      </w:r>
      <w:r>
        <w:rPr>
          <w:rFonts w:ascii="Times New Roman" w:hAnsi="Times New Roman"/>
          <w:b/>
          <w:sz w:val="20"/>
          <w:u w:val="single"/>
        </w:rPr>
        <w:t>Incentive Bonus</w:t>
      </w:r>
      <w:r>
        <w:rPr>
          <w:rFonts w:ascii="Times New Roman" w:hAnsi="Times New Roman"/>
          <w:sz w:val="20"/>
        </w:rPr>
        <w:t>. The Executive will be eligible to receive an incentive bonus (the </w:t>
      </w:r>
      <w:r>
        <w:rPr>
          <w:rFonts w:ascii="Times New Roman" w:hAnsi="Times New Roman"/>
          <w:sz w:val="20"/>
          <w:u w:val="single"/>
        </w:rPr>
        <w:t>Incentive Bonus</w:t>
      </w:r>
      <w:r>
        <w:rPr>
          <w:rFonts w:ascii="Times New Roman" w:hAnsi="Times New Roman"/>
          <w:sz w:val="20"/>
        </w:rPr>
        <w:t xml:space="preserve">) targeted at 100% of the Executives annual Base Salary, payable based on the Boards assessment, at the end of the Term, of the Executives performance. The actual Incentive Bonus, if any, shall be paid within 45 days following the expiration of the Term, subject to the Executives continued employment by the Corporation or its affiliates through the first anniversary of the Effective Date.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b/>
          <w:sz w:val="20"/>
        </w:rPr>
        <w:t>3.3</w:t>
      </w:r>
      <w:r>
        <w:rPr>
          <w:rFonts w:ascii="Times New Roman" w:hAnsi="Times New Roman"/>
          <w:sz w:val="20"/>
        </w:rPr>
        <w:t xml:space="preserve"> </w:t>
      </w:r>
      <w:r>
        <w:rPr>
          <w:rFonts w:ascii="Times New Roman" w:hAnsi="Times New Roman"/>
          <w:b/>
          <w:sz w:val="20"/>
          <w:u w:val="single"/>
        </w:rPr>
        <w:t>Stock Option</w:t>
      </w:r>
      <w:r>
        <w:rPr>
          <w:rFonts w:ascii="Times New Roman" w:hAnsi="Times New Roman"/>
          <w:sz w:val="20"/>
        </w:rPr>
        <w:t>. The Corporation shall grant to the Executive a stock option (the </w:t>
      </w:r>
      <w:r>
        <w:rPr>
          <w:rFonts w:ascii="Times New Roman" w:hAnsi="Times New Roman"/>
          <w:sz w:val="20"/>
          <w:u w:val="single"/>
        </w:rPr>
        <w:t>Option</w:t>
      </w:r>
      <w:r>
        <w:rPr>
          <w:rFonts w:ascii="Times New Roman" w:hAnsi="Times New Roman"/>
          <w:sz w:val="20"/>
        </w:rPr>
        <w:t xml:space="preserve">) pursuant to Holdings 2020 Incentive Award Plan on the first trading day of the first open window under the Corporations Insider Trading Compliance Policy that occurs following the Effective Date. The Option shall be a nonqualified stock option, shall have an exercise price per share equal to the closing price of Holdings Class A common stock on the applicable grant date, and shall have a maximum term of ten years from the applicable grant date. The number of shares of Holdings Class A common stock subject to the Option shall be between 2.5 million and 3.0 million, with the final number being determined by the Board in its sole discretion prior to or on the applicable grant date. Subject to Executives continued employment with the Corporation through the applicable vesting date, the Option shall vest and become exercisable in twelve (12) substantially equal installments on each monthly anniversary of the Effective Date.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5"/>
        <w:gridCol w:w="9800"/>
      </w:tblGrid>
      <w:tr>
        <w:trPr/>
        <w:tc>
          <w:tcPr>
            <w:tcW w:w="405" w:type="dxa"/>
            <w:tcBorders/>
            <w:shd w:fill="auto" w:val="clear"/>
          </w:tcPr>
          <w:p>
            <w:pPr>
              <w:pStyle w:val="TableContents"/>
              <w:spacing w:before="0" w:after="283"/>
              <w:jc w:val="left"/>
              <w:rPr>
                <w:b/>
              </w:rPr>
            </w:pPr>
            <w:r>
              <w:rPr>
                <w:b/>
              </w:rPr>
              <w:t>4.</w:t>
            </w:r>
          </w:p>
        </w:tc>
        <w:tc>
          <w:tcPr>
            <w:tcW w:w="9800"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u w:val="single"/>
              </w:rPr>
              <w:t>Benefits</w:t>
            </w:r>
            <w:r>
              <w:rPr>
                <w:rFonts w:ascii="Times New Roman" w:hAnsi="Times New Roman"/>
                <w:b/>
                <w:sz w:val="20"/>
              </w:rPr>
              <w:t xml:space="preserve">. </w:t>
            </w:r>
          </w:p>
        </w:tc>
      </w:tr>
    </w:tbl>
    <w:p>
      <w:pPr>
        <w:pStyle w:val="TextBody"/>
        <w:spacing w:before="120" w:after="0"/>
        <w:jc w:val="left"/>
        <w:rPr>
          <w:rFonts w:ascii="Times New Roman" w:hAnsi="Times New Roman"/>
          <w:sz w:val="20"/>
        </w:rPr>
      </w:pPr>
      <w:r>
        <w:rPr>
          <w:rFonts w:ascii="Times New Roman" w:hAnsi="Times New Roman"/>
          <w:b/>
          <w:sz w:val="20"/>
        </w:rPr>
        <w:t>4.1</w:t>
      </w:r>
      <w:r>
        <w:rPr>
          <w:rFonts w:ascii="Times New Roman" w:hAnsi="Times New Roman"/>
          <w:sz w:val="20"/>
        </w:rPr>
        <w:t xml:space="preserve"> </w:t>
      </w:r>
      <w:r>
        <w:rPr>
          <w:rFonts w:ascii="Times New Roman" w:hAnsi="Times New Roman"/>
          <w:b/>
          <w:sz w:val="20"/>
          <w:u w:val="single"/>
        </w:rPr>
        <w:t>Health, Retirement, Welfare and Fringe Benefits</w:t>
      </w:r>
      <w:r>
        <w:rPr>
          <w:rFonts w:ascii="Times New Roman" w:hAnsi="Times New Roman"/>
          <w:sz w:val="20"/>
        </w:rPr>
        <w:t xml:space="preserve">. During the Term, the Executive shall be eligible to participate in all employee health, life and other insurance, retirement and welfare benefit plans and programs, bonus, and fringe benefit plans and programs, made available by the Corporation to the Corporations executive employees generally, in accordance with the terms of such plans and as such plans or programs may be in effect from time to time. </w:t>
      </w:r>
    </w:p>
    <w:p>
      <w:pPr>
        <w:pStyle w:val="TextBody"/>
        <w:spacing w:before="240" w:after="0"/>
        <w:jc w:val="left"/>
        <w:rPr>
          <w:rFonts w:ascii="Times New Roman" w:hAnsi="Times New Roman"/>
          <w:sz w:val="20"/>
        </w:rPr>
      </w:pPr>
      <w:r>
        <w:rPr>
          <w:rFonts w:ascii="Times New Roman" w:hAnsi="Times New Roman"/>
          <w:b/>
          <w:sz w:val="20"/>
        </w:rPr>
        <w:t>4.2</w:t>
      </w:r>
      <w:r>
        <w:rPr>
          <w:rFonts w:ascii="Times New Roman" w:hAnsi="Times New Roman"/>
          <w:sz w:val="20"/>
        </w:rPr>
        <w:t xml:space="preserve"> </w:t>
      </w:r>
      <w:r>
        <w:rPr>
          <w:rFonts w:ascii="Times New Roman" w:hAnsi="Times New Roman"/>
          <w:b/>
          <w:sz w:val="20"/>
          <w:u w:val="single"/>
        </w:rPr>
        <w:t>Reimbursement of Expenses</w:t>
      </w:r>
      <w:r>
        <w:rPr>
          <w:rFonts w:ascii="Times New Roman" w:hAnsi="Times New Roman"/>
          <w:sz w:val="20"/>
        </w:rPr>
        <w:t xml:space="preserve">. During the Term, the Corporation shall reimburse Executive for all customary and reasonable business expenses incurred in the performance of his duties under this Agreement and as an officer or director pursuant to the Corporations expense reimbursement policies. </w:t>
      </w:r>
    </w:p>
    <w:p>
      <w:pPr>
        <w:pStyle w:val="TextBody"/>
        <w:spacing w:before="240" w:after="0"/>
        <w:jc w:val="left"/>
        <w:rPr>
          <w:rFonts w:ascii="Times New Roman" w:hAnsi="Times New Roman"/>
          <w:sz w:val="20"/>
        </w:rPr>
      </w:pPr>
      <w:r>
        <w:rPr>
          <w:rFonts w:ascii="Times New Roman" w:hAnsi="Times New Roman"/>
          <w:b/>
          <w:sz w:val="20"/>
        </w:rPr>
        <w:t>4.3</w:t>
      </w:r>
      <w:r>
        <w:rPr>
          <w:rFonts w:ascii="Times New Roman" w:hAnsi="Times New Roman"/>
          <w:sz w:val="20"/>
        </w:rPr>
        <w:t xml:space="preserve"> </w:t>
      </w:r>
      <w:r>
        <w:rPr>
          <w:rFonts w:ascii="Times New Roman" w:hAnsi="Times New Roman"/>
          <w:b/>
          <w:sz w:val="20"/>
          <w:u w:val="single"/>
        </w:rPr>
        <w:t>Vacation and Other Leave</w:t>
      </w:r>
      <w:r>
        <w:rPr>
          <w:rFonts w:ascii="Times New Roman" w:hAnsi="Times New Roman"/>
          <w:sz w:val="20"/>
        </w:rPr>
        <w:t>. During the Term, the Executives annual rate of Paid Time Off (</w:t>
      </w:r>
      <w:r>
        <w:rPr>
          <w:rFonts w:ascii="Times New Roman" w:hAnsi="Times New Roman"/>
          <w:sz w:val="20"/>
          <w:u w:val="single"/>
        </w:rPr>
        <w:t>PTO</w:t>
      </w:r>
      <w:r>
        <w:rPr>
          <w:rFonts w:ascii="Times New Roman" w:hAnsi="Times New Roman"/>
          <w:sz w:val="20"/>
        </w:rPr>
        <w:t xml:space="preserve">) accrual shall be as set forth in the Corporations PTO policies as in effect from time to time; </w:t>
      </w:r>
      <w:r>
        <w:rPr>
          <w:rFonts w:ascii="Times New Roman" w:hAnsi="Times New Roman"/>
          <w:sz w:val="20"/>
          <w:u w:val="single"/>
        </w:rPr>
        <w:t>provided</w:t>
      </w:r>
      <w:r>
        <w:rPr>
          <w:rFonts w:ascii="Times New Roman" w:hAnsi="Times New Roman"/>
          <w:sz w:val="20"/>
        </w:rPr>
        <w:t xml:space="preserve"> that such vacation shall accrue and be subject to the Corporations vacation policies as in effect from time to time. The Executive shall also be eligible for all other holiday and leave pay generally available to other executives of the Corporation. </w:t>
      </w:r>
    </w:p>
    <w:p>
      <w:pPr>
        <w:pStyle w:val="TextBody"/>
        <w:spacing w:before="240" w:after="0"/>
        <w:jc w:val="left"/>
        <w:rPr>
          <w:rFonts w:ascii="Times New Roman" w:hAnsi="Times New Roman"/>
          <w:sz w:val="20"/>
        </w:rPr>
      </w:pPr>
      <w:r>
        <w:rPr>
          <w:rFonts w:ascii="Times New Roman" w:hAnsi="Times New Roman"/>
          <w:b/>
          <w:sz w:val="20"/>
        </w:rPr>
        <w:t>4.4</w:t>
      </w:r>
      <w:r>
        <w:rPr>
          <w:rFonts w:ascii="Times New Roman" w:hAnsi="Times New Roman"/>
          <w:sz w:val="20"/>
        </w:rPr>
        <w:t xml:space="preserve"> </w:t>
      </w:r>
      <w:r>
        <w:rPr>
          <w:rFonts w:ascii="Times New Roman" w:hAnsi="Times New Roman"/>
          <w:b/>
          <w:sz w:val="20"/>
          <w:u w:val="single"/>
        </w:rPr>
        <w:t>Indemnification</w:t>
      </w:r>
      <w:r>
        <w:rPr>
          <w:rFonts w:ascii="Times New Roman" w:hAnsi="Times New Roman"/>
          <w:sz w:val="20"/>
        </w:rPr>
        <w:t xml:space="preserve">. The Executive shall be provided indemnification, and coverage under the Corporations D&amp;O and EPL liability insurance policies.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b/>
              </w:rPr>
            </w:pPr>
            <w:r>
              <w:rPr>
                <w:b/>
              </w:rPr>
              <w:t>5.</w:t>
            </w:r>
          </w:p>
        </w:tc>
        <w:tc>
          <w:tcPr>
            <w:tcW w:w="9799"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u w:val="single"/>
              </w:rPr>
              <w:t>Termination of Employment</w:t>
            </w:r>
            <w:r>
              <w:rPr>
                <w:rFonts w:ascii="Times New Roman" w:hAnsi="Times New Roman"/>
                <w:b/>
                <w:sz w:val="20"/>
              </w:rPr>
              <w:t xml:space="preserve">. </w:t>
            </w:r>
          </w:p>
        </w:tc>
      </w:tr>
    </w:tbl>
    <w:p>
      <w:pPr>
        <w:pStyle w:val="TextBody"/>
        <w:spacing w:before="120" w:after="0"/>
        <w:jc w:val="left"/>
        <w:rPr>
          <w:rFonts w:ascii="Times New Roman" w:hAnsi="Times New Roman"/>
          <w:sz w:val="20"/>
        </w:rPr>
      </w:pPr>
      <w:r>
        <w:rPr>
          <w:rFonts w:ascii="Times New Roman" w:hAnsi="Times New Roman"/>
          <w:b/>
          <w:sz w:val="20"/>
        </w:rPr>
        <w:t>5.1</w:t>
      </w:r>
      <w:r>
        <w:rPr>
          <w:rFonts w:ascii="Times New Roman" w:hAnsi="Times New Roman"/>
          <w:sz w:val="20"/>
        </w:rPr>
        <w:t xml:space="preserve"> </w:t>
      </w:r>
      <w:r>
        <w:rPr>
          <w:rFonts w:ascii="Times New Roman" w:hAnsi="Times New Roman"/>
          <w:b/>
          <w:sz w:val="20"/>
          <w:u w:val="single"/>
        </w:rPr>
        <w:t>Generally</w:t>
      </w:r>
      <w:r>
        <w:rPr>
          <w:rFonts w:ascii="Times New Roman" w:hAnsi="Times New Roman"/>
          <w:sz w:val="20"/>
        </w:rPr>
        <w:t xml:space="preserve">. The Executives employment by the Corporation, and the Term, may be terminated at any time (i) by the Corporation with or without Cause (as defined in Section 5.5), (ii) by the Corporation in the event that the Executive has incurred a Disability (as defined in Section 5.5), (iii) by the Executive for any reason, or (iv) due to the Executives death. The expiration of this Agreement shall not constitute a termination of the Executives employment by the Corporation without Cause or by the Executive for Good Reason. </w:t>
      </w:r>
    </w:p>
    <w:p>
      <w:pPr>
        <w:pStyle w:val="TextBody"/>
        <w:spacing w:before="240" w:after="0"/>
        <w:jc w:val="left"/>
        <w:rPr>
          <w:rFonts w:ascii="Times New Roman" w:hAnsi="Times New Roman"/>
          <w:sz w:val="20"/>
        </w:rPr>
      </w:pPr>
      <w:r>
        <w:rPr>
          <w:rFonts w:ascii="Times New Roman" w:hAnsi="Times New Roman"/>
          <w:b/>
          <w:sz w:val="20"/>
        </w:rPr>
        <w:t>5.2</w:t>
      </w:r>
      <w:r>
        <w:rPr>
          <w:rFonts w:ascii="Times New Roman" w:hAnsi="Times New Roman"/>
          <w:sz w:val="20"/>
        </w:rPr>
        <w:t xml:space="preserve"> </w:t>
      </w:r>
      <w:r>
        <w:rPr>
          <w:rFonts w:ascii="Times New Roman" w:hAnsi="Times New Roman"/>
          <w:b/>
          <w:sz w:val="20"/>
          <w:u w:val="single"/>
        </w:rPr>
        <w:t>Notice of Termination</w:t>
      </w:r>
      <w:r>
        <w:rPr>
          <w:rFonts w:ascii="Times New Roman" w:hAnsi="Times New Roman"/>
          <w:sz w:val="20"/>
        </w:rPr>
        <w:t>. Any termination of the Executives employment under this Agreement (other than because of the Executives death) shall be communicated by written notice of termination from the terminating party to the other party, which termination shall be effective (i) no less than thirty (30) days following delivery of such notice in the event of a termination by the Executive for any reason or (ii) immediately in the eve fnt of a termination by the Corporation for Cause, subject to any applicable notice and cure provisions set forth in Section 5.5. The notice of termination shall indicate the specific provision(s) of this Agreement relied upon in effecting the termination. The effective date of termination shall be referenced herein as the </w:t>
      </w:r>
      <w:r>
        <w:rPr>
          <w:rFonts w:ascii="Times New Roman" w:hAnsi="Times New Roman"/>
          <w:sz w:val="20"/>
          <w:u w:val="single"/>
        </w:rPr>
        <w:t>Separation Date</w:t>
      </w:r>
      <w:r>
        <w:rPr>
          <w:rFonts w:ascii="Times New Roman" w:hAnsi="Times New Roman"/>
          <w:sz w:val="20"/>
        </w:rPr>
        <w:t xml:space="preserv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rPr/>
      </w:pPr>
      <w:r>
        <w:rPr/>
      </w:r>
    </w:p>
    <w:tbl>
      <w:tblPr>
        <w:tblW w:w="5000" w:type="pct"/>
        <w:jc w:val="left"/>
        <w:tblInd w:w="0" w:type="dxa"/>
        <w:tblCellMar>
          <w:top w:w="0" w:type="dxa"/>
          <w:left w:w="0" w:type="dxa"/>
          <w:bottom w:w="0" w:type="dxa"/>
          <w:right w:w="0" w:type="dxa"/>
        </w:tblCellMar>
      </w:tblPr>
      <w:tblGrid>
        <w:gridCol w:w="407"/>
        <w:gridCol w:w="510"/>
        <w:gridCol w:w="9288"/>
      </w:tblGrid>
      <w:tr>
        <w:trPr/>
        <w:tc>
          <w:tcPr>
            <w:tcW w:w="407"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b/>
              </w:rPr>
            </w:pPr>
            <w:r>
              <w:rPr>
                <w:b/>
              </w:rPr>
              <w:t>5.3</w:t>
            </w:r>
          </w:p>
        </w:tc>
        <w:tc>
          <w:tcPr>
            <w:tcW w:w="9288"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u w:val="single"/>
              </w:rPr>
              <w:t>Benefits Upon Termination</w:t>
            </w:r>
            <w:r>
              <w:rPr>
                <w:rFonts w:ascii="Times New Roman" w:hAnsi="Times New Roman"/>
                <w:b/>
                <w:sz w:val="20"/>
              </w:rPr>
              <w:t xml:space="preserve">. </w:t>
            </w:r>
          </w:p>
        </w:tc>
      </w:tr>
    </w:tbl>
    <w:p>
      <w:pPr>
        <w:pStyle w:val="TextBody"/>
        <w:spacing w:before="240" w:after="0"/>
        <w:jc w:val="left"/>
        <w:rPr>
          <w:rFonts w:ascii="Times New Roman" w:hAnsi="Times New Roman"/>
          <w:sz w:val="20"/>
        </w:rPr>
      </w:pPr>
      <w:r>
        <w:rPr>
          <w:rFonts w:ascii="Times New Roman" w:hAnsi="Times New Roman"/>
          <w:sz w:val="20"/>
        </w:rPr>
        <w:t xml:space="preserve">(a) Upon or following termination of the Executives employment for any reason, the Corporation shall pay (i) on the Corporations first regularly scheduled payroll date following the Separation Date (or earlier if required by applicable law), any Base Salary, PTO, and any other amounts required under applicable law that had accrued or been earned but had not been paid on or before the Separation Date; and (ii) within thirty (30) days following the Separation Date, any reimbursement due to the Executive pursuant to Section 4.2 for expenses incurred by the Executive on or before the Separation Date. If the Executives employment by the Corporation is terminated during the Term by the Corporation for Cause or by the Executive without Good Reason (as defined in Section 5.5), then following the payment of the foregoing, the Corporation shall have no further obligation to make or provide to the Executive, and the Executive shall have no further right to receive or obtain from the Corporation any other payments or benefits. </w:t>
      </w:r>
    </w:p>
    <w:p>
      <w:pPr>
        <w:pStyle w:val="TextBody"/>
        <w:spacing w:before="240" w:after="0"/>
        <w:jc w:val="left"/>
        <w:rPr>
          <w:rFonts w:ascii="Times New Roman" w:hAnsi="Times New Roman"/>
          <w:sz w:val="20"/>
        </w:rPr>
      </w:pPr>
      <w:r>
        <w:rPr>
          <w:rFonts w:ascii="Times New Roman" w:hAnsi="Times New Roman"/>
          <w:sz w:val="20"/>
        </w:rPr>
        <w:t>(b) If, during the Term, the Executives employment is terminated by the Corporation (or its successor or assignee) without Cause, or due to the Executives death or Disability, or by the Executive with Good Reason (in any case, an </w:t>
      </w:r>
      <w:r>
        <w:rPr>
          <w:rFonts w:ascii="Times New Roman" w:hAnsi="Times New Roman"/>
          <w:sz w:val="20"/>
          <w:u w:val="single"/>
        </w:rPr>
        <w:t>Involuntary Termination</w:t>
      </w:r>
      <w:r>
        <w:rPr>
          <w:rFonts w:ascii="Times New Roman" w:hAnsi="Times New Roman"/>
          <w:sz w:val="20"/>
        </w:rPr>
        <w:t>) prior to the first anniversary of the Effective Date, the Corporation shall pay the Executive (or the Executives estate in the case of death) an amount equal to the Executives Base Salary at the rate in effect on the Separation Date that the Executive would have received had the Executive remained employed through the first anniversary of the Effective Date (the </w:t>
      </w:r>
      <w:r>
        <w:rPr>
          <w:rFonts w:ascii="Times New Roman" w:hAnsi="Times New Roman"/>
          <w:sz w:val="20"/>
          <w:u w:val="single"/>
        </w:rPr>
        <w:t>Salary Severance</w:t>
      </w:r>
      <w:r>
        <w:rPr>
          <w:rFonts w:ascii="Times New Roman" w:hAnsi="Times New Roman"/>
          <w:sz w:val="20"/>
        </w:rPr>
        <w:t xml:space="preserve">), </w:t>
      </w:r>
      <w:r>
        <w:rPr>
          <w:rFonts w:ascii="Times New Roman" w:hAnsi="Times New Roman"/>
          <w:i/>
          <w:sz w:val="20"/>
        </w:rPr>
        <w:t>plus</w:t>
      </w:r>
      <w:r>
        <w:rPr>
          <w:rFonts w:ascii="Times New Roman" w:hAnsi="Times New Roman"/>
          <w:sz w:val="20"/>
        </w:rPr>
        <w:t xml:space="preserve"> a Incentive Bonus determined in the Boards sole discretion in accordance with Section 3.2 and pro rated based on the number of days that elapsed from (and including) the Effective Date through the Separation Date divided by 366 (the </w:t>
      </w:r>
      <w:r>
        <w:rPr>
          <w:rFonts w:ascii="Times New Roman" w:hAnsi="Times New Roman"/>
          <w:sz w:val="20"/>
          <w:u w:val="single"/>
        </w:rPr>
        <w:t>Bonus Severance</w:t>
      </w:r>
      <w:r>
        <w:rPr>
          <w:rFonts w:ascii="Times New Roman" w:hAnsi="Times New Roman"/>
          <w:sz w:val="20"/>
        </w:rPr>
        <w:t xml:space="preserve">) </w:t>
      </w:r>
      <w:r>
        <w:rPr>
          <w:rFonts w:ascii="Times New Roman" w:hAnsi="Times New Roman"/>
          <w:i/>
          <w:sz w:val="20"/>
        </w:rPr>
        <w:t>plus</w:t>
      </w:r>
      <w:r>
        <w:rPr>
          <w:rFonts w:ascii="Times New Roman" w:hAnsi="Times New Roman"/>
          <w:sz w:val="20"/>
        </w:rPr>
        <w:t xml:space="preserve"> reimbursement of COBRA medical continuation premiums (if the Executive is eligible for, timely elects and pays for such COBRA medical continuation) for such same period (collectively, the </w:t>
      </w:r>
      <w:r>
        <w:rPr>
          <w:rFonts w:ascii="Times New Roman" w:hAnsi="Times New Roman"/>
          <w:sz w:val="20"/>
          <w:u w:val="single"/>
        </w:rPr>
        <w:t>Severance Benefit</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the Corporation shall have no obligation to reimburse the Executive for such COBRA premiums if the Corporation determines that reimbursement of such COBRA premiums would reasonably be expected to result in the imposition of excise taxes on the Corporation or any of its affiliates for any failure to comply with the nondiscrimination requirements of the Patient Protection and Affordable Care Act of 2010, as amended, and the Health Care and Education Reconciliation Act of 2010, as amended; and </w:t>
      </w:r>
      <w:r>
        <w:rPr>
          <w:rFonts w:ascii="Times New Roman" w:hAnsi="Times New Roman"/>
          <w:sz w:val="20"/>
          <w:u w:val="single"/>
        </w:rPr>
        <w:t>provided</w:t>
      </w:r>
      <w:r>
        <w:rPr>
          <w:rFonts w:ascii="Times New Roman" w:hAnsi="Times New Roman"/>
          <w:i/>
          <w:sz w:val="20"/>
        </w:rPr>
        <w:t>,</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if any plan pursuant to which such benefits are provided is not, or ceases prior to the expiration of the period of continuation coverage to be, exempt from the application of Section 409A under Treasury Regulation Section 1.409A-1(a)(5), an amount equal to each remaining Corporation payment shall thereafter be paid to the Executive in substantially equal monthly installments over the continuation coverage period (or the remaining portion thereof). The Corporation shall pay (or provide, as applicable) the Salary Severance to the Executive (or the Executives estate in the case of death) in substantially equal installments through the first anniversary of the Effective Date commencing on the Separation Date in accordance with the Corporations payroll cycle;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amounts that otherwise would be scheduled to be paid during the Release Period (as defined in Section 5.4(a)) shall accrue and shall be paid on the first payroll date following the expiration of the Release Period. The Corporation shall pay (or provide, as applicable) the Bonus Severance to the Executive (or the Executives estate in the case of death) within 70 days following the Separation Date.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(c) The Severance Benefit shall be subject to Section 18, and the Executives continued compliance with the PIIA. </w:t>
      </w:r>
    </w:p>
    <w:p>
      <w:pPr>
        <w:pStyle w:val="TextBody"/>
        <w:spacing w:before="240" w:after="0"/>
        <w:jc w:val="left"/>
        <w:rPr>
          <w:rFonts w:ascii="Times New Roman" w:hAnsi="Times New Roman"/>
          <w:sz w:val="20"/>
        </w:rPr>
      </w:pPr>
      <w:r>
        <w:rPr>
          <w:rFonts w:ascii="Times New Roman" w:hAnsi="Times New Roman"/>
          <w:sz w:val="20"/>
        </w:rPr>
        <w:t xml:space="preserve">(d) The foregoing provisions of this Section 5.3 shall not affect: (i) payment of the amounts set forth in Section 5.3(a); (ii) the Executives receipt of benefits otherwise due terminated employees under group insurance coverage consistent with the terms of the applicable Corporation welfare benefit plan; (iii) the Executives rights under COBRA to continue participation in medical, dental, hospitalization and such other benefit plans covered by COBRA; or (iv) the Executives receipt of any vested payments or benefits otherwise due in accordance with the terms of an applicable equity compensation plan maintained by the Corporation or Holdings and the Corporations 401(k) plan (if any).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509"/>
        <w:gridCol w:w="9288"/>
      </w:tblGrid>
      <w:tr>
        <w:trPr/>
        <w:tc>
          <w:tcPr>
            <w:tcW w:w="408"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b/>
              </w:rPr>
            </w:pPr>
            <w:r>
              <w:rPr>
                <w:b/>
              </w:rPr>
              <w:t>5.4</w:t>
            </w:r>
          </w:p>
        </w:tc>
        <w:tc>
          <w:tcPr>
            <w:tcW w:w="9288"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u w:val="single"/>
              </w:rPr>
              <w:t>Release; Exclusive Remedy</w:t>
            </w:r>
            <w:r>
              <w:rPr>
                <w:rFonts w:ascii="Times New Roman" w:hAnsi="Times New Roman"/>
                <w:b/>
                <w:sz w:val="20"/>
              </w:rPr>
              <w:t xml:space="preserve">. </w:t>
            </w:r>
          </w:p>
        </w:tc>
      </w:tr>
    </w:tbl>
    <w:p>
      <w:pPr>
        <w:pStyle w:val="TextBody"/>
        <w:spacing w:before="240" w:after="0"/>
        <w:jc w:val="left"/>
        <w:rPr>
          <w:rFonts w:ascii="Times New Roman" w:hAnsi="Times New Roman"/>
          <w:sz w:val="20"/>
        </w:rPr>
      </w:pPr>
      <w:r>
        <w:rPr>
          <w:rFonts w:ascii="Times New Roman" w:hAnsi="Times New Roman"/>
          <w:sz w:val="20"/>
        </w:rPr>
        <w:t>(a) As a condition precedent to any Corporation obligation to the Executive pursuant to Section 5.3(b), the Executive shall, upon or within sixty (60) days following termination of employment with the Corporation (such sixty (60)-day period being referred to as the </w:t>
      </w:r>
      <w:r>
        <w:rPr>
          <w:rFonts w:ascii="Times New Roman" w:hAnsi="Times New Roman"/>
          <w:sz w:val="20"/>
          <w:u w:val="single"/>
        </w:rPr>
        <w:t>Release Period</w:t>
      </w:r>
      <w:r>
        <w:rPr>
          <w:rFonts w:ascii="Times New Roman" w:hAnsi="Times New Roman"/>
          <w:sz w:val="20"/>
        </w:rPr>
        <w:t xml:space="preserve">), provide the Corporation with an executed general release in the form attached as </w:t>
      </w:r>
      <w:r>
        <w:rPr>
          <w:rFonts w:ascii="Times New Roman" w:hAnsi="Times New Roman"/>
          <w:sz w:val="20"/>
          <w:u w:val="single"/>
        </w:rPr>
        <w:t>Exhibit A</w:t>
      </w:r>
      <w:r>
        <w:rPr>
          <w:rFonts w:ascii="Times New Roman" w:hAnsi="Times New Roman"/>
          <w:sz w:val="20"/>
        </w:rPr>
        <w:t xml:space="preserve">, and such release shall have not been revoked by the Executive, and shall have become non-revocable, pursuant to, or in accordance with, any revocation rights afforded by applicable law. </w:t>
      </w:r>
    </w:p>
    <w:p>
      <w:pPr>
        <w:pStyle w:val="TextBody"/>
        <w:spacing w:before="240" w:after="0"/>
        <w:jc w:val="left"/>
        <w:rPr>
          <w:rFonts w:ascii="Times New Roman" w:hAnsi="Times New Roman"/>
          <w:sz w:val="20"/>
        </w:rPr>
      </w:pPr>
      <w:r>
        <w:rPr>
          <w:rFonts w:ascii="Times New Roman" w:hAnsi="Times New Roman"/>
          <w:sz w:val="20"/>
        </w:rPr>
        <w:t xml:space="preserve">(b) The Executive agrees that, upon the parties signing and the Executives not revoking </w:t>
      </w:r>
      <w:r>
        <w:rPr>
          <w:rFonts w:ascii="Times New Roman" w:hAnsi="Times New Roman"/>
          <w:sz w:val="20"/>
          <w:u w:val="single"/>
        </w:rPr>
        <w:t>Exhibit A</w:t>
      </w:r>
      <w:r>
        <w:rPr>
          <w:rFonts w:ascii="Times New Roman" w:hAnsi="Times New Roman"/>
          <w:sz w:val="20"/>
        </w:rPr>
        <w:t xml:space="preserve">, the payments and benefits contemplated by Section 5.3 shall constitute the exclusive and sole remedy for any termination of employment during the Term of this Agreement and the Executive covenants not to assert or pursue any other remedies, at law or in equity, with respect to any termination of employment. </w:t>
      </w:r>
    </w:p>
    <w:p>
      <w:pPr>
        <w:pStyle w:val="TextBody"/>
        <w:spacing w:before="240" w:after="0"/>
        <w:jc w:val="left"/>
        <w:rPr>
          <w:rFonts w:ascii="Times New Roman" w:hAnsi="Times New Roman"/>
          <w:sz w:val="20"/>
        </w:rPr>
      </w:pPr>
      <w:r>
        <w:rPr>
          <w:rFonts w:ascii="Times New Roman" w:hAnsi="Times New Roman"/>
          <w:b/>
          <w:sz w:val="20"/>
        </w:rPr>
        <w:t>5.5</w:t>
      </w:r>
      <w:r>
        <w:rPr>
          <w:rFonts w:ascii="Times New Roman" w:hAnsi="Times New Roman"/>
          <w:sz w:val="20"/>
        </w:rPr>
        <w:t xml:space="preserve"> </w:t>
      </w:r>
      <w:r>
        <w:rPr>
          <w:rFonts w:ascii="Times New Roman" w:hAnsi="Times New Roman"/>
          <w:b/>
          <w:sz w:val="20"/>
          <w:u w:val="single"/>
        </w:rPr>
        <w:t>Certain Defined Terms</w:t>
      </w:r>
      <w:r>
        <w:rPr>
          <w:rFonts w:ascii="Times New Roman" w:hAnsi="Times New Roman"/>
          <w:sz w:val="20"/>
        </w:rPr>
        <w:t xml:space="preserve">. The definitions of Cause and Good Reason contained in this Agreement shall govern for purposes of this Agreement. </w:t>
      </w:r>
    </w:p>
    <w:p>
      <w:pPr>
        <w:pStyle w:val="TextBody"/>
        <w:spacing w:before="240" w:after="0"/>
        <w:jc w:val="left"/>
        <w:rPr>
          <w:rFonts w:ascii="Times New Roman" w:hAnsi="Times New Roman"/>
          <w:sz w:val="20"/>
        </w:rPr>
      </w:pPr>
      <w:r>
        <w:rPr>
          <w:rFonts w:ascii="Times New Roman" w:hAnsi="Times New Roman"/>
          <w:sz w:val="20"/>
        </w:rPr>
        <w:t>(a) As used herein, </w:t>
      </w:r>
      <w:r>
        <w:rPr>
          <w:rFonts w:ascii="Times New Roman" w:hAnsi="Times New Roman"/>
          <w:sz w:val="20"/>
          <w:u w:val="single"/>
        </w:rPr>
        <w:t>Cause</w:t>
      </w:r>
      <w:r>
        <w:rPr>
          <w:rFonts w:ascii="Times New Roman" w:hAnsi="Times New Roman"/>
          <w:sz w:val="20"/>
        </w:rPr>
        <w:t xml:space="preserve"> shall mean that one or more of the following has occurred: </w:t>
      </w:r>
    </w:p>
    <w:p>
      <w:pPr>
        <w:pStyle w:val="TextBody"/>
        <w:spacing w:before="120" w:after="0"/>
        <w:jc w:val="left"/>
        <w:rPr>
          <w:rFonts w:ascii="Times New Roman" w:hAnsi="Times New Roman"/>
          <w:sz w:val="20"/>
        </w:rPr>
      </w:pPr>
      <w:r>
        <w:rPr>
          <w:rFonts w:ascii="Times New Roman" w:hAnsi="Times New Roman"/>
          <w:sz w:val="20"/>
        </w:rPr>
        <w:t xml:space="preserve">(i) the Executive has (x) been convicted of, pled guilty or no contest to, or entered into a plea agreement on charges constituting, any felony (under the laws of the United States, any relevant state, or the equivalent of a felony in any international jurisdiction in which the Corporation does business), other than a traffic violation or (y) been convicted of, or pled guilty or no contest to, any misdemeanor crime involving dishonesty or moral turpitude; </w:t>
      </w:r>
    </w:p>
    <w:p>
      <w:pPr>
        <w:pStyle w:val="TextBody"/>
        <w:spacing w:before="120" w:after="0"/>
        <w:jc w:val="left"/>
        <w:rPr>
          <w:rFonts w:ascii="Times New Roman" w:hAnsi="Times New Roman"/>
          <w:sz w:val="20"/>
        </w:rPr>
      </w:pPr>
      <w:r>
        <w:rPr>
          <w:rFonts w:ascii="Times New Roman" w:hAnsi="Times New Roman"/>
          <w:sz w:val="20"/>
        </w:rPr>
        <w:t xml:space="preserve">(ii) the Executive has engaged in any willful misconduct (including any willful violation of federal securities laws), gross neglect of Executives job duties, willful act of dishonesty, violence or threat of violence in the workplace, in each case, that either has materially injured or is reasonably expected to substantially injure the Corporation;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(iii) the Executive has willfully breached the written laws of any governmental or regulatory body applicable to the Corporation in each case, that either has materially injured or is reasonably expected to substantially injure the Corporation; </w:t>
      </w:r>
    </w:p>
    <w:p>
      <w:pPr>
        <w:pStyle w:val="TextBody"/>
        <w:spacing w:before="120" w:after="0"/>
        <w:jc w:val="left"/>
        <w:rPr>
          <w:rFonts w:ascii="Times New Roman" w:hAnsi="Times New Roman"/>
          <w:sz w:val="20"/>
        </w:rPr>
      </w:pPr>
      <w:r>
        <w:rPr>
          <w:rFonts w:ascii="Times New Roman" w:hAnsi="Times New Roman"/>
          <w:sz w:val="20"/>
        </w:rPr>
        <w:t xml:space="preserve">(iv) the Executive has (other than any such failure resulting from the Executives Disability or incapacity due to bodily injury or physical or mental illness) willfully failed to comply with lawful material directives of the Board regarding his employment with the Corporation; or </w:t>
      </w:r>
    </w:p>
    <w:p>
      <w:pPr>
        <w:pStyle w:val="TextBody"/>
        <w:spacing w:before="120" w:after="0"/>
        <w:jc w:val="left"/>
        <w:rPr>
          <w:rFonts w:ascii="Times New Roman" w:hAnsi="Times New Roman"/>
          <w:sz w:val="20"/>
        </w:rPr>
      </w:pPr>
      <w:r>
        <w:rPr>
          <w:rFonts w:ascii="Times New Roman" w:hAnsi="Times New Roman"/>
          <w:sz w:val="20"/>
        </w:rPr>
        <w:t xml:space="preserve">(v) the Executive has (other than any such failure resulting from the Executives Disability or incapacity due to bodily injury or physical or mental illness) materially breached this Agreement or any other material contract regarding employment with the Corporation to which the Executive and the Corporation are parties, in each case, that either has substantially injured or is reasonably expected to substantially injure the Corporation; </w:t>
      </w:r>
    </w:p>
    <w:p>
      <w:pPr>
        <w:pStyle w:val="TextBody"/>
        <w:spacing w:before="240" w:after="0"/>
        <w:jc w:val="left"/>
        <w:rPr>
          <w:rFonts w:ascii="Times New Roman" w:hAnsi="Times New Roman"/>
          <w:sz w:val="20"/>
        </w:rPr>
      </w:pPr>
      <w:r>
        <w:rPr>
          <w:rFonts w:ascii="Times New Roman" w:hAnsi="Times New Roman"/>
          <w:sz w:val="20"/>
          <w:u w:val="single"/>
        </w:rPr>
        <w:t>provided</w:t>
      </w:r>
      <w:r>
        <w:rPr>
          <w:rFonts w:ascii="Times New Roman" w:hAnsi="Times New Roman"/>
          <w:sz w:val="20"/>
        </w:rPr>
        <w:t xml:space="preserve"> that, with respect to Sections 5.5(a)(ii), 5.5(a)(iii), 5.5(a)(iv), and 5.5(a)(v), and if the event giving rise to the claim of Cause is curable, the Corporation provides written notice to the Executive of the details of the event and the subsection(s) of Section 5.5 to which it pertains, within thirty (30) days of the Corporation learning of the occurrence of such event, that Executive is provided a reasonable opportunity to cure such Cause, and such Cause event remains uncured thirty (30) days after the Corporation has provided such written notice;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any termination by the Corporation of the Executives employment for Cause with respect to Sections 5.5(a)(ii), 5.5(a)(iii), 5.5(a)(iv) or 5.5(a)(v) shall occur no later than thirty (30) days following the expiration of such cure period. In the event that the Board has so determined in good faith that Cause exists, the Board shall have no obligation to terminate the Executives employment if the Board determines in its sole discretion that such a decision not to terminate the Executives employment is in the best interest of the Corporation. </w:t>
      </w:r>
    </w:p>
    <w:p>
      <w:pPr>
        <w:pStyle w:val="TextBody"/>
        <w:spacing w:before="240" w:after="0"/>
        <w:jc w:val="left"/>
        <w:rPr>
          <w:rFonts w:ascii="Times New Roman" w:hAnsi="Times New Roman"/>
          <w:sz w:val="20"/>
        </w:rPr>
      </w:pPr>
      <w:r>
        <w:rPr>
          <w:rFonts w:ascii="Times New Roman" w:hAnsi="Times New Roman"/>
          <w:sz w:val="20"/>
        </w:rPr>
        <w:t>(b) As used herein, </w:t>
      </w:r>
      <w:r>
        <w:rPr>
          <w:rFonts w:ascii="Times New Roman" w:hAnsi="Times New Roman"/>
          <w:sz w:val="20"/>
          <w:u w:val="single"/>
        </w:rPr>
        <w:t>Disability</w:t>
      </w:r>
      <w:r>
        <w:rPr>
          <w:rFonts w:ascii="Times New Roman" w:hAnsi="Times New Roman"/>
          <w:sz w:val="20"/>
        </w:rPr>
        <w:t xml:space="preserve"> shall mean a disability for which the Executive is deemed qualified for benefits under the Corporations long-term disability plan or, if the Corporation does not maintain a long-term disability plan or the Executive does not apply for such benefits, any medically determinable physical or mental impairment (as determined by a physician designated by the Corporation in good faith) resulting in Executives inability to perform the duties of his position, where such impairment can be expected to result in death or can be expected to last for a continuous period of not less than six months. </w:t>
      </w:r>
    </w:p>
    <w:p>
      <w:pPr>
        <w:pStyle w:val="TextBody"/>
        <w:spacing w:before="240" w:after="0"/>
        <w:jc w:val="left"/>
        <w:rPr>
          <w:rFonts w:ascii="Times New Roman" w:hAnsi="Times New Roman"/>
          <w:sz w:val="20"/>
        </w:rPr>
      </w:pPr>
      <w:r>
        <w:rPr>
          <w:rFonts w:ascii="Times New Roman" w:hAnsi="Times New Roman"/>
          <w:sz w:val="20"/>
        </w:rPr>
        <w:t>(c) As used herein, </w:t>
      </w:r>
      <w:r>
        <w:rPr>
          <w:rFonts w:ascii="Times New Roman" w:hAnsi="Times New Roman"/>
          <w:sz w:val="20"/>
          <w:u w:val="single"/>
        </w:rPr>
        <w:t>Good Reason</w:t>
      </w:r>
      <w:r>
        <w:rPr>
          <w:rFonts w:ascii="Times New Roman" w:hAnsi="Times New Roman"/>
          <w:sz w:val="20"/>
        </w:rPr>
        <w:t xml:space="preserve"> shall mean that one or more of the following has occurred without the Executives prior written consent: </w:t>
      </w:r>
    </w:p>
    <w:p>
      <w:pPr>
        <w:pStyle w:val="TextBody"/>
        <w:spacing w:before="120" w:after="0"/>
        <w:jc w:val="left"/>
        <w:rPr>
          <w:rFonts w:ascii="Times New Roman" w:hAnsi="Times New Roman"/>
          <w:sz w:val="20"/>
        </w:rPr>
      </w:pPr>
      <w:r>
        <w:rPr>
          <w:rFonts w:ascii="Times New Roman" w:hAnsi="Times New Roman"/>
          <w:sz w:val="20"/>
        </w:rPr>
        <w:t>(i) a material diminution in the nature or scope of the Executives responsibilities, duties or authority as set forth in Section 1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Executive continuing in the same role on a divisional or business unit basis following the acquisition of the Corporation by a larger entity shall not be treated as a material diminution in title, responsibilities, duties, or authority);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(ii) the Corporations material breach of this Agreement; or </w:t>
      </w:r>
    </w:p>
    <w:p>
      <w:pPr>
        <w:pStyle w:val="TextBody"/>
        <w:spacing w:before="120" w:after="0"/>
        <w:jc w:val="left"/>
        <w:rPr>
          <w:rFonts w:ascii="Times New Roman" w:hAnsi="Times New Roman"/>
          <w:sz w:val="20"/>
        </w:rPr>
      </w:pPr>
      <w:r>
        <w:rPr>
          <w:rFonts w:ascii="Times New Roman" w:hAnsi="Times New Roman"/>
          <w:sz w:val="20"/>
        </w:rPr>
        <w:t xml:space="preserve">(iii) any reduction in the Executives Base Salary or target Incentive Bonus other than, for both Base Salary and target Incentive Bonus individually, a one-time reduction of not more than ten percent (10%) that also is applied to substantially all other executive officers of the Corporation; </w:t>
      </w:r>
    </w:p>
    <w:p>
      <w:pPr>
        <w:pStyle w:val="TextBody"/>
        <w:spacing w:before="240" w:after="0"/>
        <w:jc w:val="left"/>
        <w:rPr>
          <w:rFonts w:ascii="Times New Roman" w:hAnsi="Times New Roman"/>
          <w:sz w:val="20"/>
        </w:rPr>
      </w:pPr>
      <w:r>
        <w:rPr>
          <w:rFonts w:ascii="Times New Roman" w:hAnsi="Times New Roman"/>
          <w:sz w:val="20"/>
          <w:u w:val="single"/>
        </w:rPr>
        <w:t>provided</w:t>
      </w:r>
      <w:r>
        <w:rPr>
          <w:rFonts w:ascii="Times New Roman" w:hAnsi="Times New Roman"/>
          <w:sz w:val="20"/>
        </w:rPr>
        <w:t xml:space="preserve"> that, in any such case, the Executive provides written notice to the Corporation of the event giving rise to such claim of Good Reason within thirty (30) days after the Executive learns of the occurrence of such event in writing from the Corporation, and such Good Reason event remains uncured thirty (30) days after the Executive has provided such written notice;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any resignation of the Executives employment for Good Reason occurs no later than sixty (60) days following the expiration of such cure period. </w:t>
      </w:r>
    </w:p>
    <w:p>
      <w:pPr>
        <w:pStyle w:val="TextBody"/>
        <w:spacing w:before="240" w:after="0"/>
        <w:jc w:val="left"/>
        <w:rPr>
          <w:rFonts w:ascii="Times New Roman" w:hAnsi="Times New Roman"/>
          <w:sz w:val="20"/>
        </w:rPr>
      </w:pPr>
      <w:r>
        <w:rPr>
          <w:rFonts w:ascii="Times New Roman" w:hAnsi="Times New Roman"/>
          <w:b/>
          <w:sz w:val="20"/>
        </w:rPr>
        <w:t>5.6</w:t>
      </w:r>
      <w:r>
        <w:rPr>
          <w:rFonts w:ascii="Times New Roman" w:hAnsi="Times New Roman"/>
          <w:sz w:val="20"/>
        </w:rPr>
        <w:t xml:space="preserve"> </w:t>
      </w:r>
      <w:r>
        <w:rPr>
          <w:rFonts w:ascii="Times New Roman" w:hAnsi="Times New Roman"/>
          <w:b/>
          <w:sz w:val="20"/>
          <w:u w:val="single"/>
        </w:rPr>
        <w:t>Resignation from Directorships and Officerships</w:t>
      </w:r>
      <w:r>
        <w:rPr>
          <w:rFonts w:ascii="Times New Roman" w:hAnsi="Times New Roman"/>
          <w:sz w:val="20"/>
        </w:rPr>
        <w:t xml:space="preserve">. Unless the parties agree otherwise in writing, the termination of the Executives employment with the Corporation for any reason shall be treated as the Executives resignation from (x) any director, officer or employee position the Executive has with the Corporation, any parent entity (including Holdings) and any of their respective affiliates, and (y) all fiduciary positions (including as a trustee) the Executive holds with respect to any employee benefit plans or trusts established by the Corporation, any parent entity and any other subsidiaries of such parent entity, or any of their respective affiliates. The Executive agrees that this Agreement shall, unless the parties agree otherwise in writing, serve as written notice of such resignation in this circumstance. Furthermore, the Executive agrees to execute any documents evidencing such resignations that the Corporation reasonably requests. </w:t>
      </w:r>
    </w:p>
    <w:p>
      <w:pPr>
        <w:pStyle w:val="TextBody"/>
        <w:spacing w:before="240" w:after="0"/>
        <w:jc w:val="left"/>
        <w:rPr>
          <w:rFonts w:ascii="Times New Roman" w:hAnsi="Times New Roman"/>
          <w:sz w:val="20"/>
        </w:rPr>
      </w:pPr>
      <w:r>
        <w:rPr>
          <w:rFonts w:ascii="Times New Roman" w:hAnsi="Times New Roman"/>
          <w:b/>
          <w:sz w:val="20"/>
        </w:rPr>
        <w:t>5.7</w:t>
      </w:r>
      <w:r>
        <w:rPr>
          <w:rFonts w:ascii="Times New Roman" w:hAnsi="Times New Roman"/>
          <w:sz w:val="20"/>
        </w:rPr>
        <w:t xml:space="preserve"> </w:t>
      </w:r>
      <w:r>
        <w:rPr>
          <w:rFonts w:ascii="Times New Roman" w:hAnsi="Times New Roman"/>
          <w:b/>
          <w:sz w:val="20"/>
          <w:u w:val="single"/>
        </w:rPr>
        <w:t>280G Implications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(a) Notwithstanding any other provision of this Agreement, in the event that any payment or benefit received or to be received by the Executive (including any payment or benefit received in connection with a termination of the Executives employment, whether pursuant to the terms of this Agreement or any other plan, arrangement or agreement) (all such payments and benefits, including the payments and benefits under Section 5.3, being hereinafter referred to as the </w:t>
      </w:r>
      <w:r>
        <w:rPr>
          <w:rFonts w:ascii="Times New Roman" w:hAnsi="Times New Roman"/>
          <w:sz w:val="20"/>
          <w:u w:val="single"/>
        </w:rPr>
        <w:t>Total Payments</w:t>
      </w:r>
      <w:r>
        <w:rPr>
          <w:rFonts w:ascii="Times New Roman" w:hAnsi="Times New Roman"/>
          <w:sz w:val="20"/>
        </w:rPr>
        <w:t>) would be subject (in whole or part), to the excise tax imposed under Section 4999 of the Code (the </w:t>
      </w:r>
      <w:r>
        <w:rPr>
          <w:rFonts w:ascii="Times New Roman" w:hAnsi="Times New Roman"/>
          <w:sz w:val="20"/>
          <w:u w:val="single"/>
        </w:rPr>
        <w:t>Excise Tax</w:t>
      </w:r>
      <w:r>
        <w:rPr>
          <w:rFonts w:ascii="Times New Roman" w:hAnsi="Times New Roman"/>
          <w:sz w:val="20"/>
        </w:rPr>
        <w:t xml:space="preserve">), then, after taking into account any reduction in the Total Payments provided by reason of Section 280G of the Code in such other plan, arrangement or agreement, the cash severance payments under this Agreement shall first be reduced, and the noncash severance payments hereunder shall thereafter be reduced, to the extent necessary so that no portion of the Total Payments is subject to the Excise Tax but only if (i) the net amount of such Total Payments, as so reduced (and after subtracting the net amount of federal, state and local income taxes on such reduced Total Payments and after taking into account the phase out of itemized deductions and personal exemptions attributable to such reduced Total Payments) is greater than or equal to (ii) the net amount of such Total Payments without such reduction (but after subtracting the net amount of federal, state and local income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taxes on such Total Payments and the amount of Excise Tax to which the Executive would be subject in respect of such unreduced Total Payments and after taking into account the phase out of itemized deductions and personal exemptions attributable to such unreduced Total Payments). In all cases, if there are any reductions to the Total Payments under this paragraph, the reduction shall be performed in a manner which results in the greatest after-tax amount being retained by the Executive and in manner which comports with Section 409A. </w:t>
      </w:r>
    </w:p>
    <w:p>
      <w:pPr>
        <w:pStyle w:val="TextBody"/>
        <w:spacing w:before="240" w:after="0"/>
        <w:jc w:val="left"/>
        <w:rPr>
          <w:rFonts w:ascii="Times New Roman" w:hAnsi="Times New Roman"/>
          <w:sz w:val="20"/>
        </w:rPr>
      </w:pPr>
      <w:r>
        <w:rPr>
          <w:rFonts w:ascii="Times New Roman" w:hAnsi="Times New Roman"/>
          <w:sz w:val="20"/>
        </w:rPr>
        <w:t>(b) For purposes of determining whether and the extent to which the Total Payments will be subject to the Excise Tax, (i) no portion of the Total Payments the receipt or enjoyment of which the Executive shall have waived at such time and in such manner as not to constitute a payment within the meaning of Section 280G(b) of the Code shall be taken into account; (ii) no portion of the Total Payments shall be taken into account which, in the written opinion of an independent, nationally recognized accounting firm (the </w:t>
      </w:r>
      <w:r>
        <w:rPr>
          <w:rFonts w:ascii="Times New Roman" w:hAnsi="Times New Roman"/>
          <w:sz w:val="20"/>
          <w:u w:val="single"/>
        </w:rPr>
        <w:t>Independent Advisors</w:t>
      </w:r>
      <w:r>
        <w:rPr>
          <w:rFonts w:ascii="Times New Roman" w:hAnsi="Times New Roman"/>
          <w:sz w:val="20"/>
        </w:rPr>
        <w:t>) selected by the Corporation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Independent Advisors may not without the Executives written consent be the firm which serves as the auditor for the ultimate parent of the entity acquiring the Corporation) does not constitute a parachute payment within the meaning of Section 280G(b)(2) of the Code (including by reason of Section 280G(b)(4)(A) of the Code) and, in calculating the Excise Tax, no portion of such Total Payments shall be taken into account which, in the opinion of Independent Advisors, constitutes reasonable compensation for services actually rendered, within the meaning of Section 280G(b)(4)(B) of the Code, in excess of the base amount (as defined in Section 280G(b)(3) of the Code) allocable to such reasonable compensation; and (iii) the value of any non-cash benefit or any deferred payment or benefit included in the Total Payments shall be determined by the Independent Advisors in accordance with the principles of Sections 280G(d)(3) and (4) of the Code. </w:t>
      </w:r>
    </w:p>
    <w:p>
      <w:pPr>
        <w:pStyle w:val="TextBody"/>
        <w:spacing w:before="480" w:after="0"/>
        <w:jc w:val="center"/>
        <w:rPr>
          <w:rFonts w:ascii="Times New Roman" w:hAnsi="Times New Roman"/>
          <w:b/>
          <w:sz w:val="20"/>
        </w:rPr>
      </w:pPr>
      <w:r>
        <w:rPr>
          <w:rFonts w:ascii="Times New Roman" w:hAnsi="Times New Roman"/>
          <w:b/>
          <w:sz w:val="20"/>
        </w:rPr>
        <w:t xml:space="preserve">6. </w:t>
      </w:r>
      <w:r>
        <w:rPr>
          <w:rFonts w:ascii="Times New Roman" w:hAnsi="Times New Roman"/>
          <w:b/>
          <w:sz w:val="20"/>
          <w:u w:val="single"/>
        </w:rPr>
        <w:t>Covenants</w:t>
      </w:r>
      <w:r>
        <w:rPr>
          <w:rFonts w:ascii="Times New Roman" w:hAnsi="Times New Roman"/>
          <w:b/>
          <w:sz w:val="20"/>
        </w:rPr>
        <w:t xml:space="preserve">. </w:t>
      </w:r>
    </w:p>
    <w:p>
      <w:pPr>
        <w:pStyle w:val="TextBody"/>
        <w:spacing w:before="240" w:after="0"/>
        <w:jc w:val="left"/>
        <w:rPr>
          <w:rFonts w:ascii="Times New Roman" w:hAnsi="Times New Roman"/>
          <w:sz w:val="20"/>
        </w:rPr>
      </w:pPr>
      <w:r>
        <w:rPr>
          <w:rFonts w:ascii="Times New Roman" w:hAnsi="Times New Roman"/>
          <w:b/>
          <w:sz w:val="20"/>
        </w:rPr>
        <w:t>6.1</w:t>
      </w:r>
      <w:r>
        <w:rPr>
          <w:rFonts w:ascii="Times New Roman" w:hAnsi="Times New Roman"/>
          <w:sz w:val="20"/>
        </w:rPr>
        <w:t xml:space="preserve"> </w:t>
      </w:r>
      <w:r>
        <w:rPr>
          <w:rFonts w:ascii="Times New Roman" w:hAnsi="Times New Roman"/>
          <w:b/>
          <w:sz w:val="20"/>
          <w:u w:val="single"/>
        </w:rPr>
        <w:t>Defense of Claims</w:t>
      </w:r>
      <w:r>
        <w:rPr>
          <w:rFonts w:ascii="Times New Roman" w:hAnsi="Times New Roman"/>
          <w:sz w:val="20"/>
        </w:rPr>
        <w:t xml:space="preserve">. The Executive agrees that, during the Term hereof, and for a period of five (5) years after termination of the Executives employment, upon reasonable notice from the Corporation, the Executive will reasonably cooperate with providing information to the Corporation necessary in the defense of any claims or actions that may be made by or against the Corporation that affect the Executives prior areas of responsibility, except if the Executives interests are adverse to the Corporation in such claim or action. The Corporation agrees that it shall promptly pay or reimburse the reasonable cost of the time of the Executive (at $75 per hour) and any reasonable, out-of-pocket costs and attorneys fees that the Executive actually incurs in connection with the Executive providing such assistance or cooperation to the Corporation, in accordance with the Corporations standard policies and procedures as in effect from time to time, provided that the Executive shall have obtained prior written approval from the Corporation for any travel costs incurred by the Executive in connection with the Executives obligations under this Section 6.1. </w:t>
      </w:r>
    </w:p>
    <w:p>
      <w:pPr>
        <w:pStyle w:val="TextBody"/>
        <w:spacing w:before="240" w:after="0"/>
        <w:jc w:val="left"/>
        <w:rPr>
          <w:rFonts w:ascii="Times New Roman" w:hAnsi="Times New Roman"/>
          <w:sz w:val="20"/>
        </w:rPr>
      </w:pPr>
      <w:r>
        <w:rPr>
          <w:rFonts w:ascii="Times New Roman" w:hAnsi="Times New Roman"/>
          <w:b/>
          <w:sz w:val="20"/>
        </w:rPr>
        <w:t>6.2</w:t>
      </w:r>
      <w:r>
        <w:rPr>
          <w:rFonts w:ascii="Times New Roman" w:hAnsi="Times New Roman"/>
          <w:sz w:val="20"/>
        </w:rPr>
        <w:t xml:space="preserve"> </w:t>
      </w:r>
      <w:r>
        <w:rPr>
          <w:rFonts w:ascii="Times New Roman" w:hAnsi="Times New Roman"/>
          <w:b/>
          <w:sz w:val="20"/>
          <w:u w:val="single"/>
        </w:rPr>
        <w:t>PIIA</w:t>
      </w:r>
      <w:r>
        <w:rPr>
          <w:rFonts w:ascii="Times New Roman" w:hAnsi="Times New Roman"/>
          <w:sz w:val="20"/>
        </w:rPr>
        <w:t xml:space="preserve">. The Executive hereby acknowledges that the Executive is concurrently entering into an agreement with the Corporation, substantially in the form attached hereto as </w:t>
      </w:r>
      <w:r>
        <w:rPr>
          <w:rFonts w:ascii="Times New Roman" w:hAnsi="Times New Roman"/>
          <w:sz w:val="20"/>
          <w:u w:val="single"/>
        </w:rPr>
        <w:t>Exhibit B</w:t>
      </w:r>
      <w:r>
        <w:rPr>
          <w:rFonts w:ascii="Times New Roman" w:hAnsi="Times New Roman"/>
          <w:sz w:val="20"/>
        </w:rPr>
        <w:t>, containing confidentiality, intellectual property assignment, non-competition, non-solicitation and other protective covenants (the </w:t>
      </w:r>
      <w:r>
        <w:rPr>
          <w:rFonts w:ascii="Times New Roman" w:hAnsi="Times New Roman"/>
          <w:sz w:val="20"/>
          <w:u w:val="single"/>
        </w:rPr>
        <w:t>PIIA</w:t>
      </w:r>
      <w:r>
        <w:rPr>
          <w:rFonts w:ascii="Times New Roman" w:hAnsi="Times New Roman"/>
          <w:sz w:val="20"/>
        </w:rPr>
        <w:t xml:space="preserve">), that the Executive shall be bound by the terms and conditions of the PIIA, and that such agreement shall be additional to, and not in limitation of, the covenants contained in any other written agreement between the Corporation and the Executive.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b/>
          <w:sz w:val="20"/>
        </w:rPr>
        <w:t>7.</w:t>
      </w:r>
      <w:r>
        <w:rPr>
          <w:rFonts w:ascii="Times New Roman" w:hAnsi="Times New Roman"/>
          <w:sz w:val="20"/>
        </w:rPr>
        <w:t xml:space="preserve"> </w:t>
      </w:r>
      <w:r>
        <w:rPr>
          <w:rFonts w:ascii="Times New Roman" w:hAnsi="Times New Roman"/>
          <w:b/>
          <w:sz w:val="20"/>
          <w:u w:val="single"/>
        </w:rPr>
        <w:t>Source of Payments</w:t>
      </w:r>
      <w:r>
        <w:rPr>
          <w:rFonts w:ascii="Times New Roman" w:hAnsi="Times New Roman"/>
          <w:sz w:val="20"/>
        </w:rPr>
        <w:t xml:space="preserve">. All payments provided under this Agreement, other than payments made pursuant to a plan which provides otherwise, shall be paid in cash from the general funds of the Corporation, and no special or separate fund shall be established, and no other segregation of assets shall be made, to assure payment. The Executive shall have no right, title or interest whatsoever in or to any investments which the Corporation may make to aid the Corporation in meeting its obligations hereunder. Any payments provided under this Agreement shall be treated as amounts owed to an unsecured creditor of the Corporation. </w:t>
      </w:r>
    </w:p>
    <w:p>
      <w:pPr>
        <w:pStyle w:val="TextBody"/>
        <w:spacing w:before="240" w:after="0"/>
        <w:jc w:val="left"/>
        <w:rPr>
          <w:rFonts w:ascii="Times New Roman" w:hAnsi="Times New Roman"/>
          <w:sz w:val="20"/>
        </w:rPr>
      </w:pPr>
      <w:r>
        <w:rPr>
          <w:rFonts w:ascii="Times New Roman" w:hAnsi="Times New Roman"/>
          <w:b/>
          <w:sz w:val="20"/>
        </w:rPr>
        <w:t>8.</w:t>
      </w:r>
      <w:r>
        <w:rPr>
          <w:rFonts w:ascii="Times New Roman" w:hAnsi="Times New Roman"/>
          <w:sz w:val="20"/>
        </w:rPr>
        <w:t xml:space="preserve"> </w:t>
      </w:r>
      <w:r>
        <w:rPr>
          <w:rFonts w:ascii="Times New Roman" w:hAnsi="Times New Roman"/>
          <w:b/>
          <w:sz w:val="20"/>
          <w:u w:val="single"/>
        </w:rPr>
        <w:t>Withholding</w:t>
      </w:r>
      <w:r>
        <w:rPr>
          <w:rFonts w:ascii="Times New Roman" w:hAnsi="Times New Roman"/>
          <w:sz w:val="20"/>
        </w:rPr>
        <w:t xml:space="preserve">. Notwithstanding anything else herein to the contrary, the Corporation and its affiliates may withhold (or cause there to be withheld, as the case may be) from any amounts otherwise due or payable under or pursuant to this Agreement such federal, state and local income, employment, or other taxes or other amounts as may be required to be withheld pursuant to any applicable law or regulation. </w:t>
      </w:r>
    </w:p>
    <w:p>
      <w:pPr>
        <w:pStyle w:val="TextBody"/>
        <w:spacing w:before="360" w:after="0"/>
        <w:jc w:val="left"/>
        <w:rPr>
          <w:rFonts w:ascii="Times New Roman" w:hAnsi="Times New Roman"/>
          <w:b/>
          <w:sz w:val="20"/>
        </w:rPr>
      </w:pPr>
      <w:r>
        <w:rPr>
          <w:rFonts w:ascii="Times New Roman" w:hAnsi="Times New Roman"/>
          <w:b/>
          <w:sz w:val="20"/>
        </w:rPr>
        <w:t xml:space="preserve">9. </w:t>
      </w:r>
      <w:r>
        <w:rPr>
          <w:rFonts w:ascii="Times New Roman" w:hAnsi="Times New Roman"/>
          <w:b/>
          <w:sz w:val="20"/>
          <w:u w:val="single"/>
        </w:rPr>
        <w:t>Assignment; Binding Effect</w:t>
      </w:r>
      <w:r>
        <w:rPr>
          <w:rFonts w:ascii="Times New Roman" w:hAnsi="Times New Roman"/>
          <w:b/>
          <w:sz w:val="20"/>
        </w:rPr>
        <w:t xml:space="preserve">. </w:t>
      </w:r>
    </w:p>
    <w:p>
      <w:pPr>
        <w:pStyle w:val="TextBody"/>
        <w:spacing w:before="120" w:after="0"/>
        <w:jc w:val="left"/>
        <w:rPr>
          <w:rFonts w:ascii="Times New Roman" w:hAnsi="Times New Roman"/>
          <w:sz w:val="20"/>
        </w:rPr>
      </w:pPr>
      <w:r>
        <w:rPr>
          <w:rFonts w:ascii="Times New Roman" w:hAnsi="Times New Roman"/>
          <w:b/>
          <w:sz w:val="20"/>
        </w:rPr>
        <w:t>9.1</w:t>
      </w:r>
      <w:r>
        <w:rPr>
          <w:rFonts w:ascii="Times New Roman" w:hAnsi="Times New Roman"/>
          <w:sz w:val="20"/>
        </w:rPr>
        <w:t xml:space="preserve"> </w:t>
      </w:r>
      <w:r>
        <w:rPr>
          <w:rFonts w:ascii="Times New Roman" w:hAnsi="Times New Roman"/>
          <w:b/>
          <w:sz w:val="20"/>
          <w:u w:val="single"/>
        </w:rPr>
        <w:t>By the Executive</w:t>
      </w:r>
      <w:r>
        <w:rPr>
          <w:rFonts w:ascii="Times New Roman" w:hAnsi="Times New Roman"/>
          <w:sz w:val="20"/>
        </w:rPr>
        <w:t xml:space="preserve">. This Agreement and any and all rights, duties, obligations or interests hereunder shall not be assignable or delegable by the Executive. </w:t>
      </w:r>
    </w:p>
    <w:p>
      <w:pPr>
        <w:pStyle w:val="TextBody"/>
        <w:spacing w:before="240" w:after="0"/>
        <w:jc w:val="left"/>
        <w:rPr>
          <w:rFonts w:ascii="Times New Roman" w:hAnsi="Times New Roman"/>
          <w:sz w:val="20"/>
        </w:rPr>
      </w:pPr>
      <w:r>
        <w:rPr>
          <w:rFonts w:ascii="Times New Roman" w:hAnsi="Times New Roman"/>
          <w:b/>
          <w:sz w:val="20"/>
        </w:rPr>
        <w:t>9.2</w:t>
      </w:r>
      <w:r>
        <w:rPr>
          <w:rFonts w:ascii="Times New Roman" w:hAnsi="Times New Roman"/>
          <w:sz w:val="20"/>
        </w:rPr>
        <w:t xml:space="preserve"> </w:t>
      </w:r>
      <w:r>
        <w:rPr>
          <w:rFonts w:ascii="Times New Roman" w:hAnsi="Times New Roman"/>
          <w:b/>
          <w:sz w:val="20"/>
          <w:u w:val="single"/>
        </w:rPr>
        <w:t>By the Corporation</w:t>
      </w:r>
      <w:r>
        <w:rPr>
          <w:rFonts w:ascii="Times New Roman" w:hAnsi="Times New Roman"/>
          <w:sz w:val="20"/>
        </w:rPr>
        <w:t xml:space="preserve">. This Agreement and all of the Corporations rights and obligations hereunder shall not be assignable by the Corporation except as incident to a reorganization, merger or consolidation, or transfer of all or substantially all of the Corporations assets; provided that the assignee in such reorganization, merger, consolidation or transfer assumes all of the Corporations obligations hereunder. </w:t>
      </w:r>
    </w:p>
    <w:p>
      <w:pPr>
        <w:pStyle w:val="TextBody"/>
        <w:spacing w:before="240" w:after="0"/>
        <w:jc w:val="left"/>
        <w:rPr>
          <w:rFonts w:ascii="Times New Roman" w:hAnsi="Times New Roman"/>
          <w:sz w:val="20"/>
        </w:rPr>
      </w:pPr>
      <w:r>
        <w:rPr>
          <w:rFonts w:ascii="Times New Roman" w:hAnsi="Times New Roman"/>
          <w:b/>
          <w:sz w:val="20"/>
        </w:rPr>
        <w:t>9.3</w:t>
      </w:r>
      <w:r>
        <w:rPr>
          <w:rFonts w:ascii="Times New Roman" w:hAnsi="Times New Roman"/>
          <w:sz w:val="20"/>
        </w:rPr>
        <w:t xml:space="preserve"> </w:t>
      </w:r>
      <w:r>
        <w:rPr>
          <w:rFonts w:ascii="Times New Roman" w:hAnsi="Times New Roman"/>
          <w:b/>
          <w:sz w:val="20"/>
          <w:u w:val="single"/>
        </w:rPr>
        <w:t>Binding Effect</w:t>
      </w:r>
      <w:r>
        <w:rPr>
          <w:rFonts w:ascii="Times New Roman" w:hAnsi="Times New Roman"/>
          <w:sz w:val="20"/>
        </w:rPr>
        <w:t xml:space="preserve">. This Agreement shall be binding upon, and inure to the benefit of, the parties hereto, any successors to or assigns of the Corporation and the Executives heirs and the personal representatives of the Executives estate. </w:t>
      </w:r>
    </w:p>
    <w:p>
      <w:pPr>
        <w:pStyle w:val="TextBody"/>
        <w:spacing w:before="240" w:after="0"/>
        <w:jc w:val="left"/>
        <w:rPr>
          <w:rFonts w:ascii="Times New Roman" w:hAnsi="Times New Roman"/>
          <w:sz w:val="20"/>
        </w:rPr>
      </w:pPr>
      <w:r>
        <w:rPr>
          <w:rFonts w:ascii="Times New Roman" w:hAnsi="Times New Roman"/>
          <w:b/>
          <w:sz w:val="20"/>
        </w:rPr>
        <w:t>10.</w:t>
      </w:r>
      <w:r>
        <w:rPr>
          <w:rFonts w:ascii="Times New Roman" w:hAnsi="Times New Roman"/>
          <w:sz w:val="20"/>
        </w:rPr>
        <w:t xml:space="preserve"> </w:t>
      </w:r>
      <w:r>
        <w:rPr>
          <w:rFonts w:ascii="Times New Roman" w:hAnsi="Times New Roman"/>
          <w:b/>
          <w:sz w:val="20"/>
          <w:u w:val="single"/>
        </w:rPr>
        <w:t>Number and Gender</w:t>
      </w:r>
      <w:r>
        <w:rPr>
          <w:rFonts w:ascii="Times New Roman" w:hAnsi="Times New Roman"/>
          <w:sz w:val="20"/>
        </w:rPr>
        <w:t xml:space="preserve">. Where the context requires, the singular shall include the plural, the plural shall include the singular, and any gender shall include all other genders. </w:t>
      </w:r>
    </w:p>
    <w:p>
      <w:pPr>
        <w:pStyle w:val="TextBody"/>
        <w:spacing w:before="240" w:after="0"/>
        <w:jc w:val="left"/>
        <w:rPr>
          <w:rFonts w:ascii="Times New Roman" w:hAnsi="Times New Roman"/>
          <w:sz w:val="20"/>
        </w:rPr>
      </w:pPr>
      <w:r>
        <w:rPr>
          <w:rFonts w:ascii="Times New Roman" w:hAnsi="Times New Roman"/>
          <w:b/>
          <w:sz w:val="20"/>
        </w:rPr>
        <w:t>11.</w:t>
      </w:r>
      <w:r>
        <w:rPr>
          <w:rFonts w:ascii="Times New Roman" w:hAnsi="Times New Roman"/>
          <w:sz w:val="20"/>
        </w:rPr>
        <w:t xml:space="preserve"> </w:t>
      </w:r>
      <w:r>
        <w:rPr>
          <w:rFonts w:ascii="Times New Roman" w:hAnsi="Times New Roman"/>
          <w:b/>
          <w:sz w:val="20"/>
          <w:u w:val="single"/>
        </w:rPr>
        <w:t>Section</w:t>
      </w:r>
      <w:r>
        <w:rPr>
          <w:rFonts w:ascii="Times New Roman" w:hAnsi="Times New Roman"/>
          <w:sz w:val="20"/>
          <w:u w:val="single"/>
        </w:rPr>
        <w:t> </w:t>
      </w:r>
      <w:r>
        <w:rPr>
          <w:rFonts w:ascii="Times New Roman" w:hAnsi="Times New Roman"/>
          <w:b/>
          <w:sz w:val="20"/>
          <w:u w:val="single"/>
        </w:rPr>
        <w:t>Headings</w:t>
      </w:r>
      <w:r>
        <w:rPr>
          <w:rFonts w:ascii="Times New Roman" w:hAnsi="Times New Roman"/>
          <w:sz w:val="20"/>
        </w:rPr>
        <w:t xml:space="preserve">. The section headings of, and titles of paragraphs and subparagraphs contained in, this Agreement are for the purpose of convenience only, and they neither form a part of this Agreement nor are they to be used in the construction or interpretation thereof. </w:t>
      </w:r>
    </w:p>
    <w:p>
      <w:pPr>
        <w:pStyle w:val="TextBody"/>
        <w:spacing w:before="240" w:after="0"/>
        <w:jc w:val="left"/>
        <w:rPr>
          <w:rFonts w:ascii="Times New Roman" w:hAnsi="Times New Roman"/>
          <w:sz w:val="20"/>
        </w:rPr>
      </w:pPr>
      <w:r>
        <w:rPr>
          <w:rFonts w:ascii="Times New Roman" w:hAnsi="Times New Roman"/>
          <w:b/>
          <w:sz w:val="20"/>
        </w:rPr>
        <w:t>12.</w:t>
      </w:r>
      <w:r>
        <w:rPr>
          <w:rFonts w:ascii="Times New Roman" w:hAnsi="Times New Roman"/>
          <w:sz w:val="20"/>
        </w:rPr>
        <w:t xml:space="preserve"> </w:t>
      </w:r>
      <w:r>
        <w:rPr>
          <w:rFonts w:ascii="Times New Roman" w:hAnsi="Times New Roman"/>
          <w:b/>
          <w:sz w:val="20"/>
          <w:u w:val="single"/>
        </w:rPr>
        <w:t>Governing Law</w:t>
      </w:r>
      <w:r>
        <w:rPr>
          <w:rFonts w:ascii="Times New Roman" w:hAnsi="Times New Roman"/>
          <w:sz w:val="20"/>
        </w:rPr>
        <w:t xml:space="preserve">. This Agreement, and all questions relating to its validity, interpretation, performance and enforcement, as well as the legal relations hereby created between the parties hereto, shall be governed by and construed under, and interpreted and enforced in accordance with, the laws of the State of California and adjudicated within Los Angeles, California. </w:t>
      </w:r>
    </w:p>
    <w:p>
      <w:pPr>
        <w:pStyle w:val="TextBody"/>
        <w:spacing w:before="240" w:after="0"/>
        <w:jc w:val="left"/>
        <w:rPr>
          <w:rFonts w:ascii="Times New Roman" w:hAnsi="Times New Roman"/>
          <w:sz w:val="20"/>
        </w:rPr>
      </w:pPr>
      <w:r>
        <w:rPr>
          <w:rFonts w:ascii="Times New Roman" w:hAnsi="Times New Roman"/>
          <w:b/>
          <w:sz w:val="20"/>
        </w:rPr>
        <w:t>13.</w:t>
      </w:r>
      <w:r>
        <w:rPr>
          <w:rFonts w:ascii="Times New Roman" w:hAnsi="Times New Roman"/>
          <w:sz w:val="20"/>
        </w:rPr>
        <w:t xml:space="preserve"> </w:t>
      </w:r>
      <w:r>
        <w:rPr>
          <w:rFonts w:ascii="Times New Roman" w:hAnsi="Times New Roman"/>
          <w:b/>
          <w:sz w:val="20"/>
          <w:u w:val="single"/>
        </w:rPr>
        <w:t>Survival of Certain Provisions</w:t>
      </w:r>
      <w:r>
        <w:rPr>
          <w:rFonts w:ascii="Times New Roman" w:hAnsi="Times New Roman"/>
          <w:sz w:val="20"/>
        </w:rPr>
        <w:t xml:space="preserve">. Sections 5, 6, 8, 9, 12, 14, 15, 16, 17, 18 20 and 23 shall survive any termination of this Agreement. Sections 6, 8, 9, 12, 14, 15, 16, 17, 18, 20 and 23 shall survive the expiration of this Agreement.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b/>
          <w:sz w:val="20"/>
        </w:rPr>
        <w:t>14.</w:t>
      </w:r>
      <w:r>
        <w:rPr>
          <w:rFonts w:ascii="Times New Roman" w:hAnsi="Times New Roman"/>
          <w:sz w:val="20"/>
        </w:rPr>
        <w:t xml:space="preserve"> </w:t>
      </w:r>
      <w:r>
        <w:rPr>
          <w:rFonts w:ascii="Times New Roman" w:hAnsi="Times New Roman"/>
          <w:b/>
          <w:sz w:val="20"/>
          <w:u w:val="single"/>
        </w:rPr>
        <w:t>Entire Agreement</w:t>
      </w:r>
      <w:r>
        <w:rPr>
          <w:rFonts w:ascii="Times New Roman" w:hAnsi="Times New Roman"/>
          <w:sz w:val="20"/>
        </w:rPr>
        <w:t xml:space="preserve">. This Agreement (together with the exhibits attached hereto) embodies the entire agreement of the parties hereto respecting the matters within its scope. As of the Effective Date, this Agreement (together with the exhibits attached hereto) supersedes all prior and contemporaneous agreements of the parties hereto that directly or indirectly bear upon the subject matter hereof, and any prior negotiations, correspondence, agreements, proposals or understandings relating to the subject matter hereof shall be deemed to be of no force or effect, and the parties to any such other negotiations, commitments, agreements or writings shall have no further rights or obligations thereunder. There are no representations, warranties, or agreements, whether express or implied, or oral or written, with respect to the subject matter hereof, except as expressly set forth herein. </w:t>
      </w:r>
    </w:p>
    <w:p>
      <w:pPr>
        <w:pStyle w:val="TextBody"/>
        <w:spacing w:before="240" w:after="0"/>
        <w:jc w:val="left"/>
        <w:rPr>
          <w:rFonts w:ascii="Times New Roman" w:hAnsi="Times New Roman"/>
          <w:sz w:val="20"/>
        </w:rPr>
      </w:pPr>
      <w:r>
        <w:rPr>
          <w:rFonts w:ascii="Times New Roman" w:hAnsi="Times New Roman"/>
          <w:b/>
          <w:sz w:val="20"/>
        </w:rPr>
        <w:t>15.</w:t>
      </w:r>
      <w:r>
        <w:rPr>
          <w:rFonts w:ascii="Times New Roman" w:hAnsi="Times New Roman"/>
          <w:sz w:val="20"/>
        </w:rPr>
        <w:t xml:space="preserve"> </w:t>
      </w:r>
      <w:r>
        <w:rPr>
          <w:rFonts w:ascii="Times New Roman" w:hAnsi="Times New Roman"/>
          <w:b/>
          <w:sz w:val="20"/>
          <w:u w:val="single"/>
        </w:rPr>
        <w:t>Modifications, Waivers</w:t>
      </w:r>
      <w:r>
        <w:rPr>
          <w:rFonts w:ascii="Times New Roman" w:hAnsi="Times New Roman"/>
          <w:sz w:val="20"/>
        </w:rPr>
        <w:t xml:space="preserve">. This Agreement may not be waived, amended, modified or changed (in whole or in part), except by an instrument in writing signed by both parties hereto. The waiver by either party of compliance with any provision of this Agreement by the other party shall not operate or be construed as a waiver of any other provision of this Agreement, or of any subsequent breach by such party of a provision of this Agreement. </w:t>
      </w:r>
    </w:p>
    <w:p>
      <w:pPr>
        <w:pStyle w:val="TextBody"/>
        <w:spacing w:before="240" w:after="0"/>
        <w:jc w:val="left"/>
        <w:rPr>
          <w:rFonts w:ascii="Times New Roman" w:hAnsi="Times New Roman"/>
          <w:sz w:val="20"/>
        </w:rPr>
      </w:pPr>
      <w:r>
        <w:rPr>
          <w:rFonts w:ascii="Times New Roman" w:hAnsi="Times New Roman"/>
          <w:b/>
          <w:sz w:val="20"/>
        </w:rPr>
        <w:t>16.</w:t>
      </w:r>
      <w:r>
        <w:rPr>
          <w:rFonts w:ascii="Times New Roman" w:hAnsi="Times New Roman"/>
          <w:sz w:val="20"/>
        </w:rPr>
        <w:t xml:space="preserve"> </w:t>
      </w:r>
      <w:r>
        <w:rPr>
          <w:rFonts w:ascii="Times New Roman" w:hAnsi="Times New Roman"/>
          <w:b/>
          <w:sz w:val="20"/>
          <w:u w:val="single"/>
        </w:rPr>
        <w:t>Arbitration</w:t>
      </w:r>
      <w:r>
        <w:rPr>
          <w:rFonts w:ascii="Times New Roman" w:hAnsi="Times New Roman"/>
          <w:sz w:val="20"/>
        </w:rPr>
        <w:t xml:space="preserve">. The parties hereto agree that to the extent permitted by law, any dispute or controversy arising out of, relating to, or in connection with this Agreement, or the interpretation, validity, construction, performance, breach, or termination thereof, or the Executives employment by the Corporation or any termination thereof, will be settled by arbitration to be held at a location in Los Angeles, California in accordance with then applicable rules of the American Arbitration Association specifically designed for the resolution of employment disputes, which are available at </w:t>
      </w:r>
      <w:r>
        <w:rPr>
          <w:rFonts w:ascii="Times New Roman" w:hAnsi="Times New Roman"/>
          <w:sz w:val="20"/>
          <w:u w:val="single"/>
        </w:rPr>
        <w:t>https://www.adr.org/sites/default/files/employment_arbitration_rules_and_mediation_procedures_0.pdf</w:t>
      </w:r>
      <w:r>
        <w:rPr>
          <w:rFonts w:ascii="Times New Roman" w:hAnsi="Times New Roman"/>
          <w:sz w:val="20"/>
        </w:rPr>
        <w:t xml:space="preserve">. The arbitrator may grant injunctions or other relief in such dispute or controversy. The decision of the arbitrator will be final, conclusive and binding on the parties to the arbitration. Judgment may be entered on the arbitrators decision in any court having jurisdiction. The Corporation shall pay the costs associated with arbitration (arbitration fee and location fee, if any);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each party shall bear its own legal fees and expenses. THE EXECUTIVE AND THE CORPORATION UNDERSTAND THAT BY AGREEING TO ARBITRATE ANY ARBITRATION CLAIM, THEY WILL NOT HAVE THE RIGHT TO HAVE ANY ARBITRATION CLAIM DECIDED BY A JURY OR A COURT, BUT SHALL INSTEAD HAVE ANY ARBITRATION CLAIM DECIDED THROUGH ARBITRATION. THE EXECUTIVE AND THE CORPORATION WAIVE ANY CONSTITUTIONAL OR OTHER RIGHT TO BRING CLAIMS COVERED BY THIS AGREEMENT OTHER THAN IN THEIR INDIVIDUAL CAPACITIES. EXCEPT AS MAY BE PROHIBITED BY LAW, THIS WAIVER INCLUDES THE ABILITY TO ASSERT CLAIMS AS A PLAINTIFF OR CLASS MEMBER IN ANY PURPORTED CLASS OR REPRESENTATIVE PROCEEDING. </w:t>
      </w:r>
    </w:p>
    <w:p>
      <w:pPr>
        <w:pStyle w:val="TextBody"/>
        <w:spacing w:before="240" w:after="0"/>
        <w:jc w:val="left"/>
        <w:rPr>
          <w:rFonts w:ascii="Times New Roman" w:hAnsi="Times New Roman"/>
          <w:sz w:val="20"/>
        </w:rPr>
      </w:pPr>
      <w:r>
        <w:rPr>
          <w:rFonts w:ascii="Times New Roman" w:hAnsi="Times New Roman"/>
          <w:b/>
          <w:sz w:val="20"/>
        </w:rPr>
        <w:t>17.</w:t>
      </w:r>
      <w:r>
        <w:rPr>
          <w:rFonts w:ascii="Times New Roman" w:hAnsi="Times New Roman"/>
          <w:sz w:val="20"/>
        </w:rPr>
        <w:t xml:space="preserve"> </w:t>
      </w:r>
      <w:r>
        <w:rPr>
          <w:rFonts w:ascii="Times New Roman" w:hAnsi="Times New Roman"/>
          <w:b/>
          <w:sz w:val="20"/>
          <w:u w:val="single"/>
        </w:rPr>
        <w:t>Notices</w:t>
      </w:r>
      <w:r>
        <w:rPr>
          <w:rFonts w:ascii="Times New Roman" w:hAnsi="Times New Roman"/>
          <w:sz w:val="20"/>
        </w:rPr>
        <w:t xml:space="preserve">. All notices, requests, demands and other communications required or permitted under this Agreement shall be in writing (including in electronic formats) and shall be deemed to have been duly given and made if (i) on delivery if delivered by hand, (ii) one (1) business day after if sent to an email address of record </w:t>
      </w:r>
      <w:r>
        <w:rPr>
          <w:rFonts w:ascii="Times New Roman" w:hAnsi="Times New Roman"/>
          <w:sz w:val="20"/>
          <w:u w:val="single"/>
        </w:rPr>
        <w:t>provided</w:t>
      </w:r>
      <w:r>
        <w:rPr>
          <w:rFonts w:ascii="Times New Roman" w:hAnsi="Times New Roman"/>
          <w:sz w:val="20"/>
        </w:rPr>
        <w:t xml:space="preserve"> receipt is confirmed, or (iii) three business days after sent by registered or certified mail, postage prepaid, return receipt requested. Any notice shall be duly addressed to the parties as follows: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if to the Corporation: </w:t>
      </w:r>
    </w:p>
    <w:p>
      <w:pPr>
        <w:pStyle w:val="TextBody"/>
        <w:spacing w:before="120" w:after="0"/>
        <w:jc w:val="left"/>
        <w:rPr>
          <w:rFonts w:ascii="Times New Roman" w:hAnsi="Times New Roman"/>
          <w:sz w:val="20"/>
        </w:rPr>
      </w:pPr>
      <w:r>
        <w:rPr>
          <w:rFonts w:ascii="Times New Roman" w:hAnsi="Times New Roman"/>
          <w:sz w:val="20"/>
        </w:rPr>
        <w:t xml:space="preserve">GoodRx, Inc. </w:t>
      </w:r>
    </w:p>
    <w:p>
      <w:pPr>
        <w:pStyle w:val="TextBody"/>
        <w:spacing w:before="0" w:after="0"/>
        <w:jc w:val="left"/>
        <w:rPr>
          <w:rFonts w:ascii="Times New Roman" w:hAnsi="Times New Roman"/>
          <w:sz w:val="20"/>
        </w:rPr>
      </w:pPr>
      <w:r>
        <w:rPr>
          <w:rFonts w:ascii="Times New Roman" w:hAnsi="Times New Roman"/>
          <w:sz w:val="20"/>
        </w:rPr>
        <w:t xml:space="preserve">2701 Olympic Boulevard Santa Monica, CA 90404 </w:t>
      </w:r>
    </w:p>
    <w:p>
      <w:pPr>
        <w:pStyle w:val="TextBody"/>
        <w:spacing w:before="0" w:after="0"/>
        <w:jc w:val="left"/>
        <w:rPr>
          <w:rFonts w:ascii="Times New Roman" w:hAnsi="Times New Roman"/>
          <w:sz w:val="20"/>
        </w:rPr>
      </w:pPr>
      <w:r>
        <w:rPr>
          <w:rFonts w:ascii="Times New Roman" w:hAnsi="Times New Roman"/>
          <w:sz w:val="20"/>
        </w:rPr>
        <w:t xml:space="preserve">Attention: General Counsel </w:t>
      </w:r>
    </w:p>
    <w:p>
      <w:pPr>
        <w:pStyle w:val="TextBody"/>
        <w:spacing w:before="240" w:after="0"/>
        <w:jc w:val="left"/>
        <w:rPr>
          <w:rFonts w:ascii="Times New Roman" w:hAnsi="Times New Roman"/>
          <w:sz w:val="20"/>
        </w:rPr>
      </w:pPr>
      <w:r>
        <w:rPr>
          <w:rFonts w:ascii="Times New Roman" w:hAnsi="Times New Roman"/>
          <w:sz w:val="20"/>
        </w:rPr>
        <w:t xml:space="preserve">if to the Executive, to the address (or e-mail address) most recently on file in the personnel records of the Corporation. </w:t>
      </w:r>
    </w:p>
    <w:p>
      <w:pPr>
        <w:pStyle w:val="TextBody"/>
        <w:spacing w:before="360" w:after="0"/>
        <w:jc w:val="left"/>
        <w:rPr>
          <w:rFonts w:ascii="Times New Roman" w:hAnsi="Times New Roman"/>
          <w:b/>
          <w:sz w:val="20"/>
        </w:rPr>
      </w:pPr>
      <w:r>
        <w:rPr>
          <w:rFonts w:ascii="Times New Roman" w:hAnsi="Times New Roman"/>
          <w:b/>
          <w:sz w:val="20"/>
        </w:rPr>
        <w:t xml:space="preserve">18. </w:t>
      </w:r>
      <w:r>
        <w:rPr>
          <w:rFonts w:ascii="Times New Roman" w:hAnsi="Times New Roman"/>
          <w:b/>
          <w:sz w:val="20"/>
          <w:u w:val="single"/>
        </w:rPr>
        <w:t>Code Section 409A</w:t>
      </w:r>
      <w:r>
        <w:rPr>
          <w:rFonts w:ascii="Times New Roman" w:hAnsi="Times New Roman"/>
          <w:b/>
          <w:sz w:val="20"/>
        </w:rPr>
        <w:t xml:space="preserve">. </w:t>
      </w:r>
    </w:p>
    <w:p>
      <w:pPr>
        <w:pStyle w:val="TextBody"/>
        <w:spacing w:before="120" w:after="0"/>
        <w:jc w:val="left"/>
        <w:rPr>
          <w:rFonts w:ascii="Times New Roman" w:hAnsi="Times New Roman"/>
          <w:sz w:val="20"/>
        </w:rPr>
      </w:pPr>
      <w:r>
        <w:rPr>
          <w:rFonts w:ascii="Times New Roman" w:hAnsi="Times New Roman"/>
          <w:sz w:val="20"/>
        </w:rPr>
        <w:t>This Agreement is intended to meet the requirements of Section 409A of the Code, and shall be interpreted and construed consistent with that intent. Each payment provided hereunder, whether part of the Severance Benefit or otherwise, is intended to be a separate payment for purposes of Section 409A of the Code, including Treasury Regulation 1.409A-2(b)(2). All payments of nonqualified deferred compensation subject to Section 409A to be made upon a termination of employment under this Agreement may only be made upon the Executives separation from service (within the meaning of Section 409A of the Code) (a </w:t>
      </w:r>
      <w:r>
        <w:rPr>
          <w:rFonts w:ascii="Times New Roman" w:hAnsi="Times New Roman"/>
          <w:sz w:val="20"/>
          <w:u w:val="single"/>
        </w:rPr>
        <w:t>Separation from Service</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Notwithstanding anything to the contrary in this Agreement, no compensation or benefits, including without limitation any severance payments or benefits payable under Section 5.3, shall be paid to the Executive during the six-month period following the Executives Separation from Service if the Corporation determines that paying such amounts at the time or times indicated in this Agreement would be a prohibited distribution under Section 409A(a)(2)(B)(i) of the Code. If the payment of any such amounts is delayed as a result of the previous sentence, then on the first day of the seventh month following the date of Separation from Service (or such earlier date upon which such amount can be paid under Section 409A without resulting in a prohibited distribution, including as a result of the Executives death), the Corporation shall pay the Executive a lump-sum amount equal to the cumulative amount that would have otherwise been payable to the Executive during such period. </w:t>
      </w:r>
    </w:p>
    <w:p>
      <w:pPr>
        <w:pStyle w:val="TextBody"/>
        <w:spacing w:before="240" w:after="0"/>
        <w:jc w:val="left"/>
        <w:rPr>
          <w:rFonts w:ascii="Times New Roman" w:hAnsi="Times New Roman"/>
          <w:sz w:val="20"/>
        </w:rPr>
      </w:pPr>
      <w:r>
        <w:rPr>
          <w:rFonts w:ascii="Times New Roman" w:hAnsi="Times New Roman"/>
          <w:sz w:val="20"/>
        </w:rPr>
        <w:t xml:space="preserve">To the extent that any payments or reimbursements provided to the Executive under this Agreement are deemed to constitute compensation to the Executive to which Treasury Regulation Section 1.409A-3(i)(1)(iv) would apply, such amounts shall be made on or before the last day of the calendar year following the calendar year in which the relevant expense or benefit is incurred. The amount of expenses or benefits eligible for reimbursement, payment or provision during a calendar year shall not affect the expenses or benefits eligible for reimbursement, payment or provision in any other calendar year. </w:t>
      </w:r>
    </w:p>
    <w:p>
      <w:pPr>
        <w:pStyle w:val="TextBody"/>
        <w:spacing w:before="240" w:after="0"/>
        <w:jc w:val="left"/>
        <w:rPr>
          <w:rFonts w:ascii="Times New Roman" w:hAnsi="Times New Roman"/>
          <w:sz w:val="20"/>
        </w:rPr>
      </w:pPr>
      <w:r>
        <w:rPr>
          <w:rFonts w:ascii="Times New Roman" w:hAnsi="Times New Roman"/>
          <w:b/>
          <w:sz w:val="20"/>
        </w:rPr>
        <w:t>19.</w:t>
      </w:r>
      <w:r>
        <w:rPr>
          <w:rFonts w:ascii="Times New Roman" w:hAnsi="Times New Roman"/>
          <w:sz w:val="20"/>
        </w:rPr>
        <w:t xml:space="preserve"> </w:t>
      </w:r>
      <w:r>
        <w:rPr>
          <w:rFonts w:ascii="Times New Roman" w:hAnsi="Times New Roman"/>
          <w:b/>
          <w:sz w:val="20"/>
          <w:u w:val="single"/>
        </w:rPr>
        <w:t>Sarbanes-Oxley Act of 2002</w:t>
      </w:r>
      <w:r>
        <w:rPr>
          <w:rFonts w:ascii="Times New Roman" w:hAnsi="Times New Roman"/>
          <w:sz w:val="20"/>
        </w:rPr>
        <w:t>. Notwithstanding anything herein to the contrary, if the Corporation determines, in its good faith judgment, that any transfer or deemed transfer of funds hereunder is likely to be construed as a personal loan prohibited by Section 13(k) of the Securities Exchange Act of 1934, as amended, and the rules and regulations promulgated thereunder (the </w:t>
      </w:r>
      <w:r>
        <w:rPr>
          <w:rFonts w:ascii="Times New Roman" w:hAnsi="Times New Roman"/>
          <w:sz w:val="20"/>
          <w:u w:val="single"/>
        </w:rPr>
        <w:t>Exchange Act</w:t>
      </w:r>
      <w:r>
        <w:rPr>
          <w:rFonts w:ascii="Times New Roman" w:hAnsi="Times New Roman"/>
          <w:sz w:val="20"/>
        </w:rPr>
        <w:t xml:space="preserve">), then such transfer or deemed transfer shall be provided to the Executive as compensation (and not as a loan) to the Executive (and as such shall be subject to tax withholding obligations).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b/>
          <w:sz w:val="20"/>
        </w:rPr>
        <w:t>20.</w:t>
      </w:r>
      <w:r>
        <w:rPr>
          <w:rFonts w:ascii="Times New Roman" w:hAnsi="Times New Roman"/>
          <w:sz w:val="20"/>
        </w:rPr>
        <w:t xml:space="preserve"> </w:t>
      </w:r>
      <w:r>
        <w:rPr>
          <w:rFonts w:ascii="Times New Roman" w:hAnsi="Times New Roman"/>
          <w:b/>
          <w:sz w:val="20"/>
          <w:u w:val="single"/>
        </w:rPr>
        <w:t>Exceptions</w:t>
      </w:r>
      <w:r>
        <w:rPr>
          <w:rFonts w:ascii="Times New Roman" w:hAnsi="Times New Roman"/>
          <w:sz w:val="20"/>
        </w:rPr>
        <w:t>. Notwithstanding anything in this Agreement to the contrary, nothing contained in this Agreement shall prohibit either party (or either partys attorney(s)) from (i) filing a charge with, reporting possible violations of federal law or regulation to, participating in any investigation by, or cooperating with the U.S. Securities and Exchange Commission, the Financial Industry Regulatory Authority, the Equal Employment Opportunity Commission, the National Labor Relations Board, the Occupational Safety and Health Administration, the U.S. Commodity Futures Trading Commission, the U.S. Department of Justice or any other securities regulatory agency, self-regulatory authority or federal, state or local regulatory authority (collectively, </w:t>
      </w:r>
      <w:r>
        <w:rPr>
          <w:rFonts w:ascii="Times New Roman" w:hAnsi="Times New Roman"/>
          <w:sz w:val="20"/>
          <w:u w:val="single"/>
        </w:rPr>
        <w:t>Government Agencies</w:t>
      </w:r>
      <w:r>
        <w:rPr>
          <w:rFonts w:ascii="Times New Roman" w:hAnsi="Times New Roman"/>
          <w:sz w:val="20"/>
        </w:rPr>
        <w:t xml:space="preserve">), or making other disclosures that are protected under the whistleblower provisions of applicable law or regulation, (ii) communicating directly with, cooperating with, or providing information (including trade secrets) in confidence to any Government Agencies for the purpose of reporting or investigating a suspected violation of law, or from providing such information to such partys attorney(s) or in a sealed complaint or other document filed in a lawsuit or other governmental proceeding, (iii) exercising any rights the Executive may have under Section 7 of the U.S. National Labor Relations Act, such as the right to engage in concerted activity, including collective action or discussion concerning wages or working conditions and/or (iv) receiving an award for information provided to any Government Agency. Pursuant to 18 USC Section 1833(b), the Executive will not be held criminally or civilly liable under any federal or state trade secret law for the disclosure of a trade secret that is made: (x) in confidence to a federal, state, or local government official, either directly or indirectly, or to an attorney, and solely for the purpose of reporting or investigating a suspected violation of law; or (y) in a complaint or other document filed in a lawsuit or other proceeding, if such filing is made under seal. Further, nothing in this Agreement is intended to or shall preclude either party from providing truthful testimony in response to a valid subpoena, court order, regulatory request or other judicial, administrative or legal process or otherwise as required by law. If the Executive is required to provide testimony, then unless otherwise directed or requested by a Government Agency or law enforcement, the Executive shall notify the Corporation as soon as reasonably practicable after receiving any such request of the anticipated testimony. Nothing in this Agreement prevents the Executive from discussing or disclosing information about unlawful acts in the workplace, such as harassment or discrimination or any other conduct that the undersigned has reason to believe is unlawful. </w:t>
      </w:r>
    </w:p>
    <w:p>
      <w:pPr>
        <w:pStyle w:val="TextBody"/>
        <w:spacing w:before="240" w:after="0"/>
        <w:jc w:val="left"/>
        <w:rPr>
          <w:rFonts w:ascii="Times New Roman" w:hAnsi="Times New Roman"/>
          <w:sz w:val="20"/>
        </w:rPr>
      </w:pPr>
      <w:r>
        <w:rPr>
          <w:rFonts w:ascii="Times New Roman" w:hAnsi="Times New Roman"/>
          <w:b/>
          <w:sz w:val="20"/>
        </w:rPr>
        <w:t>21.</w:t>
      </w:r>
      <w:r>
        <w:rPr>
          <w:rFonts w:ascii="Times New Roman" w:hAnsi="Times New Roman"/>
          <w:sz w:val="20"/>
        </w:rPr>
        <w:t xml:space="preserve"> </w:t>
      </w:r>
      <w:r>
        <w:rPr>
          <w:rFonts w:ascii="Times New Roman" w:hAnsi="Times New Roman"/>
          <w:b/>
          <w:sz w:val="20"/>
          <w:u w:val="single"/>
        </w:rPr>
        <w:t>Counterparts</w:t>
      </w:r>
      <w:r>
        <w:rPr>
          <w:rFonts w:ascii="Times New Roman" w:hAnsi="Times New Roman"/>
          <w:sz w:val="20"/>
        </w:rPr>
        <w:t xml:space="preserve">. This Agreement may be executed in any number of counterparts, each of which shall be deemed an original as against any party whose signature appears thereon, and all of which together shall constitute one and the same instrument. This Agreement shall become binding when one or more counterparts hereof, individually or taken together, shall bear the signatures of all of the parties reflected hereon as the signatories. </w:t>
      </w:r>
    </w:p>
    <w:p>
      <w:pPr>
        <w:pStyle w:val="TextBody"/>
        <w:spacing w:before="240" w:after="0"/>
        <w:jc w:val="left"/>
        <w:rPr>
          <w:rFonts w:ascii="Times New Roman" w:hAnsi="Times New Roman"/>
          <w:sz w:val="20"/>
        </w:rPr>
      </w:pPr>
      <w:r>
        <w:rPr>
          <w:rFonts w:ascii="Times New Roman" w:hAnsi="Times New Roman"/>
          <w:b/>
          <w:sz w:val="20"/>
        </w:rPr>
        <w:t>22.</w:t>
      </w:r>
      <w:r>
        <w:rPr>
          <w:rFonts w:ascii="Times New Roman" w:hAnsi="Times New Roman"/>
          <w:sz w:val="20"/>
        </w:rPr>
        <w:t xml:space="preserve"> </w:t>
      </w:r>
      <w:r>
        <w:rPr>
          <w:rFonts w:ascii="Times New Roman" w:hAnsi="Times New Roman"/>
          <w:b/>
          <w:sz w:val="20"/>
          <w:u w:val="single"/>
        </w:rPr>
        <w:t>Legal Counsel</w:t>
      </w:r>
      <w:r>
        <w:rPr>
          <w:rFonts w:ascii="Times New Roman" w:hAnsi="Times New Roman"/>
          <w:sz w:val="20"/>
        </w:rPr>
        <w:t xml:space="preserve">. Each party recognizes that this is a legally binding contract and acknowledges and agrees that they have had the opportunity to consult with legal counsel of their choice. The Executive agrees and acknowledges that the Executive has read and understands this Agreement, is entering into it freely and voluntarily, and has been advised to seek counsel prior to entering into this Agreement and has had ample opportunity to do so. This Agreement has resulted from negotiations and discussions between the parties and no one party shall be treated as drafting this Agreement for purposes of interpreting any provision hereof. The Corporation shall reimburse the Executive for reasonable, documented legal fees incurred in drafting and negotiating the terms of this Agreement in an aggregate amount not to exceed $15,000.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b/>
          <w:sz w:val="20"/>
        </w:rPr>
        <w:t>23.</w:t>
      </w:r>
      <w:r>
        <w:rPr>
          <w:rFonts w:ascii="Times New Roman" w:hAnsi="Times New Roman"/>
          <w:sz w:val="20"/>
        </w:rPr>
        <w:t xml:space="preserve"> </w:t>
      </w:r>
      <w:r>
        <w:rPr>
          <w:rFonts w:ascii="Times New Roman" w:hAnsi="Times New Roman"/>
          <w:b/>
          <w:sz w:val="20"/>
          <w:u w:val="single"/>
        </w:rPr>
        <w:t>Clawback</w:t>
      </w:r>
      <w:r>
        <w:rPr>
          <w:rFonts w:ascii="Times New Roman" w:hAnsi="Times New Roman"/>
          <w:sz w:val="20"/>
        </w:rPr>
        <w:t xml:space="preserve">. The compensation payable hereunder shall be subject to (i) any clawback or recoupment policy of the Corporation or Holdings required in order to comply with applicable law, including the Dodd-Frank Wall Street Reform and Consumer Protection Act and any rules or regulations promulgated thereunder and (ii) any clawback or recoupment policy of the Corporation or Holdings approved by the Board which applies to the senior executives of the Corporation. The Corporation and the Executive acknowledge that this Section 23 is not intended to limit any clawback and/or disgorgement of such compensation pursuant to Section 304 of the Sarbanes-Oxley Act of 2002. </w:t>
      </w:r>
    </w:p>
    <w:p>
      <w:pPr>
        <w:pStyle w:val="TextBody"/>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The remainder of this page has intentionally been left blank</w:t>
      </w:r>
      <w:r>
        <w:rPr>
          <w:rFonts w:ascii="Times New Roman" w:hAnsi="Times New Roman"/>
          <w:sz w:val="20"/>
        </w:rPr>
        <w:t xml:space="preserv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the Corporation and the Executive have executed this Agreement as of the date set forth above. </w:t>
      </w:r>
    </w:p>
    <w:p>
      <w:pPr>
        <w:pStyle w:val="TextBody"/>
        <w:spacing w:before="0" w:after="0"/>
        <w:jc w:val="left"/>
        <w:rPr/>
      </w:pPr>
      <w:r>
        <w:rPr/>
        <w:t> </w:t>
      </w:r>
    </w:p>
    <w:tbl>
      <w:tblPr>
        <w:tblW w:w="2000" w:type="pct"/>
        <w:jc w:val="right"/>
        <w:tblInd w:w="0" w:type="dxa"/>
        <w:tblCellMar>
          <w:top w:w="0" w:type="dxa"/>
          <w:left w:w="0" w:type="dxa"/>
          <w:bottom w:w="0" w:type="dxa"/>
          <w:right w:w="0" w:type="dxa"/>
        </w:tblCellMar>
      </w:tblPr>
      <w:tblGrid>
        <w:gridCol w:w="722"/>
        <w:gridCol w:w="132"/>
        <w:gridCol w:w="3228"/>
      </w:tblGrid>
      <w:tr>
        <w:trPr/>
        <w:tc>
          <w:tcPr>
            <w:tcW w:w="722"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bottom"/>
          </w:tcPr>
          <w:p>
            <w:pPr>
              <w:pStyle w:val="TableContents"/>
              <w:spacing w:before="0" w:after="283"/>
              <w:rPr>
                <w:sz w:val="4"/>
                <w:szCs w:val="4"/>
              </w:rPr>
            </w:pPr>
            <w:r>
              <w:rPr>
                <w:sz w:val="4"/>
                <w:szCs w:val="4"/>
              </w:rPr>
            </w:r>
          </w:p>
        </w:tc>
        <w:tc>
          <w:tcPr>
            <w:tcW w:w="3228"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pPr>
            <w:r>
              <w:rPr>
                <w:b/>
              </w:rPr>
              <w:t>CORPORATION</w:t>
            </w:r>
            <w:r>
              <w:rPr/>
              <w:t></w:t>
            </w:r>
          </w:p>
        </w:tc>
      </w:tr>
      <w:tr>
        <w:trPr>
          <w:trHeight w:val="240" w:hRule="atLeast"/>
        </w:trPr>
        <w:tc>
          <w:tcPr>
            <w:tcW w:w="722" w:type="dxa"/>
            <w:tcBorders/>
            <w:shd w:fill="auto" w:val="clear"/>
            <w:vAlign w:val="center"/>
          </w:tcPr>
          <w:p>
            <w:pPr>
              <w:pStyle w:val="TableContents"/>
              <w:spacing w:before="0" w:after="283"/>
              <w:rPr>
                <w:sz w:val="4"/>
                <w:szCs w:val="4"/>
              </w:rPr>
            </w:pPr>
            <w:r>
              <w:rPr>
                <w:sz w:val="4"/>
                <w:szCs w:val="4"/>
              </w:rPr>
            </w:r>
          </w:p>
        </w:tc>
        <w:tc>
          <w:tcPr>
            <w:tcW w:w="3360" w:type="dxa"/>
            <w:gridSpan w:val="2"/>
            <w:tcBorders/>
            <w:shd w:fill="auto" w:val="clear"/>
            <w:vAlign w:val="center"/>
          </w:tcPr>
          <w:p>
            <w:pPr>
              <w:pStyle w:val="TableContents"/>
              <w:spacing w:before="0" w:after="283"/>
              <w:rPr>
                <w:sz w:val="4"/>
                <w:szCs w:val="4"/>
              </w:rPr>
            </w:pPr>
            <w:r>
              <w:rPr>
                <w:sz w:val="4"/>
                <w:szCs w:val="4"/>
              </w:rPr>
            </w:r>
          </w:p>
        </w:tc>
      </w:tr>
      <w:tr>
        <w:trPr/>
        <w:tc>
          <w:tcPr>
            <w:tcW w:w="722" w:type="dxa"/>
            <w:tcBorders/>
            <w:shd w:fill="auto" w:val="clear"/>
          </w:tcPr>
          <w:p>
            <w:pPr>
              <w:pStyle w:val="TableContents"/>
              <w:spacing w:before="0" w:after="283"/>
              <w:rPr/>
            </w:pPr>
            <w:r>
              <w:rPr/>
              <w:t>By:</w:t>
            </w:r>
          </w:p>
        </w:tc>
        <w:tc>
          <w:tcPr>
            <w:tcW w:w="132" w:type="dxa"/>
            <w:tcBorders/>
            <w:shd w:fill="auto" w:val="clear"/>
            <w:vAlign w:val="bottom"/>
          </w:tcPr>
          <w:p>
            <w:pPr>
              <w:pStyle w:val="TableContents"/>
              <w:spacing w:before="0" w:after="283"/>
              <w:rPr/>
            </w:pPr>
            <w:r>
              <w:rPr/>
              <w:t> </w:t>
            </w:r>
          </w:p>
        </w:tc>
        <w:tc>
          <w:tcPr>
            <w:tcW w:w="3228" w:type="dxa"/>
            <w:tcBorders/>
            <w:shd w:fill="auto" w:val="clear"/>
          </w:tcPr>
          <w:p>
            <w:pPr>
              <w:pStyle w:val="TableContents"/>
              <w:pBdr>
                <w:bottom w:val="single" w:sz="2" w:space="1" w:color="000000"/>
              </w:pBdr>
              <w:spacing w:before="0" w:after="20"/>
              <w:rPr>
                <w:rFonts w:ascii="Times New Roman" w:hAnsi="Times New Roman"/>
                <w:sz w:val="20"/>
              </w:rPr>
            </w:pPr>
            <w:r>
              <w:rPr>
                <w:rFonts w:ascii="Times New Roman" w:hAnsi="Times New Roman"/>
                <w:sz w:val="20"/>
              </w:rPr>
              <w:t>/s/ Gracye Cheng</w:t>
            </w:r>
          </w:p>
        </w:tc>
      </w:tr>
      <w:tr>
        <w:trPr/>
        <w:tc>
          <w:tcPr>
            <w:tcW w:w="4082" w:type="dxa"/>
            <w:gridSpan w:val="3"/>
            <w:tcBorders/>
            <w:shd w:fill="auto" w:val="clear"/>
          </w:tcPr>
          <w:p>
            <w:pPr>
              <w:pStyle w:val="TableContents"/>
              <w:spacing w:before="0" w:after="283"/>
              <w:rPr/>
            </w:pPr>
            <w:r>
              <w:rPr/>
              <w:t>Name: Gracye Cheng</w:t>
            </w:r>
          </w:p>
        </w:tc>
      </w:tr>
      <w:tr>
        <w:trPr/>
        <w:tc>
          <w:tcPr>
            <w:tcW w:w="4082" w:type="dxa"/>
            <w:gridSpan w:val="3"/>
            <w:tcBorders/>
            <w:shd w:fill="auto" w:val="clear"/>
          </w:tcPr>
          <w:p>
            <w:pPr>
              <w:pStyle w:val="TableContents"/>
              <w:spacing w:before="0" w:after="283"/>
              <w:rPr/>
            </w:pPr>
            <w:r>
              <w:rPr/>
              <w:t>Title: Secretary</w:t>
            </w:r>
          </w:p>
        </w:tc>
      </w:tr>
      <w:tr>
        <w:trPr>
          <w:trHeight w:val="240" w:hRule="atLeast"/>
        </w:trPr>
        <w:tc>
          <w:tcPr>
            <w:tcW w:w="4082" w:type="dxa"/>
            <w:gridSpan w:val="3"/>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pPr>
            <w:r>
              <w:rPr/>
              <w:t></w:t>
            </w:r>
            <w:r>
              <w:rPr>
                <w:b/>
              </w:rPr>
              <w:t>EXECUTIVE</w:t>
            </w:r>
            <w:r>
              <w:rPr/>
              <w:t></w:t>
            </w:r>
          </w:p>
        </w:tc>
      </w:tr>
      <w:tr>
        <w:trPr>
          <w:trHeight w:val="240" w:hRule="atLeast"/>
        </w:trPr>
        <w:tc>
          <w:tcPr>
            <w:tcW w:w="4082" w:type="dxa"/>
            <w:gridSpan w:val="3"/>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pBdr>
                <w:bottom w:val="single" w:sz="2" w:space="1" w:color="000000"/>
              </w:pBdr>
              <w:spacing w:before="0" w:after="20"/>
              <w:rPr>
                <w:rFonts w:ascii="Times New Roman" w:hAnsi="Times New Roman"/>
                <w:sz w:val="20"/>
              </w:rPr>
            </w:pPr>
            <w:r>
              <w:rPr>
                <w:rFonts w:ascii="Times New Roman" w:hAnsi="Times New Roman"/>
                <w:sz w:val="20"/>
              </w:rPr>
              <w:t>/s/ Scott Wagner</w:t>
            </w:r>
          </w:p>
        </w:tc>
      </w:tr>
      <w:tr>
        <w:trPr/>
        <w:tc>
          <w:tcPr>
            <w:tcW w:w="4082" w:type="dxa"/>
            <w:gridSpan w:val="3"/>
            <w:tcBorders/>
            <w:shd w:fill="auto" w:val="clear"/>
          </w:tcPr>
          <w:p>
            <w:pPr>
              <w:pStyle w:val="TableContents"/>
              <w:spacing w:before="0" w:after="283"/>
              <w:rPr/>
            </w:pPr>
            <w:r>
              <w:rPr/>
              <w:t>Scott Wagner</w:t>
            </w:r>
          </w:p>
        </w:tc>
      </w:tr>
    </w:tbl>
    <w:p>
      <w:pPr>
        <w:pStyle w:val="TextBody"/>
        <w:spacing w:before="480" w:after="0"/>
        <w:jc w:val="center"/>
        <w:rPr>
          <w:rFonts w:ascii="Times New Roman" w:hAnsi="Times New Roman"/>
          <w:sz w:val="20"/>
        </w:rPr>
      </w:pPr>
      <w:r>
        <w:rPr>
          <w:rFonts w:ascii="Times New Roman" w:hAnsi="Times New Roman"/>
          <w:sz w:val="20"/>
        </w:rPr>
        <w:t xml:space="preserve">[SIGNATURE PAGE TO EMPLOYMENT AGREEMENT] </w:t>
      </w:r>
      <w:r>
        <w:br w:type="page"/>
      </w:r>
    </w:p>
    <w:p>
      <w:pPr>
        <w:pStyle w:val="HorizontalLine"/>
        <w:pBdr>
          <w:bottom w:val="double" w:sz="6" w:space="0" w:color="808080"/>
        </w:pBdr>
        <w:rPr/>
      </w:pPr>
      <w:r>
        <w:rPr/>
      </w:r>
    </w:p>
    <w:p>
      <w:pPr>
        <w:pStyle w:val="TextBody"/>
        <w:spacing w:before="0" w:after="0"/>
        <w:jc w:val="right"/>
        <w:rPr>
          <w:rFonts w:ascii="Times New Roman" w:hAnsi="Times New Roman"/>
          <w:b/>
          <w:sz w:val="20"/>
        </w:rPr>
      </w:pPr>
      <w:r>
        <w:rPr>
          <w:rFonts w:ascii="Times New Roman" w:hAnsi="Times New Roman"/>
          <w:b/>
          <w:sz w:val="20"/>
        </w:rPr>
        <w:t xml:space="preserve">Exhibit A </w:t>
      </w:r>
    </w:p>
    <w:p>
      <w:pPr>
        <w:pStyle w:val="TextBody"/>
        <w:spacing w:before="480" w:after="0"/>
        <w:jc w:val="center"/>
        <w:rPr>
          <w:rFonts w:ascii="Times New Roman" w:hAnsi="Times New Roman"/>
          <w:b/>
          <w:sz w:val="20"/>
        </w:rPr>
      </w:pPr>
      <w:r>
        <w:rPr>
          <w:rFonts w:ascii="Times New Roman" w:hAnsi="Times New Roman"/>
          <w:b/>
          <w:sz w:val="20"/>
        </w:rPr>
        <w:t xml:space="preserve">GENERAL RELEASE OF ALL CLAIMS </w:t>
      </w:r>
    </w:p>
    <w:p>
      <w:pPr>
        <w:pStyle w:val="TextBody"/>
        <w:spacing w:before="240" w:after="0"/>
        <w:jc w:val="left"/>
        <w:rPr>
          <w:rFonts w:ascii="Times New Roman" w:hAnsi="Times New Roman"/>
          <w:sz w:val="20"/>
        </w:rPr>
      </w:pPr>
      <w:r>
        <w:rPr>
          <w:rFonts w:ascii="Times New Roman" w:hAnsi="Times New Roman"/>
          <w:sz w:val="20"/>
        </w:rPr>
        <w:t>This General Release of all Claims (this </w:t>
      </w:r>
      <w:r>
        <w:rPr>
          <w:rFonts w:ascii="Times New Roman" w:hAnsi="Times New Roman"/>
          <w:sz w:val="20"/>
          <w:u w:val="single"/>
        </w:rPr>
        <w:t>Agreement</w:t>
      </w:r>
      <w:r>
        <w:rPr>
          <w:rFonts w:ascii="Times New Roman" w:hAnsi="Times New Roman"/>
          <w:sz w:val="20"/>
        </w:rPr>
        <w:t>) is entered into by Scott Wagner (the </w:t>
      </w:r>
      <w:r>
        <w:rPr>
          <w:rFonts w:ascii="Times New Roman" w:hAnsi="Times New Roman"/>
          <w:sz w:val="20"/>
          <w:u w:val="single"/>
        </w:rPr>
        <w:t>Executive</w:t>
      </w:r>
      <w:r>
        <w:rPr>
          <w:rFonts w:ascii="Times New Roman" w:hAnsi="Times New Roman"/>
          <w:sz w:val="20"/>
        </w:rPr>
        <w:t>) and GoodRx, Inc., a Delaware corporation (the </w:t>
      </w:r>
      <w:r>
        <w:rPr>
          <w:rFonts w:ascii="Times New Roman" w:hAnsi="Times New Roman"/>
          <w:sz w:val="20"/>
          <w:u w:val="single"/>
        </w:rPr>
        <w:t>Corporation</w:t>
      </w:r>
      <w:r>
        <w:rPr>
          <w:rFonts w:ascii="Times New Roman" w:hAnsi="Times New Roman"/>
          <w:sz w:val="20"/>
        </w:rPr>
        <w:t xml:space="preserve">), effective as of [__________], but subject to the Executives right to revoke as set forth in Section 3(c). In consideration of the promises set forth herein, the Executive and the Corporation agree as follows: </w:t>
      </w:r>
    </w:p>
    <w:p>
      <w:pPr>
        <w:pStyle w:val="TextBody"/>
        <w:spacing w:before="240" w:after="0"/>
        <w:jc w:val="left"/>
        <w:rPr>
          <w:rFonts w:ascii="Times New Roman" w:hAnsi="Times New Roman"/>
          <w:sz w:val="20"/>
        </w:rPr>
      </w:pPr>
      <w:r>
        <w:rPr>
          <w:rFonts w:ascii="Times New Roman" w:hAnsi="Times New Roman"/>
          <w:b/>
          <w:sz w:val="20"/>
        </w:rPr>
        <w:t>1.</w:t>
      </w:r>
      <w:r>
        <w:rPr>
          <w:rFonts w:ascii="Times New Roman" w:hAnsi="Times New Roman"/>
          <w:sz w:val="20"/>
        </w:rPr>
        <w:t xml:space="preserve"> </w:t>
      </w:r>
      <w:r>
        <w:rPr>
          <w:rFonts w:ascii="Times New Roman" w:hAnsi="Times New Roman"/>
          <w:b/>
          <w:sz w:val="20"/>
          <w:u w:val="single"/>
        </w:rPr>
        <w:t>Termination and Return of Property</w:t>
      </w:r>
      <w:r>
        <w:rPr>
          <w:rFonts w:ascii="Times New Roman" w:hAnsi="Times New Roman"/>
          <w:sz w:val="20"/>
        </w:rPr>
        <w:t xml:space="preserve">. The Executives employment with the Corporation in any capacity has terminated effective [Separation Date]. All files, access keys and codes, desk keys, ID badges, computers, records, manuals, electronic devices, computer programs, papers, electronically stored information or documents, telephones and credit cards, and any other property of the Corporation or any affiliate thereof previously in the Executives possession or control has been returned to the Corporation [or will be returned on or before the Separation Date]. </w:t>
      </w:r>
    </w:p>
    <w:p>
      <w:pPr>
        <w:pStyle w:val="TextBody"/>
        <w:spacing w:before="240" w:after="0"/>
        <w:jc w:val="left"/>
        <w:rPr>
          <w:rFonts w:ascii="Times New Roman" w:hAnsi="Times New Roman"/>
          <w:sz w:val="20"/>
        </w:rPr>
      </w:pPr>
      <w:r>
        <w:rPr>
          <w:rFonts w:ascii="Times New Roman" w:hAnsi="Times New Roman"/>
          <w:b/>
          <w:sz w:val="20"/>
        </w:rPr>
        <w:t>2.</w:t>
      </w:r>
      <w:r>
        <w:rPr>
          <w:rFonts w:ascii="Times New Roman" w:hAnsi="Times New Roman"/>
          <w:sz w:val="20"/>
        </w:rPr>
        <w:t xml:space="preserve"> </w:t>
      </w:r>
      <w:r>
        <w:rPr>
          <w:rFonts w:ascii="Times New Roman" w:hAnsi="Times New Roman"/>
          <w:b/>
          <w:sz w:val="20"/>
          <w:u w:val="single"/>
        </w:rPr>
        <w:t>Severance</w:t>
      </w:r>
      <w:r>
        <w:rPr>
          <w:rFonts w:ascii="Times New Roman" w:hAnsi="Times New Roman"/>
          <w:sz w:val="20"/>
        </w:rPr>
        <w:t>. The Corporation shall pay to the Executive the Severance Benefit (as defined in that certain Employment Agreement between the Corporation and the Executive dated as of [__________], 2023 (the </w:t>
      </w:r>
      <w:r>
        <w:rPr>
          <w:rFonts w:ascii="Times New Roman" w:hAnsi="Times New Roman"/>
          <w:sz w:val="20"/>
          <w:u w:val="single"/>
        </w:rPr>
        <w:t>Employment Agreement</w:t>
      </w:r>
      <w:r>
        <w:rPr>
          <w:rFonts w:ascii="Times New Roman" w:hAnsi="Times New Roman"/>
          <w:sz w:val="20"/>
        </w:rPr>
        <w:t xml:space="preserve">)) in accordance with, and subject to, the provisions of the Employment Agreement. </w:t>
      </w:r>
    </w:p>
    <w:p>
      <w:pPr>
        <w:pStyle w:val="TextBody"/>
        <w:spacing w:before="240" w:after="0"/>
        <w:jc w:val="left"/>
        <w:rPr>
          <w:rFonts w:ascii="Times New Roman" w:hAnsi="Times New Roman"/>
          <w:sz w:val="20"/>
        </w:rPr>
      </w:pPr>
      <w:r>
        <w:rPr>
          <w:rFonts w:ascii="Times New Roman" w:hAnsi="Times New Roman"/>
          <w:b/>
          <w:sz w:val="20"/>
        </w:rPr>
        <w:t>3.</w:t>
      </w:r>
      <w:r>
        <w:rPr>
          <w:rFonts w:ascii="Times New Roman" w:hAnsi="Times New Roman"/>
          <w:sz w:val="20"/>
        </w:rPr>
        <w:t xml:space="preserve"> </w:t>
      </w:r>
      <w:r>
        <w:rPr>
          <w:rFonts w:ascii="Times New Roman" w:hAnsi="Times New Roman"/>
          <w:b/>
          <w:sz w:val="20"/>
          <w:u w:val="single"/>
        </w:rPr>
        <w:t>General Release and Waiver of Claims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b/>
          <w:sz w:val="20"/>
          <w:u w:val="single"/>
        </w:rPr>
        <w:t>Release By Executive</w:t>
      </w:r>
      <w:r>
        <w:rPr>
          <w:rFonts w:ascii="Times New Roman" w:hAnsi="Times New Roman"/>
          <w:sz w:val="20"/>
        </w:rPr>
        <w:t>. Having consulted with counsel, the Executive, on behalf of himself and each of his respective heirs, executors, administrators, representatives, agents, insurers, successors and assigns (collectively, and including the Executive, the </w:t>
      </w:r>
      <w:r>
        <w:rPr>
          <w:rFonts w:ascii="Times New Roman" w:hAnsi="Times New Roman"/>
          <w:sz w:val="20"/>
          <w:u w:val="single"/>
        </w:rPr>
        <w:t>Releasors</w:t>
      </w:r>
      <w:r>
        <w:rPr>
          <w:rFonts w:ascii="Times New Roman" w:hAnsi="Times New Roman"/>
          <w:sz w:val="20"/>
        </w:rPr>
        <w:t>) hereby irrevocably and unconditionally releases and forever discharges the Corporation, its parents (including GoodRx Holdings, Inc. (</w:t>
      </w:r>
      <w:r>
        <w:rPr>
          <w:rFonts w:ascii="Times New Roman" w:hAnsi="Times New Roman"/>
          <w:sz w:val="20"/>
          <w:u w:val="single"/>
        </w:rPr>
        <w:t>Holdings</w:t>
      </w:r>
      <w:r>
        <w:rPr>
          <w:rFonts w:ascii="Times New Roman" w:hAnsi="Times New Roman"/>
          <w:sz w:val="20"/>
        </w:rPr>
        <w:t>)), subsidiaries and affiliates and each of their respective officers, employees, directors, members, shareholders, parents, subsidiaries and agents (collectively, the </w:t>
      </w:r>
      <w:r>
        <w:rPr>
          <w:rFonts w:ascii="Times New Roman" w:hAnsi="Times New Roman"/>
          <w:sz w:val="20"/>
          <w:u w:val="single"/>
        </w:rPr>
        <w:t>Releasees</w:t>
      </w:r>
      <w:r>
        <w:rPr>
          <w:rFonts w:ascii="Times New Roman" w:hAnsi="Times New Roman"/>
          <w:sz w:val="20"/>
        </w:rPr>
        <w:t>) from any and all claims, actions, causes of action, rights, judgments, obligations, damages, demands, accountings or liabilities of whatever kind or character (collectively, </w:t>
      </w:r>
      <w:r>
        <w:rPr>
          <w:rFonts w:ascii="Times New Roman" w:hAnsi="Times New Roman"/>
          <w:sz w:val="20"/>
          <w:u w:val="single"/>
        </w:rPr>
        <w:t>Claims</w:t>
      </w:r>
      <w:r>
        <w:rPr>
          <w:rFonts w:ascii="Times New Roman" w:hAnsi="Times New Roman"/>
          <w:sz w:val="20"/>
        </w:rPr>
        <w:t xml:space="preserve">), which the Executive now has or may hereafter have against the Releasees, or any of them, by reason of any matter, cause, or thing whatsoever from the beginning of time to the date hereof (including, without limitation, any Claims under any federal, state, local or foreign law that they may have, or in the future may possess, arising out of the Executives employment relationship with and service as an employee, officer or director of the Corporation, its parent entity (including Holdings) or any other subsidiaries of such parent entity, and the termination of such relationship or service);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Executive does not release, discharge or waive any rights to (i) payments and benefits provided under this Agreement or under any other agreement between Executive and any of the Releasees that would, by their nature, survive the termination of employment, (ii) equity and other securities of Holdings or rights under agreements with any of the Releasees related to the Executives equity securities of Holdings, (iii) benefit claims under any employee benefit plans in which Executive is a participant by virtue of his employment with the Corporation arising after the execution of this Agreement by Executive, (iv) any indemnification,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advance or reimbursement rights the Executive may have in accordance with applicable law, indemnification agreements, certificate of incorporation or bylaws of Corporation, or under any director and officer liability insurance or other insurance maintained by the Corporation or a parent entity with respect to liabilities arising as a result of the Executives service as an officer and employee of such entities, and (v) claims that cannot be waived by an employee under applicable law. This Paragraph 3(a) does not apply to any Claims that the Executive may have as of the date the Executive signs this Agreement arising under the Federal Age Discrimination in Employment Act of 1967, as amended, and the applicable rules and regulations promulgated thereunder (</w:t>
      </w:r>
      <w:r>
        <w:rPr>
          <w:rFonts w:ascii="Times New Roman" w:hAnsi="Times New Roman"/>
          <w:sz w:val="20"/>
          <w:u w:val="single"/>
        </w:rPr>
        <w:t>ADEA</w:t>
      </w:r>
      <w:r>
        <w:rPr>
          <w:rFonts w:ascii="Times New Roman" w:hAnsi="Times New Roman"/>
          <w:sz w:val="20"/>
        </w:rPr>
        <w:t xml:space="preserve">) or any other claims that may not be released as a matter of law. Claims arising under ADEA are addressed in Paragraph 3(c) of this Agreement. </w:t>
      </w:r>
    </w:p>
    <w:p>
      <w:pPr>
        <w:pStyle w:val="TextBody"/>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b/>
          <w:sz w:val="20"/>
          <w:u w:val="single"/>
        </w:rPr>
        <w:t>Unknown Claims</w:t>
      </w:r>
      <w:r>
        <w:rPr>
          <w:rFonts w:ascii="Times New Roman" w:hAnsi="Times New Roman"/>
          <w:sz w:val="20"/>
        </w:rPr>
        <w:t xml:space="preserve">. The Executive acknowledges that the Executive may hereafter discover Claims or facts in addition to or different from those which the Executive now knows or believes to exist with respect to the subject matter of this release and which, if known or suspected at the time of executing this release, may have materially affected this release or the Executives decision to enter into it. Nevertheless, the Executive hereby waives any right or Claim that might arise as a result of such different or additional Claims or facts. In addition, the Executive, on behalf of himself and the other Releasors, hereby waives any and all rights and benefits conferred upon him and the other Releasors by the provisions of Section 1542 of the Civil Code of the State of California, which provides as follows: </w:t>
      </w:r>
    </w:p>
    <w:p>
      <w:pPr>
        <w:pStyle w:val="TextBody"/>
        <w:spacing w:before="120" w:after="0"/>
        <w:jc w:val="left"/>
        <w:rPr>
          <w:rFonts w:ascii="Times New Roman" w:hAnsi="Times New Roman"/>
          <w:sz w:val="20"/>
        </w:rPr>
      </w:pPr>
      <w:r>
        <w:rPr>
          <w:rFonts w:ascii="Times New Roman" w:hAnsi="Times New Roman"/>
          <w:sz w:val="20"/>
        </w:rPr>
        <w:t xml:space="preserve">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 </w:t>
      </w:r>
    </w:p>
    <w:p>
      <w:pPr>
        <w:pStyle w:val="TextBody"/>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b/>
          <w:sz w:val="20"/>
          <w:u w:val="single"/>
        </w:rPr>
        <w:t>Specific Release of ADEA Claims</w:t>
      </w:r>
      <w:r>
        <w:rPr>
          <w:rFonts w:ascii="Times New Roman" w:hAnsi="Times New Roman"/>
          <w:sz w:val="20"/>
        </w:rPr>
        <w:t>. In further consideration of the payments and benefits provided to the Executive under this Agreement, the Executive, on behalf of himself and the other Releasors, hereby unconditionally releases and forever discharges the Releasees from any and all Claims arising under ADEA that the Releasors may have as of the date the Executive signs this Agreement. By signing this Agreement, the Executive hereby acknowledges and confirms the following: (i) the Executive was advised by the Corporation in connection with his termination to consult with an attorney of his choice prior to signing this Agreement and to have such attorney explain to the Executive the terms of this Agreement, including, without limitation, the terms relating to the Executives release of claims arising under ADEA; (ii) the Executive was given a period of not fewer than twenty-one (21) days to consider the terms of this Agreement and to consult with an attorney of his/her choosing with respect thereto; (iii) having read the terms of this Agreement, the Executive understands its terms and effects, and the Executive knowingly and voluntarily accepts the terms of this Agreement; and (iv) the Executive is providing this release and discharge only in exchange for consideration in addition to anything of value to which the Executive is already entitled, and acknowledges such consideration is adequate and satisfactory to the Executive. The Executive also understands that the Executive has seven days following the date on which the Executive signs this Agreement within which to revoke the release contained in this paragraph, by providing the Corporation with a written notice of his revocation of the release and waiver contained in this paragraph. Any revocation must be in writing and sent to [</w:t>
      </w:r>
      <w:r>
        <w:rPr>
          <w:rFonts w:ascii="Times New Roman" w:hAnsi="Times New Roman"/>
          <w:i/>
          <w:sz w:val="20"/>
        </w:rPr>
        <w:t>name</w:t>
      </w:r>
      <w:r>
        <w:rPr>
          <w:rFonts w:ascii="Times New Roman" w:hAnsi="Times New Roman"/>
          <w:sz w:val="20"/>
        </w:rPr>
        <w:t>], via electronic mail at [</w:t>
      </w:r>
      <w:r>
        <w:rPr>
          <w:rFonts w:ascii="Times New Roman" w:hAnsi="Times New Roman"/>
          <w:i/>
          <w:sz w:val="20"/>
        </w:rPr>
        <w:t>email address</w:t>
      </w:r>
      <w:r>
        <w:rPr>
          <w:rFonts w:ascii="Times New Roman" w:hAnsi="Times New Roman"/>
          <w:sz w:val="20"/>
        </w:rPr>
        <w:t xml:space="preserve">], on or before [5:00 p.m. Pacific time] on the seventh day after this Agreement is executed by the Executive. </w:t>
      </w:r>
    </w:p>
    <w:p>
      <w:pPr>
        <w:pStyle w:val="TextBody"/>
        <w:spacing w:before="0" w:after="0"/>
        <w:jc w:val="left"/>
        <w:rPr/>
      </w:pPr>
      <w:r>
        <w:rPr/>
        <w: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Exhibit A-2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(d) </w:t>
      </w:r>
      <w:r>
        <w:rPr>
          <w:rFonts w:ascii="Times New Roman" w:hAnsi="Times New Roman"/>
          <w:b/>
          <w:sz w:val="20"/>
          <w:u w:val="single"/>
        </w:rPr>
        <w:t>No Assignment</w:t>
      </w:r>
      <w:r>
        <w:rPr>
          <w:rFonts w:ascii="Times New Roman" w:hAnsi="Times New Roman"/>
          <w:sz w:val="20"/>
        </w:rPr>
        <w:t xml:space="preserve">. The Executive represents and warrants that the Executive has not assigned or otherwise transferred any of the Claims being released under this Agreement. The Corporation may assign this Agreement, in whole or in part, to any affiliated entity, including subsidiaries of the Corporation, or any successor in interest to the Corporation. </w:t>
      </w:r>
    </w:p>
    <w:p>
      <w:pPr>
        <w:pStyle w:val="TextBody"/>
        <w:spacing w:before="240" w:after="0"/>
        <w:jc w:val="left"/>
        <w:rPr>
          <w:rFonts w:ascii="Times New Roman" w:hAnsi="Times New Roman"/>
          <w:sz w:val="20"/>
        </w:rPr>
      </w:pPr>
      <w:r>
        <w:rPr>
          <w:rFonts w:ascii="Times New Roman" w:hAnsi="Times New Roman"/>
          <w:b/>
          <w:sz w:val="20"/>
        </w:rPr>
        <w:t>4.</w:t>
      </w:r>
      <w:r>
        <w:rPr>
          <w:rFonts w:ascii="Times New Roman" w:hAnsi="Times New Roman"/>
          <w:sz w:val="20"/>
        </w:rPr>
        <w:t xml:space="preserve"> </w:t>
      </w:r>
      <w:r>
        <w:rPr>
          <w:rFonts w:ascii="Times New Roman" w:hAnsi="Times New Roman"/>
          <w:b/>
          <w:sz w:val="20"/>
          <w:u w:val="single"/>
        </w:rPr>
        <w:t>Proceedings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b/>
          <w:sz w:val="20"/>
          <w:u w:val="single"/>
        </w:rPr>
        <w:t>General Agreement Relating to Proceedings</w:t>
      </w:r>
      <w:r>
        <w:rPr>
          <w:rFonts w:ascii="Times New Roman" w:hAnsi="Times New Roman"/>
          <w:sz w:val="20"/>
        </w:rPr>
        <w:t>. The Executive has not filed, and except as provided in Paragraphs 4(b) and 4(c), the Executive agrees not to initiate or cause to be initiated on his behalf, any complaint, charge, claim or proceeding that is released hereunder against any party released herein before any local, state or federal agency, court or other body, other than with respect to the obligations of the Corporation or any other party released herein to the Executive under this Agreement or any indemnification or other rights the Executive may have as listed in Paragraph 3(a) (each, individually, a </w:t>
      </w:r>
      <w:r>
        <w:rPr>
          <w:rFonts w:ascii="Times New Roman" w:hAnsi="Times New Roman"/>
          <w:sz w:val="20"/>
          <w:u w:val="single"/>
        </w:rPr>
        <w:t>Proceeding</w:t>
      </w:r>
      <w:r>
        <w:rPr>
          <w:rFonts w:ascii="Times New Roman" w:hAnsi="Times New Roman"/>
          <w:sz w:val="20"/>
        </w:rPr>
        <w:t xml:space="preserve">), and agrees not to participate voluntarily in any Proceeding. The Executive waives any right the Executive may have to benefit in any manner from any relief (whether monetary or otherwise) arising out of any Proceeding. </w:t>
      </w:r>
    </w:p>
    <w:p>
      <w:pPr>
        <w:pStyle w:val="TextBody"/>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b/>
          <w:sz w:val="20"/>
          <w:u w:val="single"/>
        </w:rPr>
        <w:t>Proceedings Under ADEA</w:t>
      </w:r>
      <w:r>
        <w:rPr>
          <w:rFonts w:ascii="Times New Roman" w:hAnsi="Times New Roman"/>
          <w:sz w:val="20"/>
        </w:rPr>
        <w:t xml:space="preserve">. Paragraph 4(a) shall not preclude the Executive from filing any complaint, charge, claim or proceeding challenging the validity of the Executive waiver of Claims arising under ADEA (which is set forth in Paragraph 3(c) of this Agreement). However, both the Executive and the Corporation confirm their belief that the Executives waiver of claims under ADEA is valid and enforceable, and that their intention is that all claims under ADEA will be waived. </w:t>
      </w:r>
    </w:p>
    <w:p>
      <w:pPr>
        <w:pStyle w:val="TextBody"/>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b/>
          <w:sz w:val="20"/>
          <w:u w:val="single"/>
        </w:rPr>
        <w:t>Certain Administrative Proceedings</w:t>
      </w:r>
      <w:r>
        <w:rPr>
          <w:rFonts w:ascii="Times New Roman" w:hAnsi="Times New Roman"/>
          <w:sz w:val="20"/>
        </w:rPr>
        <w:t xml:space="preserve">. In addition, Paragraph 4(a) shall not preclude the Executive from filing a charge with, or participating in any administrative investigation or proceeding by, the Equal Employment Opportunity Commission or another fair employment practices agency. The Executive is, however, waiving his right to recover money in connection with any such charge or investigation to the extent released hereunder. The Executive is also waiving his right to recover money in connection with a charge filed by any other entity or individual, or by any federal, state or local agency to the extent released hereunder. </w:t>
      </w:r>
    </w:p>
    <w:p>
      <w:pPr>
        <w:pStyle w:val="TextBody"/>
        <w:spacing w:before="240" w:after="0"/>
        <w:jc w:val="left"/>
        <w:rPr>
          <w:rFonts w:ascii="Times New Roman" w:hAnsi="Times New Roman"/>
          <w:sz w:val="20"/>
        </w:rPr>
      </w:pPr>
      <w:r>
        <w:rPr>
          <w:rFonts w:ascii="Times New Roman" w:hAnsi="Times New Roman"/>
          <w:b/>
          <w:sz w:val="20"/>
        </w:rPr>
        <w:t>5.</w:t>
      </w:r>
      <w:r>
        <w:rPr>
          <w:rFonts w:ascii="Times New Roman" w:hAnsi="Times New Roman"/>
          <w:sz w:val="20"/>
        </w:rPr>
        <w:t xml:space="preserve"> </w:t>
      </w:r>
      <w:r>
        <w:rPr>
          <w:rFonts w:ascii="Times New Roman" w:hAnsi="Times New Roman"/>
          <w:b/>
          <w:sz w:val="20"/>
          <w:u w:val="single"/>
        </w:rPr>
        <w:t>Exceptions</w:t>
      </w:r>
      <w:r>
        <w:rPr>
          <w:rFonts w:ascii="Times New Roman" w:hAnsi="Times New Roman"/>
          <w:sz w:val="20"/>
        </w:rPr>
        <w:t xml:space="preserve">. Notwithstanding anything in this Agreement to the contrary, nothing contained in this Agreement shall prohibit the Executive from (i) filing a charge with, reporting possible violations of federal law or regulation to, participating in any investigation by, or cooperating with any governmental agency or entity or making other disclosures that are protected under the whistleblower provisions of applicable law or regulation and/or (ii) communicating directly with, cooperating with, or providing information (including trade secrets) in confidence to, any federal, state or local government regulator (including, but not limited to, the U.S. Securities and Exchange Commission, the U.S. Commodity Futures Trading Commission, or the U.S. Department of Justice) for the purpose of reporting or investigating a suspected violation of law, or from providing such information to the Executives attorney or in a </w:t>
      </w:r>
    </w:p>
    <w:p>
      <w:pPr>
        <w:pStyle w:val="TextBody"/>
        <w:spacing w:before="0" w:after="0"/>
        <w:jc w:val="left"/>
        <w:rPr/>
      </w:pPr>
      <w:r>
        <w:rPr/>
        <w: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Exhibit A-3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sealed complaint or other document filed in a lawsuit or other governmental proceeding. Pursuant to 18 USC Section 1833(b), the Executive will not be held criminally or civilly liable under any federal or state trade secret law for the disclosure of a trade secret that is made: (x) in confidence to a federal, state, or local government official, either directly or indirectly, or to an attorney, and solely for the purpose of reporting or investigating a suspected violation of law; or (y) in a complaint or other document filed in a lawsuit or other proceeding, if such filing is made under seal. Nothing in this Agreement prevents the undersigned from discussing or disclosing information about unlawful acts in the workplace, such as harassment or discrimination or any other conduct that the undersigned has reason to believe is unlawful. </w:t>
      </w:r>
    </w:p>
    <w:p>
      <w:pPr>
        <w:pStyle w:val="TextBody"/>
        <w:spacing w:before="240" w:after="0"/>
        <w:jc w:val="left"/>
        <w:rPr>
          <w:rFonts w:ascii="Times New Roman" w:hAnsi="Times New Roman"/>
          <w:sz w:val="20"/>
        </w:rPr>
      </w:pPr>
      <w:r>
        <w:rPr>
          <w:rFonts w:ascii="Times New Roman" w:hAnsi="Times New Roman"/>
          <w:b/>
          <w:sz w:val="20"/>
        </w:rPr>
        <w:t>6.</w:t>
      </w:r>
      <w:r>
        <w:rPr>
          <w:rFonts w:ascii="Times New Roman" w:hAnsi="Times New Roman"/>
          <w:sz w:val="20"/>
        </w:rPr>
        <w:t xml:space="preserve"> </w:t>
      </w:r>
      <w:r>
        <w:rPr>
          <w:rFonts w:ascii="Times New Roman" w:hAnsi="Times New Roman"/>
          <w:b/>
          <w:sz w:val="20"/>
          <w:u w:val="single"/>
        </w:rPr>
        <w:t>Severability Clause</w:t>
      </w:r>
      <w:r>
        <w:rPr>
          <w:rFonts w:ascii="Times New Roman" w:hAnsi="Times New Roman"/>
          <w:sz w:val="20"/>
        </w:rPr>
        <w:t xml:space="preserve">. In the event that any provision or part of this Agreement is found to be invalid or unenforceable, only that particular provision or part so found, and not the entire Agreement, shall be inoperative. </w:t>
      </w:r>
    </w:p>
    <w:p>
      <w:pPr>
        <w:pStyle w:val="TextBody"/>
        <w:spacing w:before="240" w:after="0"/>
        <w:jc w:val="left"/>
        <w:rPr>
          <w:rFonts w:ascii="Times New Roman" w:hAnsi="Times New Roman"/>
          <w:sz w:val="20"/>
        </w:rPr>
      </w:pPr>
      <w:r>
        <w:rPr>
          <w:rFonts w:ascii="Times New Roman" w:hAnsi="Times New Roman"/>
          <w:b/>
          <w:sz w:val="20"/>
        </w:rPr>
        <w:t>7.</w:t>
      </w:r>
      <w:r>
        <w:rPr>
          <w:rFonts w:ascii="Times New Roman" w:hAnsi="Times New Roman"/>
          <w:sz w:val="20"/>
        </w:rPr>
        <w:t xml:space="preserve"> </w:t>
      </w:r>
      <w:r>
        <w:rPr>
          <w:rFonts w:ascii="Times New Roman" w:hAnsi="Times New Roman"/>
          <w:b/>
          <w:sz w:val="20"/>
          <w:u w:val="single"/>
        </w:rPr>
        <w:t>Nonadmission</w:t>
      </w:r>
      <w:r>
        <w:rPr>
          <w:rFonts w:ascii="Times New Roman" w:hAnsi="Times New Roman"/>
          <w:sz w:val="20"/>
        </w:rPr>
        <w:t xml:space="preserve">. Nothing contained in this Agreement shall be deemed or construed as an admission of wrongdoing or liability on the part of the Corporation or Executive. </w:t>
      </w:r>
    </w:p>
    <w:p>
      <w:pPr>
        <w:pStyle w:val="TextBody"/>
        <w:spacing w:before="240" w:after="0"/>
        <w:jc w:val="left"/>
        <w:rPr>
          <w:rFonts w:ascii="Times New Roman" w:hAnsi="Times New Roman"/>
          <w:sz w:val="20"/>
        </w:rPr>
      </w:pPr>
      <w:r>
        <w:rPr>
          <w:rFonts w:ascii="Times New Roman" w:hAnsi="Times New Roman"/>
          <w:b/>
          <w:sz w:val="20"/>
        </w:rPr>
        <w:t>8.</w:t>
      </w:r>
      <w:r>
        <w:rPr>
          <w:rFonts w:ascii="Times New Roman" w:hAnsi="Times New Roman"/>
          <w:sz w:val="20"/>
        </w:rPr>
        <w:t xml:space="preserve"> </w:t>
      </w:r>
      <w:r>
        <w:rPr>
          <w:rFonts w:ascii="Times New Roman" w:hAnsi="Times New Roman"/>
          <w:b/>
          <w:sz w:val="20"/>
          <w:u w:val="single"/>
        </w:rPr>
        <w:t>Governing Law and Forum</w:t>
      </w:r>
      <w:r>
        <w:rPr>
          <w:rFonts w:ascii="Times New Roman" w:hAnsi="Times New Roman"/>
          <w:sz w:val="20"/>
        </w:rPr>
        <w:t xml:space="preserve">. This Agreement and all matters or issues arising out of or relating to this Agreement shall be governed by the laws of the State of California applicable to contracts entered into and performed entirely therein. Any action to enforce this Agreement shall be brought solely Los Angeles, California. </w:t>
      </w:r>
    </w:p>
    <w:p>
      <w:pPr>
        <w:pStyle w:val="TextBody"/>
        <w:spacing w:before="240" w:after="0"/>
        <w:jc w:val="left"/>
        <w:rPr>
          <w:rFonts w:ascii="Times New Roman" w:hAnsi="Times New Roman"/>
          <w:sz w:val="20"/>
        </w:rPr>
      </w:pPr>
      <w:r>
        <w:rPr>
          <w:rFonts w:ascii="Times New Roman" w:hAnsi="Times New Roman"/>
          <w:b/>
          <w:sz w:val="20"/>
        </w:rPr>
        <w:t>9.</w:t>
      </w:r>
      <w:r>
        <w:rPr>
          <w:rFonts w:ascii="Times New Roman" w:hAnsi="Times New Roman"/>
          <w:sz w:val="20"/>
        </w:rPr>
        <w:t xml:space="preserve"> </w:t>
      </w:r>
      <w:r>
        <w:rPr>
          <w:rFonts w:ascii="Times New Roman" w:hAnsi="Times New Roman"/>
          <w:b/>
          <w:sz w:val="20"/>
          <w:u w:val="single"/>
        </w:rPr>
        <w:t>Arbitration</w:t>
      </w:r>
      <w:r>
        <w:rPr>
          <w:rFonts w:ascii="Times New Roman" w:hAnsi="Times New Roman"/>
          <w:sz w:val="20"/>
        </w:rPr>
        <w:t xml:space="preserve">. Any dispute or controversy arising under or in connection with this Agreement or otherwise in connection with the Executives employment by the Corporation that cannot be mutually resolved by the parties to this Agreement and their respective advisors and representatives shall be settled exclusively by arbitration in accordance with the provisions of Section 16 of the Employment Agreement. </w:t>
      </w:r>
    </w:p>
    <w:p>
      <w:pPr>
        <w:pStyle w:val="TextBody"/>
        <w:spacing w:before="240" w:after="0"/>
        <w:jc w:val="left"/>
        <w:rPr>
          <w:rFonts w:ascii="Times New Roman" w:hAnsi="Times New Roman"/>
          <w:sz w:val="20"/>
        </w:rPr>
      </w:pPr>
      <w:r>
        <w:rPr>
          <w:rFonts w:ascii="Times New Roman" w:hAnsi="Times New Roman"/>
          <w:b/>
          <w:sz w:val="20"/>
        </w:rPr>
        <w:t>10.</w:t>
      </w:r>
      <w:r>
        <w:rPr>
          <w:rFonts w:ascii="Times New Roman" w:hAnsi="Times New Roman"/>
          <w:sz w:val="20"/>
        </w:rPr>
        <w:t xml:space="preserve"> </w:t>
      </w:r>
      <w:r>
        <w:rPr>
          <w:rFonts w:ascii="Times New Roman" w:hAnsi="Times New Roman"/>
          <w:b/>
          <w:sz w:val="20"/>
          <w:u w:val="single"/>
        </w:rPr>
        <w:t>Notices</w:t>
      </w:r>
      <w:r>
        <w:rPr>
          <w:rFonts w:ascii="Times New Roman" w:hAnsi="Times New Roman"/>
          <w:sz w:val="20"/>
        </w:rPr>
        <w:t xml:space="preserve">. Notices under this Agreement must be given as is specified in Section 17 of the Employment Agreement. </w:t>
      </w:r>
    </w:p>
    <w:p>
      <w:pPr>
        <w:pStyle w:val="TextBody"/>
        <w:spacing w:before="240" w:after="0"/>
        <w:jc w:val="left"/>
        <w:rPr>
          <w:rFonts w:ascii="Times New Roman" w:hAnsi="Times New Roman"/>
          <w:sz w:val="20"/>
        </w:rPr>
      </w:pPr>
      <w:r>
        <w:rPr>
          <w:rFonts w:ascii="Times New Roman" w:hAnsi="Times New Roman"/>
          <w:sz w:val="20"/>
        </w:rPr>
        <w:t xml:space="preserve">THE EXECUTIVE ACKNOWLEDGES THAT THE EXECUTIVE HAS READ THIS AGREEMENT AND THAT THE EXECUTIVE FULLY KNOWS, UNDERSTANDS AND APPRECIATES ITS CONTENTS, AND THAT THE EXECUTIVE HEREBY EXECUTES THE SAME AND MAKES THIS AGREEMENT AND THE RELEASE AND AGREEMENTS PROVIDED FOR HEREIN VOLUNTARILY AND OF HIS OWN FREE WILL. </w:t>
      </w:r>
    </w:p>
    <w:p>
      <w:pPr>
        <w:pStyle w:val="TextBody"/>
        <w:spacing w:before="480" w:after="0"/>
        <w:jc w:val="center"/>
        <w:rPr>
          <w:rFonts w:ascii="Times New Roman" w:hAnsi="Times New Roman"/>
          <w:sz w:val="20"/>
        </w:rPr>
      </w:pPr>
      <w:r>
        <w:rPr>
          <w:rFonts w:ascii="Times New Roman" w:hAnsi="Times New Roman"/>
          <w:sz w:val="20"/>
        </w:rPr>
        <w:t>[</w:t>
      </w:r>
      <w:r>
        <w:rPr>
          <w:rFonts w:ascii="Times New Roman" w:hAnsi="Times New Roman"/>
          <w:i/>
          <w:sz w:val="20"/>
        </w:rPr>
        <w:t>The remainder of this page has intentionally been left blank</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Exhibit A-4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the parties have executed this Agreement as of the dates set forth below. </w:t>
      </w:r>
    </w:p>
    <w:p>
      <w:pPr>
        <w:pStyle w:val="TextBody"/>
        <w:spacing w:before="0" w:after="0"/>
        <w:jc w:val="left"/>
        <w:rPr/>
      </w:pPr>
      <w:r>
        <w:rPr/>
        <w:t> </w:t>
      </w:r>
    </w:p>
    <w:tbl>
      <w:tblPr>
        <w:tblW w:w="2000" w:type="pct"/>
        <w:jc w:val="right"/>
        <w:tblInd w:w="0" w:type="dxa"/>
        <w:tblCellMar>
          <w:top w:w="0" w:type="dxa"/>
          <w:left w:w="0" w:type="dxa"/>
          <w:bottom w:w="0" w:type="dxa"/>
          <w:right w:w="0" w:type="dxa"/>
        </w:tblCellMar>
      </w:tblPr>
      <w:tblGrid>
        <w:gridCol w:w="665"/>
        <w:gridCol w:w="60"/>
        <w:gridCol w:w="3357"/>
      </w:tblGrid>
      <w:tr>
        <w:trPr/>
        <w:tc>
          <w:tcPr>
            <w:tcW w:w="66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357"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pPr>
            <w:r>
              <w:rPr/>
              <w:t></w:t>
            </w:r>
            <w:r>
              <w:rPr>
                <w:b/>
              </w:rPr>
              <w:t>CORPORATION</w:t>
            </w:r>
            <w:r>
              <w:rPr/>
              <w:t></w:t>
            </w:r>
          </w:p>
        </w:tc>
      </w:tr>
      <w:tr>
        <w:trPr>
          <w:trHeight w:val="240" w:hRule="atLeast"/>
        </w:trPr>
        <w:tc>
          <w:tcPr>
            <w:tcW w:w="665" w:type="dxa"/>
            <w:tcBorders/>
            <w:shd w:fill="auto" w:val="clear"/>
            <w:vAlign w:val="center"/>
          </w:tcPr>
          <w:p>
            <w:pPr>
              <w:pStyle w:val="TableContents"/>
              <w:spacing w:before="0" w:after="283"/>
              <w:rPr>
                <w:sz w:val="4"/>
                <w:szCs w:val="4"/>
              </w:rPr>
            </w:pPr>
            <w:r>
              <w:rPr>
                <w:sz w:val="4"/>
                <w:szCs w:val="4"/>
              </w:rPr>
            </w:r>
          </w:p>
        </w:tc>
        <w:tc>
          <w:tcPr>
            <w:tcW w:w="3417" w:type="dxa"/>
            <w:gridSpan w:val="2"/>
            <w:tcBorders/>
            <w:shd w:fill="auto" w:val="clear"/>
            <w:vAlign w:val="center"/>
          </w:tcPr>
          <w:p>
            <w:pPr>
              <w:pStyle w:val="TableContents"/>
              <w:spacing w:before="0" w:after="283"/>
              <w:rPr>
                <w:sz w:val="4"/>
                <w:szCs w:val="4"/>
              </w:rPr>
            </w:pPr>
            <w:r>
              <w:rPr>
                <w:sz w:val="4"/>
                <w:szCs w:val="4"/>
              </w:rPr>
            </w:r>
          </w:p>
        </w:tc>
      </w:tr>
      <w:tr>
        <w:trPr/>
        <w:tc>
          <w:tcPr>
            <w:tcW w:w="665" w:type="dxa"/>
            <w:tcBorders/>
            <w:shd w:fill="auto" w:val="clear"/>
          </w:tcPr>
          <w:p>
            <w:pPr>
              <w:pStyle w:val="TableContents"/>
              <w:spacing w:before="0" w:after="283"/>
              <w:rPr/>
            </w:pPr>
            <w:r>
              <w:rPr/>
              <w:t>By:</w:t>
            </w:r>
          </w:p>
        </w:tc>
        <w:tc>
          <w:tcPr>
            <w:tcW w:w="60" w:type="dxa"/>
            <w:tcBorders/>
            <w:shd w:fill="auto" w:val="clear"/>
            <w:vAlign w:val="bottom"/>
          </w:tcPr>
          <w:p>
            <w:pPr>
              <w:pStyle w:val="TableContents"/>
              <w:spacing w:before="0" w:after="283"/>
              <w:rPr/>
            </w:pPr>
            <w:r>
              <w:rPr/>
              <w:t> </w:t>
            </w:r>
          </w:p>
        </w:tc>
        <w:tc>
          <w:tcPr>
            <w:tcW w:w="3357" w:type="dxa"/>
            <w:tcBorders/>
            <w:shd w:fill="auto" w:val="clear"/>
          </w:tcPr>
          <w:p>
            <w:pPr>
              <w:pStyle w:val="TableContents"/>
              <w:pBdr>
                <w:bottom w:val="single" w:sz="2" w:space="1" w:color="000000"/>
              </w:pBdr>
              <w:spacing w:before="0" w:after="20"/>
              <w:rPr/>
            </w:pPr>
            <w:r>
              <w:rPr/>
              <w:t>                              </w:t>
            </w:r>
          </w:p>
        </w:tc>
      </w:tr>
      <w:tr>
        <w:trPr/>
        <w:tc>
          <w:tcPr>
            <w:tcW w:w="665" w:type="dxa"/>
            <w:tcBorders/>
            <w:shd w:fill="auto" w:val="clear"/>
          </w:tcPr>
          <w:p>
            <w:pPr>
              <w:pStyle w:val="TableContents"/>
              <w:spacing w:before="0" w:after="283"/>
              <w:rPr/>
            </w:pPr>
            <w:r>
              <w:rPr/>
              <w:t>Its:</w:t>
            </w:r>
          </w:p>
        </w:tc>
        <w:tc>
          <w:tcPr>
            <w:tcW w:w="60" w:type="dxa"/>
            <w:tcBorders/>
            <w:shd w:fill="auto" w:val="clear"/>
            <w:vAlign w:val="bottom"/>
          </w:tcPr>
          <w:p>
            <w:pPr>
              <w:pStyle w:val="TableContents"/>
              <w:spacing w:before="0" w:after="283"/>
              <w:rPr/>
            </w:pPr>
            <w:r>
              <w:rPr/>
              <w:t> </w:t>
            </w:r>
          </w:p>
        </w:tc>
        <w:tc>
          <w:tcPr>
            <w:tcW w:w="3357" w:type="dxa"/>
            <w:tcBorders/>
            <w:shd w:fill="auto" w:val="clear"/>
          </w:tcPr>
          <w:p>
            <w:pPr>
              <w:pStyle w:val="TableContents"/>
              <w:pBdr>
                <w:bottom w:val="single" w:sz="2" w:space="1" w:color="000000"/>
              </w:pBdr>
              <w:spacing w:before="0" w:after="20"/>
              <w:rPr/>
            </w:pPr>
            <w:r>
              <w:rPr/>
              <w:t> </w:t>
            </w:r>
          </w:p>
        </w:tc>
      </w:tr>
      <w:tr>
        <w:trPr/>
        <w:tc>
          <w:tcPr>
            <w:tcW w:w="665" w:type="dxa"/>
            <w:tcBorders/>
            <w:shd w:fill="auto" w:val="clear"/>
          </w:tcPr>
          <w:p>
            <w:pPr>
              <w:pStyle w:val="TableContents"/>
              <w:spacing w:before="0" w:after="283"/>
              <w:rPr/>
            </w:pPr>
            <w:r>
              <w:rPr/>
              <w:t>Dated:</w:t>
            </w:r>
          </w:p>
        </w:tc>
        <w:tc>
          <w:tcPr>
            <w:tcW w:w="60" w:type="dxa"/>
            <w:tcBorders/>
            <w:shd w:fill="auto" w:val="clear"/>
            <w:vAlign w:val="bottom"/>
          </w:tcPr>
          <w:p>
            <w:pPr>
              <w:pStyle w:val="TableContents"/>
              <w:spacing w:before="0" w:after="283"/>
              <w:rPr/>
            </w:pPr>
            <w:r>
              <w:rPr/>
              <w:t> </w:t>
            </w:r>
          </w:p>
        </w:tc>
        <w:tc>
          <w:tcPr>
            <w:tcW w:w="3357" w:type="dxa"/>
            <w:tcBorders/>
            <w:shd w:fill="auto" w:val="clear"/>
          </w:tcPr>
          <w:p>
            <w:pPr>
              <w:pStyle w:val="TableContents"/>
              <w:pBdr>
                <w:bottom w:val="single" w:sz="2" w:space="1" w:color="000000"/>
              </w:pBdr>
              <w:spacing w:before="0" w:after="20"/>
              <w:rPr/>
            </w:pPr>
            <w:r>
              <w:rPr/>
              <w:t> </w:t>
            </w:r>
          </w:p>
        </w:tc>
      </w:tr>
      <w:tr>
        <w:trPr>
          <w:trHeight w:val="240" w:hRule="atLeast"/>
        </w:trPr>
        <w:tc>
          <w:tcPr>
            <w:tcW w:w="4082" w:type="dxa"/>
            <w:gridSpan w:val="3"/>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pPr>
            <w:r>
              <w:rPr/>
              <w:t></w:t>
            </w:r>
            <w:r>
              <w:rPr>
                <w:b/>
              </w:rPr>
              <w:t>EXECUTIVE</w:t>
            </w:r>
            <w:r>
              <w:rPr/>
              <w:t></w:t>
            </w:r>
          </w:p>
        </w:tc>
      </w:tr>
      <w:tr>
        <w:trPr>
          <w:trHeight w:val="240" w:hRule="atLeast"/>
        </w:trPr>
        <w:tc>
          <w:tcPr>
            <w:tcW w:w="4082" w:type="dxa"/>
            <w:gridSpan w:val="3"/>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pBdr>
                <w:bottom w:val="single" w:sz="2" w:space="1" w:color="000000"/>
              </w:pBdr>
              <w:spacing w:lineRule="atLeast" w:line="141" w:before="0" w:after="40"/>
              <w:rPr/>
            </w:pPr>
            <w:r>
              <w:rPr/>
              <w:t> </w:t>
            </w:r>
          </w:p>
          <w:p>
            <w:pPr>
              <w:pStyle w:val="TableContents"/>
              <w:spacing w:before="0" w:after="20"/>
              <w:rPr>
                <w:rFonts w:ascii="Times New Roman" w:hAnsi="Times New Roman"/>
                <w:sz w:val="20"/>
              </w:rPr>
            </w:pPr>
            <w:r>
              <w:rPr>
                <w:rFonts w:ascii="Times New Roman" w:hAnsi="Times New Roman"/>
                <w:sz w:val="20"/>
              </w:rPr>
              <w:t>Scott Wagner</w:t>
            </w:r>
          </w:p>
        </w:tc>
      </w:tr>
      <w:tr>
        <w:trPr/>
        <w:tc>
          <w:tcPr>
            <w:tcW w:w="665" w:type="dxa"/>
            <w:tcBorders/>
            <w:shd w:fill="auto" w:val="clear"/>
          </w:tcPr>
          <w:p>
            <w:pPr>
              <w:pStyle w:val="TableContents"/>
              <w:spacing w:before="0" w:after="283"/>
              <w:rPr/>
            </w:pPr>
            <w:r>
              <w:rPr/>
              <w:t>Dated:</w:t>
            </w:r>
          </w:p>
        </w:tc>
        <w:tc>
          <w:tcPr>
            <w:tcW w:w="60" w:type="dxa"/>
            <w:tcBorders/>
            <w:shd w:fill="auto" w:val="clear"/>
            <w:vAlign w:val="bottom"/>
          </w:tcPr>
          <w:p>
            <w:pPr>
              <w:pStyle w:val="TableContents"/>
              <w:spacing w:before="0" w:after="283"/>
              <w:rPr/>
            </w:pPr>
            <w:r>
              <w:rPr/>
              <w:t> </w:t>
            </w:r>
          </w:p>
        </w:tc>
        <w:tc>
          <w:tcPr>
            <w:tcW w:w="3357" w:type="dxa"/>
            <w:tcBorders/>
            <w:shd w:fill="auto" w:val="clear"/>
          </w:tcPr>
          <w:p>
            <w:pPr>
              <w:pStyle w:val="TableContents"/>
              <w:pBdr>
                <w:bottom w:val="single" w:sz="2" w:space="1" w:color="000000"/>
              </w:pBdr>
              <w:spacing w:before="0" w:after="20"/>
              <w:rPr/>
            </w:pPr>
            <w:r>
              <w:rPr/>
              <w:t xml:space="preserve">                      </w:t>
            </w:r>
          </w:p>
        </w:tc>
      </w:tr>
    </w:tbl>
    <w:p>
      <w:pPr>
        <w:pStyle w:val="TextBody"/>
        <w:spacing w:before="240" w:after="0"/>
        <w:jc w:val="center"/>
        <w:rPr>
          <w:rFonts w:ascii="Times New Roman" w:hAnsi="Times New Roman"/>
          <w:sz w:val="20"/>
        </w:rPr>
      </w:pPr>
      <w:r>
        <w:rPr>
          <w:rFonts w:ascii="Times New Roman" w:hAnsi="Times New Roman"/>
          <w:sz w:val="20"/>
        </w:rPr>
        <w:t xml:space="preserve">[SIGNATURE PAGE TO GENERAL RELEASE OF ALL CLAIMS] </w:t>
      </w:r>
      <w:r>
        <w:br w:type="page"/>
      </w:r>
    </w:p>
    <w:p>
      <w:pPr>
        <w:pStyle w:val="TextBody"/>
        <w:spacing w:before="0" w:after="0"/>
        <w:jc w:val="right"/>
        <w:rPr>
          <w:rFonts w:ascii="Times New Roman" w:hAnsi="Times New Roman"/>
          <w:b/>
          <w:sz w:val="20"/>
        </w:rPr>
      </w:pPr>
      <w:bookmarkStart w:id="4" w:name="d436463dex102.htm"/>
      <w:bookmarkStart w:id="5" w:name="ksd436463dex102"/>
      <w:bookmarkEnd w:id="4"/>
      <w:bookmarkEnd w:id="5"/>
      <w:r>
        <w:rPr>
          <w:rFonts w:ascii="Times New Roman" w:hAnsi="Times New Roman"/>
          <w:b/>
          <w:sz w:val="20"/>
        </w:rPr>
        <w:t xml:space="preserve">Exhibit 10.2 </w:t>
      </w:r>
    </w:p>
    <w:p>
      <w:pPr>
        <w:pStyle w:val="TextBody"/>
        <w:spacing w:before="480" w:after="0"/>
        <w:jc w:val="center"/>
        <w:rPr>
          <w:rFonts w:ascii="Times New Roman" w:hAnsi="Times New Roman"/>
          <w:b/>
          <w:sz w:val="20"/>
          <w:u w:val="single"/>
        </w:rPr>
      </w:pPr>
      <w:r>
        <w:rPr>
          <w:rFonts w:ascii="Times New Roman" w:hAnsi="Times New Roman"/>
          <w:b/>
          <w:sz w:val="20"/>
          <w:u w:val="single"/>
        </w:rPr>
        <w:t xml:space="preserve">SECOND AMENDED AND RESTATED EMPLOYMENT AGREEMENT </w:t>
      </w:r>
    </w:p>
    <w:p>
      <w:pPr>
        <w:pStyle w:val="TextBody"/>
        <w:spacing w:before="240" w:after="0"/>
        <w:jc w:val="left"/>
        <w:rPr>
          <w:rFonts w:ascii="Times New Roman" w:hAnsi="Times New Roman"/>
          <w:sz w:val="20"/>
        </w:rPr>
      </w:pPr>
      <w:r>
        <w:rPr>
          <w:rFonts w:ascii="Times New Roman" w:hAnsi="Times New Roman"/>
          <w:b/>
          <w:sz w:val="20"/>
        </w:rPr>
        <w:t xml:space="preserve">THIS SECOND AMENDED AND RESTATED EMPLOYMENT AGREEMENT </w:t>
      </w:r>
      <w:r>
        <w:rPr>
          <w:rFonts w:ascii="Times New Roman" w:hAnsi="Times New Roman"/>
          <w:sz w:val="20"/>
        </w:rPr>
        <w:t>(this </w:t>
      </w:r>
      <w:r>
        <w:rPr>
          <w:rFonts w:ascii="Times New Roman" w:hAnsi="Times New Roman"/>
          <w:sz w:val="20"/>
          <w:u w:val="single"/>
        </w:rPr>
        <w:t>Agreement</w:t>
      </w:r>
      <w:r>
        <w:rPr>
          <w:rFonts w:ascii="Times New Roman" w:hAnsi="Times New Roman"/>
          <w:sz w:val="20"/>
        </w:rPr>
        <w:t>) is made and entered into as of April 25, 2023 by and among GoodRx, Inc., a Delaware corporation (the </w:t>
      </w:r>
      <w:r>
        <w:rPr>
          <w:rFonts w:ascii="Times New Roman" w:hAnsi="Times New Roman"/>
          <w:sz w:val="20"/>
          <w:u w:val="single"/>
        </w:rPr>
        <w:t>Corporation</w:t>
      </w:r>
      <w:r>
        <w:rPr>
          <w:rFonts w:ascii="Times New Roman" w:hAnsi="Times New Roman"/>
          <w:sz w:val="20"/>
        </w:rPr>
        <w:t>) and Trevor Bezdek, an individual (the </w:t>
      </w:r>
      <w:r>
        <w:rPr>
          <w:rFonts w:ascii="Times New Roman" w:hAnsi="Times New Roman"/>
          <w:sz w:val="20"/>
          <w:u w:val="single"/>
        </w:rPr>
        <w:t>Executive</w:t>
      </w:r>
      <w:r>
        <w:rPr>
          <w:rFonts w:ascii="Times New Roman" w:hAnsi="Times New Roman"/>
          <w:sz w:val="20"/>
        </w:rPr>
        <w:t xml:space="preserve">). </w:t>
      </w:r>
    </w:p>
    <w:p>
      <w:pPr>
        <w:pStyle w:val="TextBody"/>
        <w:spacing w:before="480" w:after="0"/>
        <w:jc w:val="center"/>
        <w:rPr>
          <w:rFonts w:ascii="Times New Roman" w:hAnsi="Times New Roman"/>
          <w:b/>
          <w:sz w:val="20"/>
        </w:rPr>
      </w:pPr>
      <w:r>
        <w:rPr>
          <w:rFonts w:ascii="Times New Roman" w:hAnsi="Times New Roman"/>
          <w:b/>
          <w:sz w:val="20"/>
        </w:rPr>
        <w:t xml:space="preserve">RECITALS </w:t>
      </w:r>
    </w:p>
    <w:p>
      <w:pPr>
        <w:pStyle w:val="TextBody"/>
        <w:spacing w:before="240" w:after="0"/>
        <w:jc w:val="left"/>
        <w:rPr>
          <w:rFonts w:ascii="Times New Roman" w:hAnsi="Times New Roman"/>
          <w:sz w:val="20"/>
        </w:rPr>
      </w:pPr>
      <w:r>
        <w:rPr>
          <w:rFonts w:ascii="Times New Roman" w:hAnsi="Times New Roman"/>
          <w:b/>
          <w:sz w:val="20"/>
        </w:rPr>
        <w:t xml:space="preserve">THE PARTIES ENTER THIS AGREEMENT </w:t>
      </w:r>
      <w:r>
        <w:rPr>
          <w:rFonts w:ascii="Times New Roman" w:hAnsi="Times New Roman"/>
          <w:sz w:val="20"/>
        </w:rPr>
        <w:t xml:space="preserve">on the basis of the following facts, understandings and intentions: </w:t>
      </w:r>
    </w:p>
    <w:p>
      <w:pPr>
        <w:pStyle w:val="TextBody"/>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The Executive currently serves as the Corporations Co-Chief Executive Officer and the Executive currently is employed pursuant to that certain Amended and Restated Employment Agreement, entered into as of September 19, 2020 (the </w:t>
      </w:r>
      <w:r>
        <w:rPr>
          <w:rFonts w:ascii="Times New Roman" w:hAnsi="Times New Roman"/>
          <w:sz w:val="20"/>
          <w:u w:val="single"/>
        </w:rPr>
        <w:t>Prior Employment Agreement</w:t>
      </w:r>
      <w:r>
        <w:rPr>
          <w:rFonts w:ascii="Times New Roman" w:hAnsi="Times New Roman"/>
          <w:sz w:val="20"/>
        </w:rPr>
        <w:t xml:space="preserve">); and </w:t>
      </w:r>
    </w:p>
    <w:p>
      <w:pPr>
        <w:pStyle w:val="TextBody"/>
        <w:spacing w:before="12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The Corporation and the Executive mutually desire that the Executive continue to be employed by the Corporation as its Chairman, and to carry out the duties and responsibilities described below, all on the terms and conditions hereinafter set forth, and to replace and supersede the Prior Employment Agreement, in each case, effective as of the Effective Date (as defined below). </w:t>
      </w:r>
    </w:p>
    <w:p>
      <w:pPr>
        <w:pStyle w:val="TextBody"/>
        <w:spacing w:before="240" w:after="0"/>
        <w:jc w:val="left"/>
        <w:rPr>
          <w:rFonts w:ascii="Times New Roman" w:hAnsi="Times New Roman"/>
          <w:sz w:val="20"/>
        </w:rPr>
      </w:pPr>
      <w:r>
        <w:rPr>
          <w:rFonts w:ascii="Times New Roman" w:hAnsi="Times New Roman"/>
          <w:b/>
          <w:sz w:val="20"/>
        </w:rPr>
        <w:t>NOW, THEREFORE</w:t>
      </w:r>
      <w:r>
        <w:rPr>
          <w:rFonts w:ascii="Times New Roman" w:hAnsi="Times New Roman"/>
          <w:sz w:val="20"/>
        </w:rPr>
        <w:t xml:space="preserve">, in consideration of the above recitals incorporated herein and the mutual covenants and promises contained herein and other good and valuable consideration, the receipt and sufficiency of which are hereby expressly acknowledged, the parties agree as follows: </w:t>
      </w:r>
    </w:p>
    <w:p>
      <w:pPr>
        <w:pStyle w:val="TextBody"/>
        <w:spacing w:before="240" w:after="0"/>
        <w:jc w:val="left"/>
        <w:rPr>
          <w:rFonts w:ascii="Times New Roman" w:hAnsi="Times New Roman"/>
          <w:b/>
          <w:sz w:val="20"/>
        </w:rPr>
      </w:pPr>
      <w:r>
        <w:rPr>
          <w:rFonts w:ascii="Times New Roman" w:hAnsi="Times New Roman"/>
          <w:b/>
          <w:sz w:val="20"/>
        </w:rPr>
        <w:t xml:space="preserve">1. </w:t>
      </w:r>
      <w:r>
        <w:rPr>
          <w:rFonts w:ascii="Times New Roman" w:hAnsi="Times New Roman"/>
          <w:b/>
          <w:sz w:val="20"/>
          <w:u w:val="single"/>
        </w:rPr>
        <w:t>Employment and Duties</w:t>
      </w:r>
      <w:r>
        <w:rPr>
          <w:rFonts w:ascii="Times New Roman" w:hAnsi="Times New Roman"/>
          <w:b/>
          <w:sz w:val="20"/>
        </w:rPr>
        <w:t xml:space="preserve">. </w:t>
      </w:r>
    </w:p>
    <w:p>
      <w:pPr>
        <w:pStyle w:val="TextBody"/>
        <w:spacing w:before="120" w:after="0"/>
        <w:jc w:val="left"/>
        <w:rPr>
          <w:rFonts w:ascii="Times New Roman" w:hAnsi="Times New Roman"/>
          <w:sz w:val="20"/>
        </w:rPr>
      </w:pPr>
      <w:r>
        <w:rPr>
          <w:rFonts w:ascii="Times New Roman" w:hAnsi="Times New Roman"/>
          <w:b/>
          <w:sz w:val="20"/>
        </w:rPr>
        <w:t>1.1</w:t>
      </w:r>
      <w:r>
        <w:rPr>
          <w:rFonts w:ascii="Times New Roman" w:hAnsi="Times New Roman"/>
          <w:sz w:val="20"/>
        </w:rPr>
        <w:t xml:space="preserve"> </w:t>
      </w:r>
      <w:r>
        <w:rPr>
          <w:rFonts w:ascii="Times New Roman" w:hAnsi="Times New Roman"/>
          <w:b/>
          <w:sz w:val="20"/>
          <w:u w:val="single"/>
        </w:rPr>
        <w:t>Employment</w:t>
      </w:r>
      <w:r>
        <w:rPr>
          <w:rFonts w:ascii="Times New Roman" w:hAnsi="Times New Roman"/>
          <w:sz w:val="20"/>
        </w:rPr>
        <w:t>. The Corporation does hereby continue to employ the Executive on an at-will basis, subject to the terms and conditions expressly set forth in this Agreement, including, but not limited to, Section 5 of this Agreement. The Executive does hereby accept and agree to such continued employment on the terms and conditions expressly set forth in this Agreement. The Executive acknowledges and agrees that none of (i) his change in position from Co-Chief Executive Officer of the Corporation to Chairman of the Board of Directors (</w:t>
      </w:r>
      <w:r>
        <w:rPr>
          <w:rFonts w:ascii="Times New Roman" w:hAnsi="Times New Roman"/>
          <w:sz w:val="20"/>
          <w:u w:val="single"/>
        </w:rPr>
        <w:t>Board</w:t>
      </w:r>
      <w:r>
        <w:rPr>
          <w:rFonts w:ascii="Times New Roman" w:hAnsi="Times New Roman"/>
          <w:sz w:val="20"/>
        </w:rPr>
        <w:t>) of GoodRx Holdings, Inc. (</w:t>
      </w:r>
      <w:r>
        <w:rPr>
          <w:rFonts w:ascii="Times New Roman" w:hAnsi="Times New Roman"/>
          <w:sz w:val="20"/>
          <w:u w:val="single"/>
        </w:rPr>
        <w:t>Holdings</w:t>
      </w:r>
      <w:r>
        <w:rPr>
          <w:rFonts w:ascii="Times New Roman" w:hAnsi="Times New Roman"/>
          <w:sz w:val="20"/>
        </w:rPr>
        <w:t xml:space="preserve">), (ii) the appointment of Scott Wagner as the sole Interim Chief Executive Officer of the Corporation, and/or (iii) entering into this Agreement (including any changes herein to the Executives compensation), in any case, constitute or will constitute an event giving rise to Good Reason for purposes of this Agreement or any other agreement between the Executive and the Corporation and/or its affiliates. </w:t>
      </w:r>
    </w:p>
    <w:p>
      <w:pPr>
        <w:pStyle w:val="TextBody"/>
        <w:spacing w:before="120" w:after="0"/>
        <w:jc w:val="left"/>
        <w:rPr>
          <w:rFonts w:ascii="Times New Roman" w:hAnsi="Times New Roman"/>
          <w:sz w:val="20"/>
        </w:rPr>
      </w:pPr>
      <w:r>
        <w:rPr>
          <w:rFonts w:ascii="Times New Roman" w:hAnsi="Times New Roman"/>
          <w:b/>
          <w:sz w:val="20"/>
        </w:rPr>
        <w:t>1.2</w:t>
      </w:r>
      <w:r>
        <w:rPr>
          <w:rFonts w:ascii="Times New Roman" w:hAnsi="Times New Roman"/>
          <w:sz w:val="20"/>
        </w:rPr>
        <w:t xml:space="preserve"> </w:t>
      </w:r>
      <w:r>
        <w:rPr>
          <w:rFonts w:ascii="Times New Roman" w:hAnsi="Times New Roman"/>
          <w:b/>
          <w:sz w:val="20"/>
          <w:u w:val="single"/>
        </w:rPr>
        <w:t>Duties</w:t>
      </w:r>
      <w:r>
        <w:rPr>
          <w:rFonts w:ascii="Times New Roman" w:hAnsi="Times New Roman"/>
          <w:sz w:val="20"/>
        </w:rPr>
        <w:t xml:space="preserve">. The Executive shall serve the Corporation as its Chairman and shall perform and have the responsibilities, duties, status and authority customary for a position in an organization of the size and nature of the Corporation, subject to the corporate policies of the Corporation as in effect from time to time (including, without limitation, the Corporations business conduct and ethics policies, as they may be amended from time to time). In this position, the Executive shall report to the Board and shall render such administrative, financial, and other executive and managerial services to the Corporation and its affiliates as the Board may from time to time reasonably direct.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b/>
          <w:sz w:val="20"/>
        </w:rPr>
        <w:t>1.3</w:t>
      </w:r>
      <w:r>
        <w:rPr>
          <w:rFonts w:ascii="Times New Roman" w:hAnsi="Times New Roman"/>
          <w:sz w:val="20"/>
        </w:rPr>
        <w:t xml:space="preserve"> </w:t>
      </w:r>
      <w:r>
        <w:rPr>
          <w:rFonts w:ascii="Times New Roman" w:hAnsi="Times New Roman"/>
          <w:b/>
          <w:sz w:val="20"/>
          <w:u w:val="single"/>
        </w:rPr>
        <w:t>No Other Employment; Time Commitment</w:t>
      </w:r>
      <w:r>
        <w:rPr>
          <w:rFonts w:ascii="Times New Roman" w:hAnsi="Times New Roman"/>
          <w:sz w:val="20"/>
        </w:rPr>
        <w:t>. For so long as the Executive is employed with the Corporation, and notwithstanding anything to the contrary in that certain Proprietary Information and Invention Assignment Agreement between the Corporation and the Executive (the </w:t>
      </w:r>
      <w:r>
        <w:rPr>
          <w:rFonts w:ascii="Times New Roman" w:hAnsi="Times New Roman"/>
          <w:sz w:val="20"/>
          <w:u w:val="single"/>
        </w:rPr>
        <w:t>PIIA</w:t>
      </w:r>
      <w:r>
        <w:rPr>
          <w:rFonts w:ascii="Times New Roman" w:hAnsi="Times New Roman"/>
          <w:sz w:val="20"/>
        </w:rPr>
        <w:t>), the Executive shall both (i) devote a reasonable amount of his business time, energy and skill to the performance of the Executives duties for the Corporation and (ii) hold no other employment positions with any other entity. Further, the Executives service on the boards of directors (or similar bodies) of other business entities is subject to the prior approval of the Board not to be unreasonably withheld. The Corporation shall have the right to require the Executive to resign from any board or similar body on which the Executive may then serve if the Board reasonably determines that such service (x) creates a material conflict of interest or otherwise directly interferes with the effective discharge of the Executives duties and responsibilities to the Corporation in accordance with this Agreement or (y) is in respect of a business then in competition with any business of the Corporation. Subject to this Section 1.3 and the Executives obligations of confidentiality to the Corporation, nothing in this Agreement or the PIIA shall preclude Executive from maintaining and managing Executives ownership interest in (or shall provide for the future assignment of any rights of Executive with respect to) Idea Men LLC (</w:t>
      </w:r>
      <w:r>
        <w:rPr>
          <w:rFonts w:ascii="Times New Roman" w:hAnsi="Times New Roman"/>
          <w:sz w:val="20"/>
          <w:u w:val="single"/>
        </w:rPr>
        <w:t>Idea Men</w:t>
      </w:r>
      <w:r>
        <w:rPr>
          <w:rFonts w:ascii="Times New Roman" w:hAnsi="Times New Roman"/>
          <w:sz w:val="20"/>
        </w:rPr>
        <w:t xml:space="preserve">), or in other ownership interests in other entities through which Executive owns or manages personal or real property, or in other ownership interests in other entities investing in area of real property, mutual funds and other pooled investment vehicles (such as private equity, private debt, venture capital or other investment funds or vehicles) or other business ventures, provided that such funds, other pooled investment vehicles and other business ventures are not in competition with the Corporation. Notwithstanding anything to the contrary in this Agreement or in the PIIA, an indirect holding in a competitor through the Executives passive investment in a mutual fund or diversified blind-pool investment fund shall not be deemed competition for purposes of this clause. </w:t>
      </w:r>
    </w:p>
    <w:p>
      <w:pPr>
        <w:pStyle w:val="TextBody"/>
        <w:spacing w:before="120" w:after="0"/>
        <w:jc w:val="left"/>
        <w:rPr>
          <w:rFonts w:ascii="Times New Roman" w:hAnsi="Times New Roman"/>
          <w:sz w:val="20"/>
        </w:rPr>
      </w:pPr>
      <w:r>
        <w:rPr>
          <w:rFonts w:ascii="Times New Roman" w:hAnsi="Times New Roman"/>
          <w:b/>
          <w:sz w:val="20"/>
        </w:rPr>
        <w:t>1.4</w:t>
      </w:r>
      <w:r>
        <w:rPr>
          <w:rFonts w:ascii="Times New Roman" w:hAnsi="Times New Roman"/>
          <w:sz w:val="20"/>
        </w:rPr>
        <w:t xml:space="preserve"> </w:t>
      </w:r>
      <w:r>
        <w:rPr>
          <w:rFonts w:ascii="Times New Roman" w:hAnsi="Times New Roman"/>
          <w:b/>
          <w:sz w:val="20"/>
          <w:u w:val="single"/>
        </w:rPr>
        <w:t>No Breach of Contract</w:t>
      </w:r>
      <w:r>
        <w:rPr>
          <w:rFonts w:ascii="Times New Roman" w:hAnsi="Times New Roman"/>
          <w:sz w:val="20"/>
        </w:rPr>
        <w:t xml:space="preserve">. The Executive hereby represents to the Corporation: (i) that the execution and delivery of this Agreement by the Executive and the Corporation and the performance by the Executive of the Executives duties hereunder shall not constitute a breach of, or otherwise contravene, the terms of any other agreement or policy to which the Executive is a party or otherwise bound; (ii) that the Executive has no information (including, without limitation, confidential information and trade secrets) relating to any other person or entity which would prevent, or be violated by, the Executive entering into this Agreement or carrying out the Executives duties hereunder; and (iii) that the Executive is not bound by any confidentiality, trade secret or similar agreement with any other person or entity which would prevent, or be violated by, the Executive (x) entering into this Agreement or (y) carrying out the Executives duties hereunder. </w:t>
      </w:r>
    </w:p>
    <w:p>
      <w:pPr>
        <w:pStyle w:val="TextBody"/>
        <w:spacing w:before="120" w:after="0"/>
        <w:jc w:val="left"/>
        <w:rPr>
          <w:rFonts w:ascii="Times New Roman" w:hAnsi="Times New Roman"/>
          <w:sz w:val="20"/>
        </w:rPr>
      </w:pPr>
      <w:r>
        <w:rPr>
          <w:rFonts w:ascii="Times New Roman" w:hAnsi="Times New Roman"/>
          <w:b/>
          <w:sz w:val="20"/>
        </w:rPr>
        <w:t>1.5</w:t>
      </w:r>
      <w:r>
        <w:rPr>
          <w:rFonts w:ascii="Times New Roman" w:hAnsi="Times New Roman"/>
          <w:sz w:val="20"/>
        </w:rPr>
        <w:t xml:space="preserve"> </w:t>
      </w:r>
      <w:r>
        <w:rPr>
          <w:rFonts w:ascii="Times New Roman" w:hAnsi="Times New Roman"/>
          <w:b/>
          <w:sz w:val="20"/>
          <w:u w:val="single"/>
        </w:rPr>
        <w:t>Location; Administration</w:t>
      </w:r>
      <w:r>
        <w:rPr>
          <w:rFonts w:ascii="Times New Roman" w:hAnsi="Times New Roman"/>
          <w:sz w:val="20"/>
        </w:rPr>
        <w:t xml:space="preserve">. The Executives principal place of employment initially shall be the offices of the Corporations headquarters, currently located in Santa Monica, California (Pen Factory). Executive shall be assigned dedicated office space in the Pen Factory. The Executive acknowledges that business travel may be required from time to time in the course of performing the Executives duties for the Corporation. Where available for flights with a duration longer than two hours, such air travel shall be provided to the Executive in business class. In addition, subject to her continued employment by the Corporation, the Corporation will provide the Executive with the Executive Assistant who performed services in the capacity of administrative assistant for the Executive when the Executive was employed as co-Chief Executive Officer of the Corporation.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b/>
          <w:sz w:val="20"/>
        </w:rPr>
        <w:t>2.</w:t>
      </w:r>
      <w:r>
        <w:rPr>
          <w:rFonts w:ascii="Times New Roman" w:hAnsi="Times New Roman"/>
          <w:sz w:val="20"/>
        </w:rPr>
        <w:t xml:space="preserve"> </w:t>
      </w:r>
      <w:r>
        <w:rPr>
          <w:rFonts w:ascii="Times New Roman" w:hAnsi="Times New Roman"/>
          <w:b/>
          <w:sz w:val="20"/>
          <w:u w:val="single"/>
        </w:rPr>
        <w:t>Term</w:t>
      </w:r>
      <w:r>
        <w:rPr>
          <w:rFonts w:ascii="Times New Roman" w:hAnsi="Times New Roman"/>
          <w:sz w:val="20"/>
        </w:rPr>
        <w:t>. The parties acknowledge that the Executive has been an employee of the Corporation prior to the date of this Agreement and that the Executives employment under this Agreement shall commence on April 25, 2023 which date will be hereinafter referred to as the </w:t>
      </w:r>
      <w:r>
        <w:rPr>
          <w:rFonts w:ascii="Times New Roman" w:hAnsi="Times New Roman"/>
          <w:sz w:val="20"/>
          <w:u w:val="single"/>
        </w:rPr>
        <w:t>Effective Date</w:t>
      </w:r>
      <w:r>
        <w:rPr>
          <w:rFonts w:ascii="Times New Roman" w:hAnsi="Times New Roman"/>
          <w:sz w:val="20"/>
        </w:rPr>
        <w:t>. and shall be for a term ending on the 18-month anniversary of the Effective Date, unless earlier terminated in accordance with the terms of this Agreement (the </w:t>
      </w:r>
      <w:r>
        <w:rPr>
          <w:rFonts w:ascii="Times New Roman" w:hAnsi="Times New Roman"/>
          <w:sz w:val="20"/>
          <w:u w:val="single"/>
        </w:rPr>
        <w:t>Term</w:t>
      </w:r>
      <w:r>
        <w:rPr>
          <w:rFonts w:ascii="Times New Roman" w:hAnsi="Times New Roman"/>
          <w:sz w:val="20"/>
        </w:rPr>
        <w:t xml:space="preserve">). For the avoidance of doubt, this Agreement will not be effective, and the Executive will not be entitled to any of the compensation and benefits set forth herein, until (and including) the Effective Date (it being understood that the Prior Employment Agreement shall govern through (but excluding) the Effective Date). If Executive remains employed following the expiration of the Term and this Agreement, the Executive shall continue as an at-will employee and Section 13 sets forth the provisions of this Agreement that shall survive the expiration of this Agreement. </w:t>
      </w:r>
    </w:p>
    <w:p>
      <w:pPr>
        <w:pStyle w:val="TextBody"/>
        <w:spacing w:before="240" w:after="0"/>
        <w:jc w:val="left"/>
        <w:rPr>
          <w:rFonts w:ascii="Times New Roman" w:hAnsi="Times New Roman"/>
          <w:b/>
          <w:sz w:val="20"/>
        </w:rPr>
      </w:pPr>
      <w:r>
        <w:rPr>
          <w:rFonts w:ascii="Times New Roman" w:hAnsi="Times New Roman"/>
          <w:b/>
          <w:sz w:val="20"/>
        </w:rPr>
        <w:t xml:space="preserve">3. </w:t>
      </w:r>
      <w:r>
        <w:rPr>
          <w:rFonts w:ascii="Times New Roman" w:hAnsi="Times New Roman"/>
          <w:b/>
          <w:sz w:val="20"/>
          <w:u w:val="single"/>
        </w:rPr>
        <w:t>Compensation</w:t>
      </w:r>
      <w:r>
        <w:rPr>
          <w:rFonts w:ascii="Times New Roman" w:hAnsi="Times New Roman"/>
          <w:b/>
          <w:sz w:val="20"/>
        </w:rPr>
        <w:t xml:space="preserve">. </w:t>
      </w:r>
    </w:p>
    <w:p>
      <w:pPr>
        <w:pStyle w:val="TextBody"/>
        <w:spacing w:before="120" w:after="0"/>
        <w:jc w:val="left"/>
        <w:rPr>
          <w:rFonts w:ascii="Times New Roman" w:hAnsi="Times New Roman"/>
          <w:sz w:val="20"/>
        </w:rPr>
      </w:pPr>
      <w:r>
        <w:rPr>
          <w:rFonts w:ascii="Times New Roman" w:hAnsi="Times New Roman"/>
          <w:b/>
          <w:sz w:val="20"/>
        </w:rPr>
        <w:t>3.1</w:t>
      </w:r>
      <w:r>
        <w:rPr>
          <w:rFonts w:ascii="Times New Roman" w:hAnsi="Times New Roman"/>
          <w:sz w:val="20"/>
        </w:rPr>
        <w:t xml:space="preserve"> </w:t>
      </w:r>
      <w:r>
        <w:rPr>
          <w:rFonts w:ascii="Times New Roman" w:hAnsi="Times New Roman"/>
          <w:b/>
          <w:sz w:val="20"/>
          <w:u w:val="single"/>
        </w:rPr>
        <w:t>Base Salary</w:t>
      </w:r>
      <w:r>
        <w:rPr>
          <w:rFonts w:ascii="Times New Roman" w:hAnsi="Times New Roman"/>
          <w:sz w:val="20"/>
        </w:rPr>
        <w:t>. During the Term, the Executives annual base salary (the </w:t>
      </w:r>
      <w:r>
        <w:rPr>
          <w:rFonts w:ascii="Times New Roman" w:hAnsi="Times New Roman"/>
          <w:sz w:val="20"/>
          <w:u w:val="single"/>
        </w:rPr>
        <w:t>Base Salary</w:t>
      </w:r>
      <w:r>
        <w:rPr>
          <w:rFonts w:ascii="Times New Roman" w:hAnsi="Times New Roman"/>
          <w:sz w:val="20"/>
        </w:rPr>
        <w:t>) shall be paid in accordance with the Corporations regular payroll practices in effect from time to time, but not less frequently than in monthly installments. As of the Effective Date, the Executives Base Salary shall be at an annualized rate of $500,000. During the Term, subject to Section 5, the Board (or a subcommittee thereof) will annually review, and may adjust in its discretion, the Executives rate of Base Salary. The term </w:t>
      </w:r>
      <w:r>
        <w:rPr>
          <w:rFonts w:ascii="Times New Roman" w:hAnsi="Times New Roman"/>
          <w:sz w:val="20"/>
          <w:u w:val="single"/>
        </w:rPr>
        <w:t>Base Salary</w:t>
      </w:r>
      <w:r>
        <w:rPr>
          <w:rFonts w:ascii="Times New Roman" w:hAnsi="Times New Roman"/>
          <w:sz w:val="20"/>
        </w:rPr>
        <w:t xml:space="preserve"> as utilized in this Agreement shall refer to the Base Salary as so adjusted. </w:t>
      </w:r>
    </w:p>
    <w:p>
      <w:pPr>
        <w:pStyle w:val="TextBody"/>
        <w:spacing w:before="120" w:after="0"/>
        <w:jc w:val="left"/>
        <w:rPr>
          <w:rFonts w:ascii="Times New Roman" w:hAnsi="Times New Roman"/>
          <w:sz w:val="20"/>
        </w:rPr>
      </w:pPr>
      <w:r>
        <w:rPr>
          <w:rFonts w:ascii="Times New Roman" w:hAnsi="Times New Roman"/>
          <w:b/>
          <w:sz w:val="20"/>
        </w:rPr>
        <w:t>3.2</w:t>
      </w:r>
      <w:r>
        <w:rPr>
          <w:rFonts w:ascii="Times New Roman" w:hAnsi="Times New Roman"/>
          <w:sz w:val="20"/>
        </w:rPr>
        <w:t xml:space="preserve"> </w:t>
      </w:r>
      <w:r>
        <w:rPr>
          <w:rFonts w:ascii="Times New Roman" w:hAnsi="Times New Roman"/>
          <w:b/>
          <w:sz w:val="20"/>
          <w:u w:val="single"/>
        </w:rPr>
        <w:t>Incentive Bonus</w:t>
      </w:r>
      <w:r>
        <w:rPr>
          <w:rFonts w:ascii="Times New Roman" w:hAnsi="Times New Roman"/>
          <w:sz w:val="20"/>
        </w:rPr>
        <w:t>. The Executive will be eligible each year during the Term for an incentive bonus (the </w:t>
      </w:r>
      <w:r>
        <w:rPr>
          <w:rFonts w:ascii="Times New Roman" w:hAnsi="Times New Roman"/>
          <w:sz w:val="20"/>
          <w:u w:val="single"/>
        </w:rPr>
        <w:t>Incentive Bonus</w:t>
      </w:r>
      <w:r>
        <w:rPr>
          <w:rFonts w:ascii="Times New Roman" w:hAnsi="Times New Roman"/>
          <w:sz w:val="20"/>
        </w:rPr>
        <w:t xml:space="preserve">) targeted at 100% of Executives annual Base Salary, payable if the Corporation meets applicable performance goals determined by the Board (or a subcommittee thereof) in its discretion following consultation with Executive. The actual Incentive Bonus earned for each fiscal year (which, for clarity, may exceed or be less than the target Incentive Bonus), shall be paid as soon as practicable following the Boards (or its subcommittees) approval of the amount of the Incentive Bonus, but no later than March 15 of the calendar year following the year in which the bonus is earned, subject to the Executives continued employment by the Corporation or its affiliates through (i) for 2023, December 31, 2023 and (ii) for 2024, the 18-month anniversary of the Effective Date. </w:t>
      </w:r>
    </w:p>
    <w:p>
      <w:pPr>
        <w:pStyle w:val="TextBody"/>
        <w:spacing w:before="240" w:after="0"/>
        <w:jc w:val="left"/>
        <w:rPr>
          <w:rFonts w:ascii="Times New Roman" w:hAnsi="Times New Roman"/>
          <w:b/>
          <w:sz w:val="20"/>
        </w:rPr>
      </w:pPr>
      <w:r>
        <w:rPr>
          <w:rFonts w:ascii="Times New Roman" w:hAnsi="Times New Roman"/>
          <w:b/>
          <w:sz w:val="20"/>
        </w:rPr>
        <w:t xml:space="preserve">4. </w:t>
      </w:r>
      <w:r>
        <w:rPr>
          <w:rFonts w:ascii="Times New Roman" w:hAnsi="Times New Roman"/>
          <w:b/>
          <w:sz w:val="20"/>
          <w:u w:val="single"/>
        </w:rPr>
        <w:t>Benefits</w:t>
      </w:r>
      <w:r>
        <w:rPr>
          <w:rFonts w:ascii="Times New Roman" w:hAnsi="Times New Roman"/>
          <w:b/>
          <w:sz w:val="20"/>
        </w:rPr>
        <w:t xml:space="preserve">. </w:t>
      </w:r>
    </w:p>
    <w:p>
      <w:pPr>
        <w:pStyle w:val="TextBody"/>
        <w:spacing w:before="120" w:after="0"/>
        <w:jc w:val="left"/>
        <w:rPr>
          <w:rFonts w:ascii="Times New Roman" w:hAnsi="Times New Roman"/>
          <w:sz w:val="20"/>
        </w:rPr>
      </w:pPr>
      <w:r>
        <w:rPr>
          <w:rFonts w:ascii="Times New Roman" w:hAnsi="Times New Roman"/>
          <w:b/>
          <w:sz w:val="20"/>
        </w:rPr>
        <w:t>4.1</w:t>
      </w:r>
      <w:r>
        <w:rPr>
          <w:rFonts w:ascii="Times New Roman" w:hAnsi="Times New Roman"/>
          <w:sz w:val="20"/>
        </w:rPr>
        <w:t xml:space="preserve"> </w:t>
      </w:r>
      <w:r>
        <w:rPr>
          <w:rFonts w:ascii="Times New Roman" w:hAnsi="Times New Roman"/>
          <w:b/>
          <w:sz w:val="20"/>
          <w:u w:val="single"/>
        </w:rPr>
        <w:t>Health, Retirement, Welfare and Fringe Benefits</w:t>
      </w:r>
      <w:r>
        <w:rPr>
          <w:rFonts w:ascii="Times New Roman" w:hAnsi="Times New Roman"/>
          <w:sz w:val="20"/>
        </w:rPr>
        <w:t xml:space="preserve">. During the Term, the Executive shall be eligible to participate in all employee health, life and other insurance, retirement and welfare benefit plans and programs, bonus, and fringe benefit plans and programs, made available by the Corporation to the Corporations executive employees generally, in accordance with the terms of such plans and as such plans or programs may be in effect from time to time.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b/>
          <w:sz w:val="20"/>
        </w:rPr>
        <w:t>4.2</w:t>
      </w:r>
      <w:r>
        <w:rPr>
          <w:rFonts w:ascii="Times New Roman" w:hAnsi="Times New Roman"/>
          <w:sz w:val="20"/>
        </w:rPr>
        <w:t xml:space="preserve"> </w:t>
      </w:r>
      <w:r>
        <w:rPr>
          <w:rFonts w:ascii="Times New Roman" w:hAnsi="Times New Roman"/>
          <w:b/>
          <w:sz w:val="20"/>
          <w:u w:val="single"/>
        </w:rPr>
        <w:t>Reimbursement of Expenses</w:t>
      </w:r>
      <w:r>
        <w:rPr>
          <w:rFonts w:ascii="Times New Roman" w:hAnsi="Times New Roman"/>
          <w:sz w:val="20"/>
        </w:rPr>
        <w:t xml:space="preserve">. During the Term, the Corporation shall reimburse Executive for all customary and reasonable business expenses incurred in the performance of his duties under this Agreement and as an officer or director pursuant to the Corporations expense reimbursement policies. </w:t>
      </w:r>
    </w:p>
    <w:p>
      <w:pPr>
        <w:pStyle w:val="TextBody"/>
        <w:spacing w:before="120" w:after="0"/>
        <w:jc w:val="left"/>
        <w:rPr>
          <w:rFonts w:ascii="Times New Roman" w:hAnsi="Times New Roman"/>
          <w:sz w:val="20"/>
        </w:rPr>
      </w:pPr>
      <w:r>
        <w:rPr>
          <w:rFonts w:ascii="Times New Roman" w:hAnsi="Times New Roman"/>
          <w:b/>
          <w:sz w:val="20"/>
        </w:rPr>
        <w:t>4.3</w:t>
      </w:r>
      <w:r>
        <w:rPr>
          <w:rFonts w:ascii="Times New Roman" w:hAnsi="Times New Roman"/>
          <w:sz w:val="20"/>
        </w:rPr>
        <w:t xml:space="preserve"> </w:t>
      </w:r>
      <w:r>
        <w:rPr>
          <w:rFonts w:ascii="Times New Roman" w:hAnsi="Times New Roman"/>
          <w:b/>
          <w:sz w:val="20"/>
          <w:u w:val="single"/>
        </w:rPr>
        <w:t>Vacation and Other Leave</w:t>
      </w:r>
      <w:r>
        <w:rPr>
          <w:rFonts w:ascii="Times New Roman" w:hAnsi="Times New Roman"/>
          <w:sz w:val="20"/>
        </w:rPr>
        <w:t>. During the Term, the Executives annual rate of Paid Time Off (</w:t>
      </w:r>
      <w:r>
        <w:rPr>
          <w:rFonts w:ascii="Times New Roman" w:hAnsi="Times New Roman"/>
          <w:sz w:val="20"/>
          <w:u w:val="single"/>
        </w:rPr>
        <w:t>PTO</w:t>
      </w:r>
      <w:r>
        <w:rPr>
          <w:rFonts w:ascii="Times New Roman" w:hAnsi="Times New Roman"/>
          <w:sz w:val="20"/>
        </w:rPr>
        <w:t xml:space="preserve">) accrual shall be as set forth in the Corporations PTO policies as in effect from time to time; </w:t>
      </w:r>
      <w:r>
        <w:rPr>
          <w:rFonts w:ascii="Times New Roman" w:hAnsi="Times New Roman"/>
          <w:sz w:val="20"/>
          <w:u w:val="single"/>
        </w:rPr>
        <w:t>provided</w:t>
      </w:r>
      <w:r>
        <w:rPr>
          <w:rFonts w:ascii="Times New Roman" w:hAnsi="Times New Roman"/>
          <w:sz w:val="20"/>
        </w:rPr>
        <w:t xml:space="preserve"> that such vacation shall accrue and be subject to the Corporations vacation policies as in effect from time to time. The Executive shall also be eligible for all other holiday and leave pay generally available to other executives of the Corporation. </w:t>
      </w:r>
    </w:p>
    <w:p>
      <w:pPr>
        <w:pStyle w:val="TextBody"/>
        <w:spacing w:before="120" w:after="0"/>
        <w:jc w:val="left"/>
        <w:rPr>
          <w:rFonts w:ascii="Times New Roman" w:hAnsi="Times New Roman"/>
          <w:sz w:val="20"/>
        </w:rPr>
      </w:pPr>
      <w:r>
        <w:rPr>
          <w:rFonts w:ascii="Times New Roman" w:hAnsi="Times New Roman"/>
          <w:b/>
          <w:sz w:val="20"/>
        </w:rPr>
        <w:t>4.4</w:t>
      </w:r>
      <w:r>
        <w:rPr>
          <w:rFonts w:ascii="Times New Roman" w:hAnsi="Times New Roman"/>
          <w:sz w:val="20"/>
        </w:rPr>
        <w:t xml:space="preserve"> </w:t>
      </w:r>
      <w:r>
        <w:rPr>
          <w:rFonts w:ascii="Times New Roman" w:hAnsi="Times New Roman"/>
          <w:b/>
          <w:sz w:val="20"/>
          <w:u w:val="single"/>
        </w:rPr>
        <w:t>Indemnification</w:t>
      </w:r>
      <w:r>
        <w:rPr>
          <w:rFonts w:ascii="Times New Roman" w:hAnsi="Times New Roman"/>
          <w:sz w:val="20"/>
        </w:rPr>
        <w:t xml:space="preserve">. The Executive shall be provided indemnification, and coverage under the Corporations D&amp;O and EPL liability insurance policies. </w:t>
      </w:r>
    </w:p>
    <w:p>
      <w:pPr>
        <w:pStyle w:val="TextBody"/>
        <w:spacing w:before="240" w:after="0"/>
        <w:jc w:val="left"/>
        <w:rPr>
          <w:rFonts w:ascii="Times New Roman" w:hAnsi="Times New Roman"/>
          <w:b/>
          <w:sz w:val="20"/>
        </w:rPr>
      </w:pPr>
      <w:r>
        <w:rPr>
          <w:rFonts w:ascii="Times New Roman" w:hAnsi="Times New Roman"/>
          <w:b/>
          <w:sz w:val="20"/>
        </w:rPr>
        <w:t xml:space="preserve">5. </w:t>
      </w:r>
      <w:r>
        <w:rPr>
          <w:rFonts w:ascii="Times New Roman" w:hAnsi="Times New Roman"/>
          <w:b/>
          <w:sz w:val="20"/>
          <w:u w:val="single"/>
        </w:rPr>
        <w:t>Termination of Employment</w:t>
      </w:r>
      <w:r>
        <w:rPr>
          <w:rFonts w:ascii="Times New Roman" w:hAnsi="Times New Roman"/>
          <w:b/>
          <w:sz w:val="20"/>
        </w:rPr>
        <w:t xml:space="preserve">. </w:t>
      </w:r>
    </w:p>
    <w:p>
      <w:pPr>
        <w:pStyle w:val="TextBody"/>
        <w:spacing w:before="120" w:after="0"/>
        <w:jc w:val="left"/>
        <w:rPr>
          <w:rFonts w:ascii="Times New Roman" w:hAnsi="Times New Roman"/>
          <w:sz w:val="20"/>
        </w:rPr>
      </w:pPr>
      <w:r>
        <w:rPr>
          <w:rFonts w:ascii="Times New Roman" w:hAnsi="Times New Roman"/>
          <w:b/>
          <w:sz w:val="20"/>
        </w:rPr>
        <w:t>5.1</w:t>
      </w:r>
      <w:r>
        <w:rPr>
          <w:rFonts w:ascii="Times New Roman" w:hAnsi="Times New Roman"/>
          <w:sz w:val="20"/>
        </w:rPr>
        <w:t xml:space="preserve"> </w:t>
      </w:r>
      <w:r>
        <w:rPr>
          <w:rFonts w:ascii="Times New Roman" w:hAnsi="Times New Roman"/>
          <w:b/>
          <w:sz w:val="20"/>
          <w:u w:val="single"/>
        </w:rPr>
        <w:t>Generally</w:t>
      </w:r>
      <w:r>
        <w:rPr>
          <w:rFonts w:ascii="Times New Roman" w:hAnsi="Times New Roman"/>
          <w:sz w:val="20"/>
        </w:rPr>
        <w:t xml:space="preserve">. The Executives employment by the Corporation, and the Term, may be terminated at any time (i) by the Corporation with or without Cause (as defined in Section 5.5), (ii) by the Corporation in the event that the Executive has incurred a Disability (as defined in Section 5.5), (iii) by the Executive for any reason, or (iv) due to the Executives death. The expiration of this Agreement shall not constitute a termination of the Executives employment by the Corporation without Cause or by the Executive for Good Reason. </w:t>
      </w:r>
    </w:p>
    <w:p>
      <w:pPr>
        <w:pStyle w:val="TextBody"/>
        <w:spacing w:before="120" w:after="0"/>
        <w:jc w:val="left"/>
        <w:rPr>
          <w:rFonts w:ascii="Times New Roman" w:hAnsi="Times New Roman"/>
          <w:sz w:val="20"/>
        </w:rPr>
      </w:pPr>
      <w:r>
        <w:rPr>
          <w:rFonts w:ascii="Times New Roman" w:hAnsi="Times New Roman"/>
          <w:b/>
          <w:sz w:val="20"/>
        </w:rPr>
        <w:t>5.2</w:t>
      </w:r>
      <w:r>
        <w:rPr>
          <w:rFonts w:ascii="Times New Roman" w:hAnsi="Times New Roman"/>
          <w:sz w:val="20"/>
        </w:rPr>
        <w:t xml:space="preserve"> </w:t>
      </w:r>
      <w:r>
        <w:rPr>
          <w:rFonts w:ascii="Times New Roman" w:hAnsi="Times New Roman"/>
          <w:b/>
          <w:sz w:val="20"/>
          <w:u w:val="single"/>
        </w:rPr>
        <w:t>Notice of Termination</w:t>
      </w:r>
      <w:r>
        <w:rPr>
          <w:rFonts w:ascii="Times New Roman" w:hAnsi="Times New Roman"/>
          <w:sz w:val="20"/>
        </w:rPr>
        <w:t xml:space="preserve">. Any termination of the Executives employment under this Agreement (other than because of the Executives death) shall be communicated by written notice of termination from the terminating party to the other party, which termination shall be effective (i) no less than thirty (30) days following delivery of such notice in the event of a termination by the Executive for any reason or (ii) immediately in the event of a termination by the Corporation for Cause, subject to any applicable notice and cure provisions set forth in Section 5.5. The notice of termination shall indicate the specific provision(s) of this Agreement relied upon in effecting the termination. The effective date of termination shall be referenced herein as the Separation Date. </w:t>
      </w:r>
    </w:p>
    <w:p>
      <w:pPr>
        <w:pStyle w:val="TextBody"/>
        <w:spacing w:before="240" w:after="0"/>
        <w:jc w:val="left"/>
        <w:rPr>
          <w:rFonts w:ascii="Times New Roman" w:hAnsi="Times New Roman"/>
          <w:sz w:val="20"/>
        </w:rPr>
      </w:pPr>
      <w:r>
        <w:rPr>
          <w:rFonts w:ascii="Times New Roman" w:hAnsi="Times New Roman"/>
          <w:b/>
          <w:sz w:val="20"/>
        </w:rPr>
        <w:t>5.3</w:t>
      </w:r>
      <w:r>
        <w:rPr>
          <w:rFonts w:ascii="Times New Roman" w:hAnsi="Times New Roman"/>
          <w:sz w:val="20"/>
        </w:rPr>
        <w:t xml:space="preserve"> </w:t>
      </w:r>
      <w:r>
        <w:rPr>
          <w:rFonts w:ascii="Times New Roman" w:hAnsi="Times New Roman"/>
          <w:b/>
          <w:sz w:val="20"/>
          <w:u w:val="single"/>
        </w:rPr>
        <w:t>Benefits Upon Termination</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(a) Upon termination of the Executives employment for any reason, the Corporation shall pay (i) on the Corporations first regularly scheduled payroll date following the Separation Date (or earlier if required by applicable law), any Base Salary, PTO, and any other amounts required under applicable law that had accrued or been earned but had not been paid on or before the Separation Date; (ii) any accrued but unpaid Incentive Bonus for a performance period ending on or preceding the Separation Date (payable in accordance with Section 3.2), and (iii) within thirty (30) days following the Separation Date, any reimbursement due to the Executive pursuant to Section 4.2 for expenses incurred by the Executive on or before the Separation Date. If the Executives employment by the Corporation is terminated during the Term by the Corporation for Cause or by the Executive without Good Reason (as defined in Section 5.5), then following the payment of the foregoing, the Corporation shall have no further obligation to make or provide to the Executive, and the Executive shall have no further right to receive or obtain from the Corporation any other payments or benefits.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(b) If, during the Term, the Executives employment is terminated by the Corporation (or its successor or assignee) without Cause, or due to the Executives death or Disability, or by the Executive with Good Reason (an </w:t>
      </w:r>
      <w:r>
        <w:rPr>
          <w:rFonts w:ascii="Times New Roman" w:hAnsi="Times New Roman"/>
          <w:sz w:val="20"/>
          <w:u w:val="single"/>
        </w:rPr>
        <w:t>Involuntary Termination</w:t>
      </w:r>
      <w:r>
        <w:rPr>
          <w:rFonts w:ascii="Times New Roman" w:hAnsi="Times New Roman"/>
          <w:sz w:val="20"/>
        </w:rPr>
        <w:t>), the Corporation shall pay the Executive (or the Executives estate in the case of death) (i) an amount equal to the Executives Base Salary (at the rate in effect on the Separation Date) that the Executive would have received had the Executive remained employed through the 18-month anniversary of the Effective Date (such amount, the </w:t>
      </w:r>
      <w:r>
        <w:rPr>
          <w:rFonts w:ascii="Times New Roman" w:hAnsi="Times New Roman"/>
          <w:sz w:val="20"/>
          <w:u w:val="single"/>
        </w:rPr>
        <w:t>Salary Severance</w:t>
      </w:r>
      <w:r>
        <w:rPr>
          <w:rFonts w:ascii="Times New Roman" w:hAnsi="Times New Roman"/>
          <w:sz w:val="20"/>
        </w:rPr>
        <w:t>), plus (ii) reimbursement of COBRA medical continuation premiums (if the Executive is eligible for, timely elects and pays for such COBRA medical continuation) for the period from the Separation Date until the 18-month anniversary of the Effective Date (such period, the </w:t>
      </w:r>
      <w:r>
        <w:rPr>
          <w:rFonts w:ascii="Times New Roman" w:hAnsi="Times New Roman"/>
          <w:sz w:val="20"/>
          <w:u w:val="single"/>
        </w:rPr>
        <w:t>COBRA Period</w:t>
      </w:r>
      <w:r>
        <w:rPr>
          <w:rFonts w:ascii="Times New Roman" w:hAnsi="Times New Roman"/>
          <w:sz w:val="20"/>
        </w:rPr>
        <w:t>) (collectively, the </w:t>
      </w:r>
      <w:r>
        <w:rPr>
          <w:rFonts w:ascii="Times New Roman" w:hAnsi="Times New Roman"/>
          <w:sz w:val="20"/>
          <w:u w:val="single"/>
        </w:rPr>
        <w:t>Severance Benefit</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the Corporation shall have no obligation to reimburse the Executive for such COBRA premiums if the Corporation determines that reimbursement of such COBRA premiums would reasonably be expected to result in the imposition of excise taxes on the Corporation or any of its affiliates for any failure to comply with the nondiscrimination requirements of the Patient Protection and Affordable Care Act of 2010, as amended, and the Health Care and Education Reconciliation Act of 2010, as amended; and </w:t>
      </w:r>
      <w:r>
        <w:rPr>
          <w:rFonts w:ascii="Times New Roman" w:hAnsi="Times New Roman"/>
          <w:sz w:val="20"/>
          <w:u w:val="single"/>
        </w:rPr>
        <w:t>provided</w:t>
      </w:r>
      <w:r>
        <w:rPr>
          <w:rFonts w:ascii="Times New Roman" w:hAnsi="Times New Roman"/>
          <w:i/>
          <w:sz w:val="20"/>
        </w:rPr>
        <w:t>,</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if any plan pursuant to which such benefits are provided is not, or ceases prior to the expiration of the COBRA Period to be, exempt from the application of Section 409A under Treasury Regulation Section 1.409A-1(a)(5), an amount equal to each remaining Corporation payment shall thereafter be paid to the Executive in substantially equal monthly installments over the continuation coverage period (or the remaining portion thereof). The Corporation shall pay (or provide, as applicable) the Salary Severance to the Executive (or the Executives estate in the case of death) in substantially equal installments during the COBRA Period commencing on the Separation Date in accordance with the Corporations payroll cycle;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amounts that otherwise would be scheduled to be paid during the Release Period (as defined in Section 5.4(a)) shall accrue and shall be paid on the first payroll date following the expiration of the Release Period. </w:t>
      </w:r>
    </w:p>
    <w:p>
      <w:pPr>
        <w:pStyle w:val="TextBody"/>
        <w:spacing w:before="120" w:after="0"/>
        <w:jc w:val="left"/>
        <w:rPr>
          <w:rFonts w:ascii="Times New Roman" w:hAnsi="Times New Roman"/>
          <w:sz w:val="20"/>
        </w:rPr>
      </w:pPr>
      <w:r>
        <w:rPr>
          <w:rFonts w:ascii="Times New Roman" w:hAnsi="Times New Roman"/>
          <w:sz w:val="20"/>
        </w:rPr>
        <w:t xml:space="preserve">(c) The Severance Benefit shall be subject to Section 18. </w:t>
      </w:r>
    </w:p>
    <w:p>
      <w:pPr>
        <w:pStyle w:val="TextBody"/>
        <w:spacing w:before="120" w:after="0"/>
        <w:jc w:val="left"/>
        <w:rPr>
          <w:rFonts w:ascii="Times New Roman" w:hAnsi="Times New Roman"/>
          <w:sz w:val="20"/>
        </w:rPr>
      </w:pPr>
      <w:r>
        <w:rPr>
          <w:rFonts w:ascii="Times New Roman" w:hAnsi="Times New Roman"/>
          <w:sz w:val="20"/>
        </w:rPr>
        <w:t xml:space="preserve">(d) The foregoing provisions of this Section 5.3 shall not affect: (i) payment of the amounts set forth in Section 5.3(a), (ii) the Executives receipt of benefits otherwise due terminated employees under group insurance coverage consistent with the terms of the applicable Corporation welfare benefit plan; (iii) the Executives rights under COBRA to continue participation in medical, dental, hospitalization and such other benefit plans covered by COBRA; or (iv) the Executives receipt of any vested payments or benefits otherwise due in accordance with the terms of an applicable equity compensation plan maintained by the Corporation or Holdings and the Corporations 401(k) plan (if any).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b/>
          <w:sz w:val="20"/>
        </w:rPr>
        <w:t>5.4</w:t>
      </w:r>
      <w:r>
        <w:rPr>
          <w:rFonts w:ascii="Times New Roman" w:hAnsi="Times New Roman"/>
          <w:sz w:val="20"/>
        </w:rPr>
        <w:t xml:space="preserve"> </w:t>
      </w:r>
      <w:r>
        <w:rPr>
          <w:rFonts w:ascii="Times New Roman" w:hAnsi="Times New Roman"/>
          <w:b/>
          <w:sz w:val="20"/>
          <w:u w:val="single"/>
        </w:rPr>
        <w:t>Release; Exclusive Remedy</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(a) As a condition precedent to any Corporation obligation to the Executive pursuant to Section 5.3(b), the Executive shall, upon or within sixty (60) days following termination of employment with the Corporation (such sixty (60)-day period being referred to as the </w:t>
      </w:r>
      <w:r>
        <w:rPr>
          <w:rFonts w:ascii="Times New Roman" w:hAnsi="Times New Roman"/>
          <w:sz w:val="20"/>
          <w:u w:val="single"/>
        </w:rPr>
        <w:t>Release Period</w:t>
      </w:r>
      <w:r>
        <w:rPr>
          <w:rFonts w:ascii="Times New Roman" w:hAnsi="Times New Roman"/>
          <w:sz w:val="20"/>
        </w:rPr>
        <w:t xml:space="preserve">), provide the Corporation with an executed general release in the form attached as </w:t>
      </w:r>
      <w:r>
        <w:rPr>
          <w:rFonts w:ascii="Times New Roman" w:hAnsi="Times New Roman"/>
          <w:sz w:val="20"/>
          <w:u w:val="single"/>
        </w:rPr>
        <w:t>Exhibit A</w:t>
      </w:r>
      <w:r>
        <w:rPr>
          <w:rFonts w:ascii="Times New Roman" w:hAnsi="Times New Roman"/>
          <w:sz w:val="20"/>
        </w:rPr>
        <w:t xml:space="preserve">, and such release shall have not been revoked by the Executive, and shall have become non-revocable, pursuant to, or in accordance with, any revocation rights afforded by applicable law. </w:t>
      </w:r>
    </w:p>
    <w:p>
      <w:pPr>
        <w:pStyle w:val="TextBody"/>
        <w:spacing w:before="120" w:after="0"/>
        <w:jc w:val="left"/>
        <w:rPr>
          <w:rFonts w:ascii="Times New Roman" w:hAnsi="Times New Roman"/>
          <w:sz w:val="20"/>
        </w:rPr>
      </w:pPr>
      <w:r>
        <w:rPr>
          <w:rFonts w:ascii="Times New Roman" w:hAnsi="Times New Roman"/>
          <w:sz w:val="20"/>
        </w:rPr>
        <w:t xml:space="preserve">(b) The Executive agrees that, upon the parties signing and the Executives not revoking </w:t>
      </w:r>
      <w:r>
        <w:rPr>
          <w:rFonts w:ascii="Times New Roman" w:hAnsi="Times New Roman"/>
          <w:sz w:val="20"/>
          <w:u w:val="single"/>
        </w:rPr>
        <w:t>Exhibit A</w:t>
      </w:r>
      <w:r>
        <w:rPr>
          <w:rFonts w:ascii="Times New Roman" w:hAnsi="Times New Roman"/>
          <w:sz w:val="20"/>
        </w:rPr>
        <w:t xml:space="preserve">, the payments and benefits contemplated by Section 5.3 shall constitute the exclusive and sole remedy for any termination of employment during the Term of this Agreement and the Executive covenants not to assert or pursue any other remedies, at law or in equity, with respect to any termination of employment. </w:t>
      </w:r>
    </w:p>
    <w:p>
      <w:pPr>
        <w:pStyle w:val="TextBody"/>
        <w:spacing w:before="240" w:after="0"/>
        <w:jc w:val="left"/>
        <w:rPr>
          <w:rFonts w:ascii="Times New Roman" w:hAnsi="Times New Roman"/>
          <w:sz w:val="20"/>
        </w:rPr>
      </w:pPr>
      <w:r>
        <w:rPr>
          <w:rFonts w:ascii="Times New Roman" w:hAnsi="Times New Roman"/>
          <w:b/>
          <w:sz w:val="20"/>
        </w:rPr>
        <w:t>5.5</w:t>
      </w:r>
      <w:r>
        <w:rPr>
          <w:rFonts w:ascii="Times New Roman" w:hAnsi="Times New Roman"/>
          <w:sz w:val="20"/>
        </w:rPr>
        <w:t xml:space="preserve"> </w:t>
      </w:r>
      <w:r>
        <w:rPr>
          <w:rFonts w:ascii="Times New Roman" w:hAnsi="Times New Roman"/>
          <w:b/>
          <w:sz w:val="20"/>
          <w:u w:val="single"/>
        </w:rPr>
        <w:t>Certain Defined Terms</w:t>
      </w:r>
      <w:r>
        <w:rPr>
          <w:rFonts w:ascii="Times New Roman" w:hAnsi="Times New Roman"/>
          <w:sz w:val="20"/>
        </w:rPr>
        <w:t xml:space="preserve">. The definitions of Cause and Good Reason contained in this Agreement shall govern for purposes of this Agreement. </w:t>
      </w:r>
    </w:p>
    <w:p>
      <w:pPr>
        <w:pStyle w:val="TextBody"/>
        <w:spacing w:before="120" w:after="0"/>
        <w:jc w:val="left"/>
        <w:rPr>
          <w:rFonts w:ascii="Times New Roman" w:hAnsi="Times New Roman"/>
          <w:sz w:val="20"/>
        </w:rPr>
      </w:pPr>
      <w:r>
        <w:rPr>
          <w:rFonts w:ascii="Times New Roman" w:hAnsi="Times New Roman"/>
          <w:sz w:val="20"/>
        </w:rPr>
        <w:t>(a) As used herein, </w:t>
      </w:r>
      <w:r>
        <w:rPr>
          <w:rFonts w:ascii="Times New Roman" w:hAnsi="Times New Roman"/>
          <w:sz w:val="20"/>
          <w:u w:val="single"/>
        </w:rPr>
        <w:t>Cause</w:t>
      </w:r>
      <w:r>
        <w:rPr>
          <w:rFonts w:ascii="Times New Roman" w:hAnsi="Times New Roman"/>
          <w:sz w:val="20"/>
        </w:rPr>
        <w:t xml:space="preserve"> shall mean that one or more of the following has occurred: </w:t>
      </w:r>
    </w:p>
    <w:p>
      <w:pPr>
        <w:pStyle w:val="TextBody"/>
        <w:spacing w:before="120" w:after="0"/>
        <w:jc w:val="left"/>
        <w:rPr>
          <w:rFonts w:ascii="Times New Roman" w:hAnsi="Times New Roman"/>
          <w:sz w:val="20"/>
        </w:rPr>
      </w:pPr>
      <w:r>
        <w:rPr>
          <w:rFonts w:ascii="Times New Roman" w:hAnsi="Times New Roman"/>
          <w:sz w:val="20"/>
        </w:rPr>
        <w:t xml:space="preserve">(i) the Executive has (x) been convicted of, pled guilty or no contest to, or entered into a plea agreement on charges constituting, any felony (under the laws of the United States, any relevant state, or the equivalent of a felony in any international jurisdiction in which the Corporation does business), other than a traffic violation or (y) been convicted of, or pled guilty or no contest to, any misdemeanor crime involving dishonesty or moral turpitude; </w:t>
      </w:r>
    </w:p>
    <w:p>
      <w:pPr>
        <w:pStyle w:val="TextBody"/>
        <w:spacing w:before="120" w:after="0"/>
        <w:jc w:val="left"/>
        <w:rPr>
          <w:rFonts w:ascii="Times New Roman" w:hAnsi="Times New Roman"/>
          <w:sz w:val="20"/>
        </w:rPr>
      </w:pPr>
      <w:r>
        <w:rPr>
          <w:rFonts w:ascii="Times New Roman" w:hAnsi="Times New Roman"/>
          <w:sz w:val="20"/>
        </w:rPr>
        <w:t xml:space="preserve">(ii) the Executive has engaged in any willful misconduct (including any willful violation of federal securities laws), gross neglect of Executives job duties, willful act of dishonesty, violence or threat of violence in the workplace, in each case, that either has materially injured or is reasonably expected to substantially injure the Corporation; </w:t>
      </w:r>
    </w:p>
    <w:p>
      <w:pPr>
        <w:pStyle w:val="TextBody"/>
        <w:spacing w:before="120" w:after="0"/>
        <w:jc w:val="left"/>
        <w:rPr>
          <w:rFonts w:ascii="Times New Roman" w:hAnsi="Times New Roman"/>
          <w:sz w:val="20"/>
        </w:rPr>
      </w:pPr>
      <w:r>
        <w:rPr>
          <w:rFonts w:ascii="Times New Roman" w:hAnsi="Times New Roman"/>
          <w:sz w:val="20"/>
        </w:rPr>
        <w:t xml:space="preserve">(iii) the Executive has willfully breached the written laws of any governmental or regulatory body applicable to the Corporation in each case, that either has materially injured or is reasonably expected to substantially injure the Corporation; </w:t>
      </w:r>
    </w:p>
    <w:p>
      <w:pPr>
        <w:pStyle w:val="TextBody"/>
        <w:spacing w:before="120" w:after="0"/>
        <w:jc w:val="left"/>
        <w:rPr>
          <w:rFonts w:ascii="Times New Roman" w:hAnsi="Times New Roman"/>
          <w:sz w:val="20"/>
        </w:rPr>
      </w:pPr>
      <w:r>
        <w:rPr>
          <w:rFonts w:ascii="Times New Roman" w:hAnsi="Times New Roman"/>
          <w:sz w:val="20"/>
        </w:rPr>
        <w:t xml:space="preserve">(iv) the Executive has (other than any such failure resulting from the Executives Disability or incapacity due to bodily injury or physical or mental illness) willfully failed to comply with lawful material directives of the Board regarding his employment with the Corporation; or </w:t>
      </w:r>
    </w:p>
    <w:p>
      <w:pPr>
        <w:pStyle w:val="TextBody"/>
        <w:spacing w:before="120" w:after="0"/>
        <w:jc w:val="left"/>
        <w:rPr>
          <w:rFonts w:ascii="Times New Roman" w:hAnsi="Times New Roman"/>
          <w:sz w:val="20"/>
        </w:rPr>
      </w:pPr>
      <w:r>
        <w:rPr>
          <w:rFonts w:ascii="Times New Roman" w:hAnsi="Times New Roman"/>
          <w:sz w:val="20"/>
        </w:rPr>
        <w:t xml:space="preserve">(v) the Executive has (other than any such failure resulting from the Executives Disability or incapacity due to bodily injury or physical or mental illness) materially breached this Agreement or any other material contract regarding employment with the Corporation to which the Executive and the Corporation are parties, in each case, that either has substantially injured or is reasonably expected to substantially injure the Corporation;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u w:val="single"/>
        </w:rPr>
        <w:t>provided</w:t>
      </w:r>
      <w:r>
        <w:rPr>
          <w:rFonts w:ascii="Times New Roman" w:hAnsi="Times New Roman"/>
          <w:sz w:val="20"/>
        </w:rPr>
        <w:t xml:space="preserve"> that, with respect to Sections 5.5(a)(ii), 5.5(a)(iii), 5.5(a)(iv), and 5.5(a)(v), and if the event giving rise to the claim of Cause is curable, the Corporation provides written notice to the Executive of the details of the event and the subsection(s) of Section 5.5 to which it pertains, within thirty (30) days of the Corporation learning of the occurrence of such event, that Executive is provided a reasonable opportunity to cure such Cause, and such Cause event remains uncured thirty (30) days after the Corporation has provided such written notice;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any termination by the Corporation of the Executives employment for Cause with respect to Sections 5.5(a)(ii), 5.5(a)(iii), 5.5(a)(iv) or 5.5(a)(v) shall occur no later than thirty (30) days following the expiration of such cure period. In addition, the Corporation may only terminate the Executives employment for Cause if (A) a determination that Cause exists is made and approved by not less than three-quarters of the then sitting members of the Corporations Board (other than the Executive, if the Executive is then a member of the Board, and also other than (i) Douglas Hirsch (if Mr. Hirsch is then a member of the Board) and/or (ii) any other member of the Board designated by Idea Men who is not an independent director under the rules of the applicable stock exchange listing rules applicable to the Corporation), (B) the Executive is given at least ten (10) days written notice of the Board meeting called to make such determination, and (C) the Executive and his legal counsel are given the opportunity to address such meeting. In the event that the Board has so determined in good faith that Cause exists, the Board shall have no obligation to terminate the Executives employment if the Board determines in its sole discretion that such a decision not to terminate the Executives employment is in the best interest of the Corporation. </w:t>
      </w:r>
    </w:p>
    <w:p>
      <w:pPr>
        <w:pStyle w:val="TextBody"/>
        <w:spacing w:before="120" w:after="0"/>
        <w:jc w:val="left"/>
        <w:rPr>
          <w:rFonts w:ascii="Times New Roman" w:hAnsi="Times New Roman"/>
          <w:sz w:val="20"/>
        </w:rPr>
      </w:pPr>
      <w:r>
        <w:rPr>
          <w:rFonts w:ascii="Times New Roman" w:hAnsi="Times New Roman"/>
          <w:sz w:val="20"/>
        </w:rPr>
        <w:t>(b) As used herein, </w:t>
      </w:r>
      <w:r>
        <w:rPr>
          <w:rFonts w:ascii="Times New Roman" w:hAnsi="Times New Roman"/>
          <w:sz w:val="20"/>
          <w:u w:val="single"/>
        </w:rPr>
        <w:t>Disability</w:t>
      </w:r>
      <w:r>
        <w:rPr>
          <w:rFonts w:ascii="Times New Roman" w:hAnsi="Times New Roman"/>
          <w:sz w:val="20"/>
        </w:rPr>
        <w:t xml:space="preserve"> shall mean a disability for which the Executive is deemed qualified for benefits under the Corporations long-term disability plan or, if the Corporation does not maintain a long-term disability plan or the Executive does not apply for such benefits, any medically determinable physical or mental impairment (as determined by a physician designated by the Corporation in good faith) resulting in Executives inability to perform the duties of his position, where such impairment can be expected to result in death or can be expected to last for a continuous period of not less than six months. </w:t>
      </w:r>
    </w:p>
    <w:p>
      <w:pPr>
        <w:pStyle w:val="TextBody"/>
        <w:spacing w:before="120" w:after="0"/>
        <w:jc w:val="left"/>
        <w:rPr>
          <w:rFonts w:ascii="Times New Roman" w:hAnsi="Times New Roman"/>
          <w:sz w:val="20"/>
        </w:rPr>
      </w:pPr>
      <w:r>
        <w:rPr>
          <w:rFonts w:ascii="Times New Roman" w:hAnsi="Times New Roman"/>
          <w:sz w:val="20"/>
        </w:rPr>
        <w:t>(c) As used herein, </w:t>
      </w:r>
      <w:r>
        <w:rPr>
          <w:rFonts w:ascii="Times New Roman" w:hAnsi="Times New Roman"/>
          <w:sz w:val="20"/>
          <w:u w:val="single"/>
        </w:rPr>
        <w:t>Good Reason</w:t>
      </w:r>
      <w:r>
        <w:rPr>
          <w:rFonts w:ascii="Times New Roman" w:hAnsi="Times New Roman"/>
          <w:sz w:val="20"/>
        </w:rPr>
        <w:t xml:space="preserve"> shall mean that one or more of the following has occurred without the Executives prior written consent: </w:t>
      </w:r>
    </w:p>
    <w:p>
      <w:pPr>
        <w:pStyle w:val="TextBody"/>
        <w:spacing w:before="120" w:after="0"/>
        <w:jc w:val="left"/>
        <w:rPr>
          <w:rFonts w:ascii="Times New Roman" w:hAnsi="Times New Roman"/>
          <w:sz w:val="20"/>
        </w:rPr>
      </w:pPr>
      <w:r>
        <w:rPr>
          <w:rFonts w:ascii="Times New Roman" w:hAnsi="Times New Roman"/>
          <w:sz w:val="20"/>
        </w:rPr>
        <w:t xml:space="preserve">(i) a material change in the Executives title other than in connection with a promotion (provided, however, that the Executive continuing in the same role on a divisional or business unit basis following the acquisition of the Corporation by a larger entity shall not be treated as a material change in title), any assignment to the Executive of any additional, material responsibilities or duties, or any change in Executives reporting relationship such that Executive is no longer reporting directly to the Board; </w:t>
      </w:r>
    </w:p>
    <w:p>
      <w:pPr>
        <w:pStyle w:val="TextBody"/>
        <w:spacing w:before="120" w:after="0"/>
        <w:jc w:val="left"/>
        <w:rPr>
          <w:rFonts w:ascii="Times New Roman" w:hAnsi="Times New Roman"/>
          <w:sz w:val="20"/>
        </w:rPr>
      </w:pPr>
      <w:r>
        <w:rPr>
          <w:rFonts w:ascii="Times New Roman" w:hAnsi="Times New Roman"/>
          <w:sz w:val="20"/>
        </w:rPr>
        <w:t xml:space="preserve">(ii) the Corporations material breach of this Agreement; </w:t>
      </w:r>
    </w:p>
    <w:p>
      <w:pPr>
        <w:pStyle w:val="TextBody"/>
        <w:spacing w:before="120" w:after="0"/>
        <w:jc w:val="left"/>
        <w:rPr>
          <w:rFonts w:ascii="Times New Roman" w:hAnsi="Times New Roman"/>
          <w:sz w:val="20"/>
        </w:rPr>
      </w:pPr>
      <w:r>
        <w:rPr>
          <w:rFonts w:ascii="Times New Roman" w:hAnsi="Times New Roman"/>
          <w:sz w:val="20"/>
        </w:rPr>
        <w:t xml:space="preserve">(iii) the Corporations relocation of its principal offices more than ten (10) miles from the prior location or its requiring that Executive relocate more than ten (10) miles from his then-current office location; or </w:t>
      </w:r>
    </w:p>
    <w:p>
      <w:pPr>
        <w:pStyle w:val="TextBody"/>
        <w:spacing w:before="120" w:after="0"/>
        <w:jc w:val="left"/>
        <w:rPr>
          <w:rFonts w:ascii="Times New Roman" w:hAnsi="Times New Roman"/>
          <w:sz w:val="20"/>
        </w:rPr>
      </w:pPr>
      <w:r>
        <w:rPr>
          <w:rFonts w:ascii="Times New Roman" w:hAnsi="Times New Roman"/>
          <w:sz w:val="20"/>
        </w:rPr>
        <w:t xml:space="preserve">(iv) any reduction in the Executives Base Salary or Incentive Bonus other than, for both Base Salary and target Incentive Bonus individually, a one-time reduction of not more than ten percent (10%) that also is applied to substantially all other executive officers of the Corporation;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u w:val="single"/>
        </w:rPr>
        <w:t>provided</w:t>
      </w:r>
      <w:r>
        <w:rPr>
          <w:rFonts w:ascii="Times New Roman" w:hAnsi="Times New Roman"/>
          <w:sz w:val="20"/>
        </w:rPr>
        <w:t xml:space="preserve"> that, in any such case, the Executive provides written notice to the Corporation of the event giving rise to such claim of Good Reason within thirty (30) days after the Executive learns of the occurrence of such event in writing from the Corporation, and such Good Reason event remains uncured thirty (30) days after the Executive has provided such written notice;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any resignation of the Executives employment for Good Reason occurs no later than sixty (60) days following the expiration of such cure period. </w:t>
      </w:r>
    </w:p>
    <w:p>
      <w:pPr>
        <w:pStyle w:val="TextBody"/>
        <w:spacing w:before="120" w:after="0"/>
        <w:jc w:val="left"/>
        <w:rPr>
          <w:rFonts w:ascii="Times New Roman" w:hAnsi="Times New Roman"/>
          <w:sz w:val="20"/>
        </w:rPr>
      </w:pPr>
      <w:r>
        <w:rPr>
          <w:rFonts w:ascii="Times New Roman" w:hAnsi="Times New Roman"/>
          <w:b/>
          <w:sz w:val="20"/>
        </w:rPr>
        <w:t>5.6</w:t>
      </w:r>
      <w:r>
        <w:rPr>
          <w:rFonts w:ascii="Times New Roman" w:hAnsi="Times New Roman"/>
          <w:sz w:val="20"/>
        </w:rPr>
        <w:t xml:space="preserve"> </w:t>
      </w:r>
      <w:r>
        <w:rPr>
          <w:rFonts w:ascii="Times New Roman" w:hAnsi="Times New Roman"/>
          <w:b/>
          <w:sz w:val="20"/>
          <w:u w:val="single"/>
        </w:rPr>
        <w:t>Resignation from Directorships and Officerships</w:t>
      </w:r>
      <w:r>
        <w:rPr>
          <w:rFonts w:ascii="Times New Roman" w:hAnsi="Times New Roman"/>
          <w:sz w:val="20"/>
        </w:rPr>
        <w:t xml:space="preserve">. Unless the parties agree otherwise in writing, and subject to the last sentence of this Section 5.6, the termination of the Executives employment with the Corporation for any reason shall be treated as the Executives resignation from (x) any director, officer or employee position the Executive has with the Corporation, any parent entity (including Holdings) and any of their respective affiliates, and (y) all fiduciary positions (including as a trustee) the Executive holds with respect to any employee benefit plans or trusts established by the Corporation, any parent entity and any other subsidiaries of such parent entity, or any of their respective affiliates. The Executive agrees that this Agreement shall, unless the parties agree otherwise in writing, serve as written notice of such resignation in this circumstance. Furthermore, the Executive agrees to execute any documents evidencing such resignations that the Corporation reasonably requests. Notwithstanding the foregoing, the termination of Executives employment shall not affect any position then-held by the Executive with Idea Men, or any director position the Executive has with the Corporation as a director designee pursuant to the terms of that certain Stockholders Agreement by and between Holdings and certain securityholders of Holdings, dated September 22, 2020. </w:t>
      </w:r>
    </w:p>
    <w:p>
      <w:pPr>
        <w:pStyle w:val="TextBody"/>
        <w:spacing w:before="120" w:after="0"/>
        <w:jc w:val="left"/>
        <w:rPr>
          <w:rFonts w:ascii="Times New Roman" w:hAnsi="Times New Roman"/>
          <w:sz w:val="20"/>
        </w:rPr>
      </w:pPr>
      <w:r>
        <w:rPr>
          <w:rFonts w:ascii="Times New Roman" w:hAnsi="Times New Roman"/>
          <w:b/>
          <w:sz w:val="20"/>
        </w:rPr>
        <w:t>5.7</w:t>
      </w:r>
      <w:r>
        <w:rPr>
          <w:rFonts w:ascii="Times New Roman" w:hAnsi="Times New Roman"/>
          <w:sz w:val="20"/>
        </w:rPr>
        <w:t xml:space="preserve"> </w:t>
      </w:r>
      <w:r>
        <w:rPr>
          <w:rFonts w:ascii="Times New Roman" w:hAnsi="Times New Roman"/>
          <w:b/>
          <w:sz w:val="20"/>
          <w:u w:val="single"/>
        </w:rPr>
        <w:t>280G Implications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(a) Notwithstanding any other provision of this Agreement, in the event that any payment or benefit received or to be received by the Executive (including any payment or benefit received in connection with a termination of the Executives employment, whether pursuant to the terms of this Agreement or any other plan, arrangement or agreement) (all such payments and benefits, including the payments and benefits under Section 5.3, being hereinafter referred to as the </w:t>
      </w:r>
      <w:r>
        <w:rPr>
          <w:rFonts w:ascii="Times New Roman" w:hAnsi="Times New Roman"/>
          <w:sz w:val="20"/>
          <w:u w:val="single"/>
        </w:rPr>
        <w:t>Total Payments</w:t>
      </w:r>
      <w:r>
        <w:rPr>
          <w:rFonts w:ascii="Times New Roman" w:hAnsi="Times New Roman"/>
          <w:sz w:val="20"/>
        </w:rPr>
        <w:t>) would be subject (in whole or part), to the excise tax imposed under Section 4999 of the Code (the </w:t>
      </w:r>
      <w:r>
        <w:rPr>
          <w:rFonts w:ascii="Times New Roman" w:hAnsi="Times New Roman"/>
          <w:sz w:val="20"/>
          <w:u w:val="single"/>
        </w:rPr>
        <w:t>Excise Tax</w:t>
      </w:r>
      <w:r>
        <w:rPr>
          <w:rFonts w:ascii="Times New Roman" w:hAnsi="Times New Roman"/>
          <w:sz w:val="20"/>
        </w:rPr>
        <w:t xml:space="preserve">), then, after taking into account any reduction in the Total Payments provided by reason of Section 280G of the Code in such other plan, arrangement or agreement, the cash severance payments under this Agreement shall first be reduced, and the noncash severance payments hereunder shall thereafter be reduced, to the extent necessary so that no portion of the Total Payments is subject to the Excise Tax but only if (i) the net amount of such Total Payments, as so reduced (and after subtracting the net amount of federal, state and local income taxes on such reduced Total Payments and after taking into account the phase out of itemized deductions and personal exemptions attributable to such reduced Total Payments) is greater than or equal to (ii) the net amount of such Total Payments without such reduction (but after subtracting the net amount of federal, state and local income taxes on such Total Payments and the amount of Excise Tax to which the Executive would be subject in respect of such unreduced Total Payments and after taking into account the phase out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of itemized deductions and personal exemptions attributable to such unreduced Total Payments). In all cases, if there are any reductions to the Total Payments under this paragraph, the reduction shall be performed in a manner which results in the greatest after-tax amount being retained by the Executive and in manner which comports with Section 409A. </w:t>
      </w:r>
    </w:p>
    <w:p>
      <w:pPr>
        <w:pStyle w:val="TextBody"/>
        <w:spacing w:before="120" w:after="0"/>
        <w:jc w:val="left"/>
        <w:rPr>
          <w:rFonts w:ascii="Times New Roman" w:hAnsi="Times New Roman"/>
          <w:sz w:val="20"/>
        </w:rPr>
      </w:pPr>
      <w:r>
        <w:rPr>
          <w:rFonts w:ascii="Times New Roman" w:hAnsi="Times New Roman"/>
          <w:sz w:val="20"/>
        </w:rPr>
        <w:t>(b) For purposes of determining whether and the extent to which the Total Payments will be subject to the Excise Tax, (i) no portion of the Total Payments the receipt or enjoyment of which the Executive shall have waived at such time and in such manner as not to constitute a payment within the meaning of Section 280G(b) of the Code shall be taken into account; (ii) no portion of the Total Payments shall be taken into account which, in the written opinion of an independent, nationally recognized accounting firm (the </w:t>
      </w:r>
      <w:r>
        <w:rPr>
          <w:rFonts w:ascii="Times New Roman" w:hAnsi="Times New Roman"/>
          <w:sz w:val="20"/>
          <w:u w:val="single"/>
        </w:rPr>
        <w:t>Independent Advisors</w:t>
      </w:r>
      <w:r>
        <w:rPr>
          <w:rFonts w:ascii="Times New Roman" w:hAnsi="Times New Roman"/>
          <w:sz w:val="20"/>
        </w:rPr>
        <w:t>) selected by the Corporation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Independent Advisors may not without the Executives written consent be the firm which serves as the auditor for the ultimate parent of the entity acquiring the Corporation) does not constitute a parachute payment within the meaning of Section 280G(b)(2) of the Code (including by reason of Section 280G(b)(4)(A) of the Code) and, in calculating the Excise Tax, no portion of such Total Payments shall be taken into account which, in the opinion of Independent Advisors, constitutes reasonable compensation for services actually rendered, within the meaning of Section 280G(b)(4)(B) of the Code, in excess of the base amount (as defined in Section 280G(b)(3) of the Code) allocable to such reasonable compensation; and (iii) the value of any non-cash benefit or any deferred payment or benefit included in the Total Payments shall be determined by the Independent Advisors in accordance with the principles of Sections 280G(d)(3) and (4) of the Code. </w:t>
      </w:r>
    </w:p>
    <w:p>
      <w:pPr>
        <w:pStyle w:val="TextBody"/>
        <w:spacing w:before="240" w:after="0"/>
        <w:jc w:val="left"/>
        <w:rPr>
          <w:rFonts w:ascii="Times New Roman" w:hAnsi="Times New Roman"/>
          <w:b/>
          <w:sz w:val="20"/>
        </w:rPr>
      </w:pPr>
      <w:r>
        <w:rPr>
          <w:rFonts w:ascii="Times New Roman" w:hAnsi="Times New Roman"/>
          <w:b/>
          <w:sz w:val="20"/>
        </w:rPr>
        <w:t xml:space="preserve">6. </w:t>
      </w:r>
      <w:r>
        <w:rPr>
          <w:rFonts w:ascii="Times New Roman" w:hAnsi="Times New Roman"/>
          <w:b/>
          <w:sz w:val="20"/>
          <w:u w:val="single"/>
        </w:rPr>
        <w:t>Covenants</w:t>
      </w:r>
      <w:r>
        <w:rPr>
          <w:rFonts w:ascii="Times New Roman" w:hAnsi="Times New Roman"/>
          <w:b/>
          <w:sz w:val="20"/>
        </w:rPr>
        <w:t xml:space="preserve">. </w:t>
      </w:r>
    </w:p>
    <w:p>
      <w:pPr>
        <w:pStyle w:val="TextBody"/>
        <w:spacing w:before="120" w:after="0"/>
        <w:jc w:val="left"/>
        <w:rPr>
          <w:rFonts w:ascii="Times New Roman" w:hAnsi="Times New Roman"/>
          <w:sz w:val="20"/>
        </w:rPr>
      </w:pPr>
      <w:r>
        <w:rPr>
          <w:rFonts w:ascii="Times New Roman" w:hAnsi="Times New Roman"/>
          <w:b/>
          <w:sz w:val="20"/>
        </w:rPr>
        <w:t>6.1</w:t>
      </w:r>
      <w:r>
        <w:rPr>
          <w:rFonts w:ascii="Times New Roman" w:hAnsi="Times New Roman"/>
          <w:sz w:val="20"/>
        </w:rPr>
        <w:t xml:space="preserve"> </w:t>
      </w:r>
      <w:r>
        <w:rPr>
          <w:rFonts w:ascii="Times New Roman" w:hAnsi="Times New Roman"/>
          <w:b/>
          <w:sz w:val="20"/>
          <w:u w:val="single"/>
        </w:rPr>
        <w:t>Defense of Claims</w:t>
      </w:r>
      <w:r>
        <w:rPr>
          <w:rFonts w:ascii="Times New Roman" w:hAnsi="Times New Roman"/>
          <w:sz w:val="20"/>
        </w:rPr>
        <w:t xml:space="preserve">. The Executive agrees that, during the Term hereof, and for a period of five (5) years after termination of the Executives employment, upon reasonable notice from the Corporation, the Executive will reasonably cooperate with providing information to the Corporation necessary in the defense of any claims or actions that may be made by or against the Corporation that affect the Executives prior areas of responsibility, except if the Executives interests are adverse to the Corporation in such claim or action. The Corporation agrees that it shall promptly pay or reimburse the reasonable cost of the time of the Executive (at $75 per hour) and any reasonable, out-of-pocket costs and attorneys fees that the Executive actually incurs in connection with the Executive providing such assistance or cooperation to the Corporation, in accordance with the Corporations standard policies and procedures as in effect from time to time, </w:t>
      </w:r>
      <w:r>
        <w:rPr>
          <w:rFonts w:ascii="Times New Roman" w:hAnsi="Times New Roman"/>
          <w:sz w:val="20"/>
          <w:u w:val="single"/>
        </w:rPr>
        <w:t>provided</w:t>
      </w:r>
      <w:r>
        <w:rPr>
          <w:rFonts w:ascii="Times New Roman" w:hAnsi="Times New Roman"/>
          <w:sz w:val="20"/>
        </w:rPr>
        <w:t xml:space="preserve"> that the Executive shall have obtained prior written approval from the Corporation for any travel costs incurred by the Executive in connection with the Executives obligations under this Section 6. </w:t>
      </w:r>
    </w:p>
    <w:p>
      <w:pPr>
        <w:pStyle w:val="TextBody"/>
        <w:spacing w:before="240" w:after="0"/>
        <w:jc w:val="left"/>
        <w:rPr>
          <w:rFonts w:ascii="Times New Roman" w:hAnsi="Times New Roman"/>
          <w:sz w:val="20"/>
        </w:rPr>
      </w:pPr>
      <w:r>
        <w:rPr>
          <w:rFonts w:ascii="Times New Roman" w:hAnsi="Times New Roman"/>
          <w:b/>
          <w:sz w:val="20"/>
        </w:rPr>
        <w:t>6.2</w:t>
      </w:r>
      <w:r>
        <w:rPr>
          <w:rFonts w:ascii="Times New Roman" w:hAnsi="Times New Roman"/>
          <w:sz w:val="20"/>
        </w:rPr>
        <w:t xml:space="preserve"> </w:t>
      </w:r>
      <w:r>
        <w:rPr>
          <w:rFonts w:ascii="Times New Roman" w:hAnsi="Times New Roman"/>
          <w:sz w:val="20"/>
          <w:u w:val="single"/>
        </w:rPr>
        <w:t>[Reserved.]</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b/>
          <w:sz w:val="20"/>
        </w:rPr>
        <w:t>6.3</w:t>
      </w:r>
      <w:r>
        <w:rPr>
          <w:rFonts w:ascii="Times New Roman" w:hAnsi="Times New Roman"/>
          <w:sz w:val="20"/>
        </w:rPr>
        <w:t xml:space="preserve"> </w:t>
      </w:r>
      <w:r>
        <w:rPr>
          <w:rFonts w:ascii="Times New Roman" w:hAnsi="Times New Roman"/>
          <w:b/>
          <w:sz w:val="20"/>
          <w:u w:val="single"/>
        </w:rPr>
        <w:t>Certain Transfer Restrictions</w:t>
      </w:r>
      <w:r>
        <w:rPr>
          <w:rFonts w:ascii="Times New Roman" w:hAnsi="Times New Roman"/>
          <w:sz w:val="20"/>
        </w:rPr>
        <w:t>. The Executive agrees that, prior to the earlier of the 18-month anniversary of the Effective Date and the termination of the Executives employment with the Corporation (such earlier date, the </w:t>
      </w:r>
      <w:r>
        <w:rPr>
          <w:rFonts w:ascii="Times New Roman" w:hAnsi="Times New Roman"/>
          <w:sz w:val="20"/>
          <w:u w:val="single"/>
        </w:rPr>
        <w:t>Rule 10b5-1 Date</w:t>
      </w:r>
      <w:r>
        <w:rPr>
          <w:rFonts w:ascii="Times New Roman" w:hAnsi="Times New Roman"/>
          <w:sz w:val="20"/>
        </w:rPr>
        <w:t xml:space="preserve">), the Executive shall not, without the approval of the Board, sell, lend, offer, pledge, contract to sell, sell any option or contract to purchase, purchase any option or contract to sell, grant any option, right or warrant to purchase, or otherwise transfer or dispose of, directly or indirectly, any securities of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Holdings, except pursuant to (i) any new, modified or amended contract, instruction or written plan intended to satisfy the affirmative defense conditions of Rule 10b5-1(c)(1) under the Exchange Act (as defined in Section 19) (such a contract, instruction or written plan, a </w:t>
      </w:r>
      <w:r>
        <w:rPr>
          <w:rFonts w:ascii="Times New Roman" w:hAnsi="Times New Roman"/>
          <w:sz w:val="20"/>
          <w:u w:val="single"/>
        </w:rPr>
        <w:t>Rule 10b5-1 Plan</w:t>
      </w:r>
      <w:r>
        <w:rPr>
          <w:rFonts w:ascii="Times New Roman" w:hAnsi="Times New Roman"/>
          <w:sz w:val="20"/>
        </w:rPr>
        <w:t xml:space="preserve">) that has been approved by the Board on or after the Effective Date, (ii) any existing Rule 10b5-1 Plan entered into prior to the Effective Date, assuming such plan is not subsequently modified or amended except as has been approved by the Board, (iii) transfers pursuant to a tender offer, merger, consolidation or other similar transaction that is approved by the Board , (iv) a transfer pursuant to a will, other testamentary document or intestacy, (v) a transfer by operation of law, such as pursuant to a qualified domestic order, divorce settlement, divorce decree or separation agreement, (vi) a transfer to an estate planning vehicle or entity or to any other entity or vehicle that is an affiliate of Executive, subject in each case to the last sentence of this Section 6.3, (vii) a bona fide gift, or (viii) a transfer to Holdings or to any subsidiary thereof. If any securities of Holdings beneficially owned by the Executive as of or subsequent to the date hereof are transferred to an estate planning vehicle or entity or any other entity or vehicle that is an affiliate of the Executive prior to the Rule 10b5-1 Date, then such shares shall continue to be subject to all of the terms and conditions set forth in this Section 6.3. </w:t>
      </w:r>
    </w:p>
    <w:p>
      <w:pPr>
        <w:pStyle w:val="TextBody"/>
        <w:spacing w:before="120" w:after="0"/>
        <w:jc w:val="left"/>
        <w:rPr>
          <w:rFonts w:ascii="Times New Roman" w:hAnsi="Times New Roman"/>
          <w:sz w:val="20"/>
        </w:rPr>
      </w:pPr>
      <w:r>
        <w:rPr>
          <w:rFonts w:ascii="Times New Roman" w:hAnsi="Times New Roman"/>
          <w:b/>
          <w:sz w:val="20"/>
        </w:rPr>
        <w:t>7.</w:t>
      </w:r>
      <w:r>
        <w:rPr>
          <w:rFonts w:ascii="Times New Roman" w:hAnsi="Times New Roman"/>
          <w:sz w:val="20"/>
        </w:rPr>
        <w:t xml:space="preserve"> </w:t>
      </w:r>
      <w:r>
        <w:rPr>
          <w:rFonts w:ascii="Times New Roman" w:hAnsi="Times New Roman"/>
          <w:b/>
          <w:sz w:val="20"/>
          <w:u w:val="single"/>
        </w:rPr>
        <w:t>Source of Payments</w:t>
      </w:r>
      <w:r>
        <w:rPr>
          <w:rFonts w:ascii="Times New Roman" w:hAnsi="Times New Roman"/>
          <w:sz w:val="20"/>
        </w:rPr>
        <w:t xml:space="preserve">. All payments provided under this Agreement, other than payments made pursuant to a plan which provides otherwise, shall be paid in cash from the general funds of the Corporation, and no special or separate fund shall be established, and no other segregation of assets shall be made, to assure payment. The Executive shall have no right, title or interest whatsoever in or to any investments which the Corporation may make to aid the Corporation in meeting its obligations hereunder. Any payments provided under this Agreement shall be treated as amounts owed to an unsecured creditor of the Corporation. </w:t>
      </w:r>
    </w:p>
    <w:p>
      <w:pPr>
        <w:pStyle w:val="TextBody"/>
        <w:spacing w:before="120" w:after="0"/>
        <w:jc w:val="left"/>
        <w:rPr>
          <w:rFonts w:ascii="Times New Roman" w:hAnsi="Times New Roman"/>
          <w:sz w:val="20"/>
        </w:rPr>
      </w:pPr>
      <w:r>
        <w:rPr>
          <w:rFonts w:ascii="Times New Roman" w:hAnsi="Times New Roman"/>
          <w:b/>
          <w:sz w:val="20"/>
        </w:rPr>
        <w:t>8.</w:t>
      </w:r>
      <w:r>
        <w:rPr>
          <w:rFonts w:ascii="Times New Roman" w:hAnsi="Times New Roman"/>
          <w:sz w:val="20"/>
        </w:rPr>
        <w:t xml:space="preserve"> </w:t>
      </w:r>
      <w:r>
        <w:rPr>
          <w:rFonts w:ascii="Times New Roman" w:hAnsi="Times New Roman"/>
          <w:b/>
          <w:sz w:val="20"/>
          <w:u w:val="single"/>
        </w:rPr>
        <w:t>Withholding</w:t>
      </w:r>
      <w:r>
        <w:rPr>
          <w:rFonts w:ascii="Times New Roman" w:hAnsi="Times New Roman"/>
          <w:sz w:val="20"/>
        </w:rPr>
        <w:t xml:space="preserve">. Notwithstanding anything else herein to the contrary, the Corporation and its affiliates may withhold (or cause there to be withheld, as the case may be) from any amounts otherwise due or payable under or pursuant to this Agreement such federal, state and local income, employment, or other taxes or other amounts as may be required to be withheld pursuant to any applicable law or regulation. </w:t>
      </w:r>
    </w:p>
    <w:p>
      <w:pPr>
        <w:pStyle w:val="TextBody"/>
        <w:spacing w:before="120" w:after="0"/>
        <w:jc w:val="left"/>
        <w:rPr>
          <w:rFonts w:ascii="Times New Roman" w:hAnsi="Times New Roman"/>
          <w:b/>
          <w:sz w:val="20"/>
        </w:rPr>
      </w:pPr>
      <w:r>
        <w:rPr>
          <w:rFonts w:ascii="Times New Roman" w:hAnsi="Times New Roman"/>
          <w:b/>
          <w:sz w:val="20"/>
        </w:rPr>
        <w:t xml:space="preserve">9. </w:t>
      </w:r>
      <w:r>
        <w:rPr>
          <w:rFonts w:ascii="Times New Roman" w:hAnsi="Times New Roman"/>
          <w:b/>
          <w:sz w:val="20"/>
          <w:u w:val="single"/>
        </w:rPr>
        <w:t>Assignment; Binding Effect</w:t>
      </w:r>
      <w:r>
        <w:rPr>
          <w:rFonts w:ascii="Times New Roman" w:hAnsi="Times New Roman"/>
          <w:b/>
          <w:sz w:val="20"/>
        </w:rPr>
        <w:t xml:space="preserve">. </w:t>
      </w:r>
    </w:p>
    <w:p>
      <w:pPr>
        <w:pStyle w:val="TextBody"/>
        <w:spacing w:before="120" w:after="0"/>
        <w:jc w:val="left"/>
        <w:rPr>
          <w:rFonts w:ascii="Times New Roman" w:hAnsi="Times New Roman"/>
          <w:sz w:val="20"/>
        </w:rPr>
      </w:pPr>
      <w:r>
        <w:rPr>
          <w:rFonts w:ascii="Times New Roman" w:hAnsi="Times New Roman"/>
          <w:b/>
          <w:sz w:val="20"/>
        </w:rPr>
        <w:t>9.1</w:t>
      </w:r>
      <w:r>
        <w:rPr>
          <w:rFonts w:ascii="Times New Roman" w:hAnsi="Times New Roman"/>
          <w:sz w:val="20"/>
        </w:rPr>
        <w:t xml:space="preserve"> </w:t>
      </w:r>
      <w:r>
        <w:rPr>
          <w:rFonts w:ascii="Times New Roman" w:hAnsi="Times New Roman"/>
          <w:b/>
          <w:sz w:val="20"/>
          <w:u w:val="single"/>
        </w:rPr>
        <w:t>By the Executive</w:t>
      </w:r>
      <w:r>
        <w:rPr>
          <w:rFonts w:ascii="Times New Roman" w:hAnsi="Times New Roman"/>
          <w:sz w:val="20"/>
        </w:rPr>
        <w:t xml:space="preserve">. This Agreement and any and all rights, duties, obligations or interests hereunder shall not be assignable or delegable by the Executive. </w:t>
      </w:r>
    </w:p>
    <w:p>
      <w:pPr>
        <w:pStyle w:val="TextBody"/>
        <w:spacing w:before="120" w:after="0"/>
        <w:jc w:val="left"/>
        <w:rPr>
          <w:rFonts w:ascii="Times New Roman" w:hAnsi="Times New Roman"/>
          <w:sz w:val="20"/>
        </w:rPr>
      </w:pPr>
      <w:r>
        <w:rPr>
          <w:rFonts w:ascii="Times New Roman" w:hAnsi="Times New Roman"/>
          <w:b/>
          <w:sz w:val="20"/>
        </w:rPr>
        <w:t>9.2</w:t>
      </w:r>
      <w:r>
        <w:rPr>
          <w:rFonts w:ascii="Times New Roman" w:hAnsi="Times New Roman"/>
          <w:sz w:val="20"/>
        </w:rPr>
        <w:t xml:space="preserve"> </w:t>
      </w:r>
      <w:r>
        <w:rPr>
          <w:rFonts w:ascii="Times New Roman" w:hAnsi="Times New Roman"/>
          <w:b/>
          <w:sz w:val="20"/>
          <w:u w:val="single"/>
        </w:rPr>
        <w:t>By the Corporation</w:t>
      </w:r>
      <w:r>
        <w:rPr>
          <w:rFonts w:ascii="Times New Roman" w:hAnsi="Times New Roman"/>
          <w:sz w:val="20"/>
        </w:rPr>
        <w:t xml:space="preserve">. This Agreement and all of the Corporations rights and obligations hereunder shall not be assignable by the Corporation except as incident to a reorganization, merger or consolidation, or transfer of all or substantially all of the Corporations assets; provided that the assignee in such reorganization, merger, consolidation or transfer assumes all of the Corporations obligations hereunder. </w:t>
      </w:r>
    </w:p>
    <w:p>
      <w:pPr>
        <w:pStyle w:val="TextBody"/>
        <w:spacing w:before="120" w:after="0"/>
        <w:jc w:val="left"/>
        <w:rPr>
          <w:rFonts w:ascii="Times New Roman" w:hAnsi="Times New Roman"/>
          <w:sz w:val="20"/>
        </w:rPr>
      </w:pPr>
      <w:r>
        <w:rPr>
          <w:rFonts w:ascii="Times New Roman" w:hAnsi="Times New Roman"/>
          <w:b/>
          <w:sz w:val="20"/>
        </w:rPr>
        <w:t>9.3</w:t>
      </w:r>
      <w:r>
        <w:rPr>
          <w:rFonts w:ascii="Times New Roman" w:hAnsi="Times New Roman"/>
          <w:sz w:val="20"/>
        </w:rPr>
        <w:t xml:space="preserve"> </w:t>
      </w:r>
      <w:r>
        <w:rPr>
          <w:rFonts w:ascii="Times New Roman" w:hAnsi="Times New Roman"/>
          <w:b/>
          <w:sz w:val="20"/>
          <w:u w:val="single"/>
        </w:rPr>
        <w:t>Binding Effect</w:t>
      </w:r>
      <w:r>
        <w:rPr>
          <w:rFonts w:ascii="Times New Roman" w:hAnsi="Times New Roman"/>
          <w:sz w:val="20"/>
        </w:rPr>
        <w:t xml:space="preserve">. This Agreement shall be binding upon, and inure to the benefit of, the parties hereto, any successors to or assigns of the Corporation and the Executives heirs and the personal representatives of the Executives estate.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b/>
          <w:sz w:val="20"/>
        </w:rPr>
        <w:t>10.</w:t>
      </w:r>
      <w:r>
        <w:rPr>
          <w:rFonts w:ascii="Times New Roman" w:hAnsi="Times New Roman"/>
          <w:sz w:val="20"/>
        </w:rPr>
        <w:t xml:space="preserve"> </w:t>
      </w:r>
      <w:r>
        <w:rPr>
          <w:rFonts w:ascii="Times New Roman" w:hAnsi="Times New Roman"/>
          <w:b/>
          <w:sz w:val="20"/>
          <w:u w:val="single"/>
        </w:rPr>
        <w:t>Number and Gender</w:t>
      </w:r>
      <w:r>
        <w:rPr>
          <w:rFonts w:ascii="Times New Roman" w:hAnsi="Times New Roman"/>
          <w:sz w:val="20"/>
        </w:rPr>
        <w:t xml:space="preserve">. Where the context requires, the singular shall include the plural, the plural shall include the singular, and any gender shall include all other genders. </w:t>
      </w:r>
    </w:p>
    <w:p>
      <w:pPr>
        <w:pStyle w:val="TextBody"/>
        <w:spacing w:before="120" w:after="0"/>
        <w:jc w:val="left"/>
        <w:rPr>
          <w:rFonts w:ascii="Times New Roman" w:hAnsi="Times New Roman"/>
          <w:sz w:val="20"/>
        </w:rPr>
      </w:pPr>
      <w:r>
        <w:rPr>
          <w:rFonts w:ascii="Times New Roman" w:hAnsi="Times New Roman"/>
          <w:b/>
          <w:sz w:val="20"/>
        </w:rPr>
        <w:t>11.</w:t>
      </w:r>
      <w:r>
        <w:rPr>
          <w:rFonts w:ascii="Times New Roman" w:hAnsi="Times New Roman"/>
          <w:sz w:val="20"/>
        </w:rPr>
        <w:t xml:space="preserve"> </w:t>
      </w:r>
      <w:r>
        <w:rPr>
          <w:rFonts w:ascii="Times New Roman" w:hAnsi="Times New Roman"/>
          <w:b/>
          <w:sz w:val="20"/>
          <w:u w:val="single"/>
        </w:rPr>
        <w:t>Section</w:t>
      </w:r>
      <w:r>
        <w:rPr>
          <w:rFonts w:ascii="Times New Roman" w:hAnsi="Times New Roman"/>
          <w:sz w:val="20"/>
          <w:u w:val="single"/>
        </w:rPr>
        <w:t> </w:t>
      </w:r>
      <w:r>
        <w:rPr>
          <w:rFonts w:ascii="Times New Roman" w:hAnsi="Times New Roman"/>
          <w:b/>
          <w:sz w:val="20"/>
          <w:u w:val="single"/>
        </w:rPr>
        <w:t>Headings</w:t>
      </w:r>
      <w:r>
        <w:rPr>
          <w:rFonts w:ascii="Times New Roman" w:hAnsi="Times New Roman"/>
          <w:sz w:val="20"/>
        </w:rPr>
        <w:t xml:space="preserve">. The section headings of, and titles of paragraphs and subparagraphs contained in, this Agreement are for the purpose of convenience only, and they neither form a part of this Agreement nor are they to be used in the construction or interpretation thereof. </w:t>
      </w:r>
    </w:p>
    <w:p>
      <w:pPr>
        <w:pStyle w:val="TextBody"/>
        <w:spacing w:before="120" w:after="0"/>
        <w:jc w:val="left"/>
        <w:rPr>
          <w:rFonts w:ascii="Times New Roman" w:hAnsi="Times New Roman"/>
          <w:sz w:val="20"/>
        </w:rPr>
      </w:pPr>
      <w:r>
        <w:rPr>
          <w:rFonts w:ascii="Times New Roman" w:hAnsi="Times New Roman"/>
          <w:b/>
          <w:sz w:val="20"/>
        </w:rPr>
        <w:t>12.</w:t>
      </w:r>
      <w:r>
        <w:rPr>
          <w:rFonts w:ascii="Times New Roman" w:hAnsi="Times New Roman"/>
          <w:sz w:val="20"/>
        </w:rPr>
        <w:t xml:space="preserve"> </w:t>
      </w:r>
      <w:r>
        <w:rPr>
          <w:rFonts w:ascii="Times New Roman" w:hAnsi="Times New Roman"/>
          <w:b/>
          <w:sz w:val="20"/>
          <w:u w:val="single"/>
        </w:rPr>
        <w:t>Governing Law</w:t>
      </w:r>
      <w:r>
        <w:rPr>
          <w:rFonts w:ascii="Times New Roman" w:hAnsi="Times New Roman"/>
          <w:sz w:val="20"/>
        </w:rPr>
        <w:t xml:space="preserve">. This Agreement, and all questions relating to its validity, interpretation, performance and enforcement, as well as the legal relations hereby created between the parties hereto, shall be governed by and construed under, and interpreted and enforced in accordance with, the laws of the State of California and adjudicated within Los Angeles, California. </w:t>
      </w:r>
    </w:p>
    <w:p>
      <w:pPr>
        <w:pStyle w:val="TextBody"/>
        <w:spacing w:before="120" w:after="0"/>
        <w:jc w:val="left"/>
        <w:rPr>
          <w:rFonts w:ascii="Times New Roman" w:hAnsi="Times New Roman"/>
          <w:sz w:val="20"/>
        </w:rPr>
      </w:pPr>
      <w:r>
        <w:rPr>
          <w:rFonts w:ascii="Times New Roman" w:hAnsi="Times New Roman"/>
          <w:b/>
          <w:sz w:val="20"/>
        </w:rPr>
        <w:t>13.</w:t>
      </w:r>
      <w:r>
        <w:rPr>
          <w:rFonts w:ascii="Times New Roman" w:hAnsi="Times New Roman"/>
          <w:sz w:val="20"/>
        </w:rPr>
        <w:t xml:space="preserve"> </w:t>
      </w:r>
      <w:r>
        <w:rPr>
          <w:rFonts w:ascii="Times New Roman" w:hAnsi="Times New Roman"/>
          <w:b/>
          <w:sz w:val="20"/>
          <w:u w:val="single"/>
        </w:rPr>
        <w:t>Survival of Certain Provisions</w:t>
      </w:r>
      <w:r>
        <w:rPr>
          <w:rFonts w:ascii="Times New Roman" w:hAnsi="Times New Roman"/>
          <w:sz w:val="20"/>
        </w:rPr>
        <w:t xml:space="preserve">. Sections 1.3, 1.4, 3.2, 5, 6.1, 6.3, 8, 9, 12, 14, 15, 16, 17, 18, 20 and 23 shall survive any termination of this Agreement. Sections 1.3, 1.4, 3.2, 5.3(a), 6.1, 8, 9, 12, 14, 15, 16, 17, 18, 20 and 23 of this Agreement shall survive the expiration of this Agreement. </w:t>
      </w:r>
    </w:p>
    <w:p>
      <w:pPr>
        <w:pStyle w:val="TextBody"/>
        <w:spacing w:before="120" w:after="0"/>
        <w:jc w:val="left"/>
        <w:rPr>
          <w:rFonts w:ascii="Times New Roman" w:hAnsi="Times New Roman"/>
          <w:sz w:val="20"/>
        </w:rPr>
      </w:pPr>
      <w:r>
        <w:rPr>
          <w:rFonts w:ascii="Times New Roman" w:hAnsi="Times New Roman"/>
          <w:b/>
          <w:sz w:val="20"/>
        </w:rPr>
        <w:t>14.</w:t>
      </w:r>
      <w:r>
        <w:rPr>
          <w:rFonts w:ascii="Times New Roman" w:hAnsi="Times New Roman"/>
          <w:sz w:val="20"/>
        </w:rPr>
        <w:t xml:space="preserve"> </w:t>
      </w:r>
      <w:r>
        <w:rPr>
          <w:rFonts w:ascii="Times New Roman" w:hAnsi="Times New Roman"/>
          <w:b/>
          <w:sz w:val="20"/>
          <w:u w:val="single"/>
        </w:rPr>
        <w:t>Entire Agreement</w:t>
      </w:r>
      <w:r>
        <w:rPr>
          <w:rFonts w:ascii="Times New Roman" w:hAnsi="Times New Roman"/>
          <w:sz w:val="20"/>
        </w:rPr>
        <w:t xml:space="preserve">. This Agreement (together with the exhibits attached hereto and the PIIA) embodies the entire agreement of the parties hereto respecting the matters within its scope. As of the Effective Date, this Agreement (together with the exhibits attached hereto) supersedes all prior and contemporaneous agreements of the parties hereto that directly or indirectly bear upon the subject matter hereof (including the Prior Employment Agreement), and any prior negotiations, correspondence, agreements, proposals or understandings relating to the subject matter hereof shall be deemed to be of no force or effect, and the parties to any such other negotiations, commitments, agreements or writings shall have no further rights or obligations thereunder. As of the Effective Date, the Prior Employment Agreement shall terminate and be of no further force or effect. There are no representations, warranties, or agreements, whether express or implied, or oral or written, with respect to the subject matter hereof, except as expressly set forth herein. </w:t>
      </w:r>
    </w:p>
    <w:p>
      <w:pPr>
        <w:pStyle w:val="TextBody"/>
        <w:spacing w:before="120" w:after="0"/>
        <w:jc w:val="left"/>
        <w:rPr>
          <w:rFonts w:ascii="Times New Roman" w:hAnsi="Times New Roman"/>
          <w:sz w:val="20"/>
        </w:rPr>
      </w:pPr>
      <w:r>
        <w:rPr>
          <w:rFonts w:ascii="Times New Roman" w:hAnsi="Times New Roman"/>
          <w:b/>
          <w:sz w:val="20"/>
        </w:rPr>
        <w:t>15.</w:t>
      </w:r>
      <w:r>
        <w:rPr>
          <w:rFonts w:ascii="Times New Roman" w:hAnsi="Times New Roman"/>
          <w:sz w:val="20"/>
        </w:rPr>
        <w:t xml:space="preserve"> </w:t>
      </w:r>
      <w:r>
        <w:rPr>
          <w:rFonts w:ascii="Times New Roman" w:hAnsi="Times New Roman"/>
          <w:b/>
          <w:sz w:val="20"/>
          <w:u w:val="single"/>
        </w:rPr>
        <w:t>Modifications, Waivers</w:t>
      </w:r>
      <w:r>
        <w:rPr>
          <w:rFonts w:ascii="Times New Roman" w:hAnsi="Times New Roman"/>
          <w:sz w:val="20"/>
        </w:rPr>
        <w:t xml:space="preserve">. This Agreement may not be waived, amended, modified or changed (in whole or in part), except by an instrument in writing signed by both parties hereto. The waiver by either party of compliance with any provision of this Agreement by the other party shall not operate or be construed as a waiver of any other provision of this Agreement, or of any subsequent breach by such party of a provision of this Agreement. </w:t>
      </w:r>
    </w:p>
    <w:p>
      <w:pPr>
        <w:pStyle w:val="TextBody"/>
        <w:spacing w:before="120" w:after="0"/>
        <w:jc w:val="left"/>
        <w:rPr>
          <w:rFonts w:ascii="Times New Roman" w:hAnsi="Times New Roman"/>
          <w:sz w:val="20"/>
        </w:rPr>
      </w:pPr>
      <w:r>
        <w:rPr>
          <w:rFonts w:ascii="Times New Roman" w:hAnsi="Times New Roman"/>
          <w:b/>
          <w:sz w:val="20"/>
        </w:rPr>
        <w:t>16.</w:t>
      </w:r>
      <w:r>
        <w:rPr>
          <w:rFonts w:ascii="Times New Roman" w:hAnsi="Times New Roman"/>
          <w:sz w:val="20"/>
        </w:rPr>
        <w:t xml:space="preserve"> </w:t>
      </w:r>
      <w:r>
        <w:rPr>
          <w:rFonts w:ascii="Times New Roman" w:hAnsi="Times New Roman"/>
          <w:b/>
          <w:sz w:val="20"/>
          <w:u w:val="single"/>
        </w:rPr>
        <w:t>Arbitration</w:t>
      </w:r>
      <w:r>
        <w:rPr>
          <w:rFonts w:ascii="Times New Roman" w:hAnsi="Times New Roman"/>
          <w:sz w:val="20"/>
        </w:rPr>
        <w:t xml:space="preserve">. The parties hereto agree that to the extent permitted by law, any dispute or controversy arising out of, relating to, or in connection with this Agreement, or the interpretation, validity, construction, performance, breach, or termination thereof, or the Executives employment by the Corporation or any termination thereof, will be settled by arbitration to be held at a location in Los Angeles, California in accordance with then applicable rules of the American Arbitration Association specifically designed for the resolution of employment disputes, which are available at </w:t>
      </w:r>
      <w:r>
        <w:rPr>
          <w:rFonts w:ascii="Times New Roman" w:hAnsi="Times New Roman"/>
          <w:sz w:val="20"/>
          <w:u w:val="single"/>
        </w:rPr>
        <w:t>https://www.adr.org/sites/default/files/employment_arbitration_rules_and_mediation_procedures_0.pdf</w:t>
      </w:r>
      <w:r>
        <w:rPr>
          <w:rFonts w:ascii="Times New Roman" w:hAnsi="Times New Roman"/>
          <w:sz w:val="20"/>
        </w:rPr>
        <w:t xml:space="preserve">. The arbitrator may grant injunctions or other relief in such dispute or controversy. The decision of the arbitrator will be final, conclusive and binding on the parties to the arbitration. Judgment may be entered on the arbitrators decision in any court having jurisdiction. The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Corporation shall pay the costs associated with arbitration (arbitration fee and location fee, if any);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each party shall bear its own legal fees and expenses. THE EXECUTIVE AND THE CORPORATION UNDERSTAND THAT BY AGREEING TO ARBITRATE ANY ARBITRATION CLAIM, THEY WILL NOT HAVE THE RIGHT TO HAVE ANY ARBITRATION CLAIM DECIDED BY A JURY OR A COURT, BUT SHALL INSTEAD HAVE ANY ARBITRATION CLAIM DECIDED THROUGH ARBITRATION. THE EXECUTIVE AND THE CORPORATION WAIVE ANY CONSTITUTIONAL OR OTHER RIGHT TO BRING CLAIMS COVERED BY THIS AGREEMENT OTHER THAN IN THEIR INDIVIDUAL CAPACITIES. EXCEPT AS MAY BE PROHIBITED BY LAW, THIS WAIVER INCLUDES THE ABILITY TO ASSERT CLAIMS AS A PLAINTIFF OR CLASS MEMBER IN ANY PURPORTED CLASS OR REPRESENTATIVE PROCEEDING. </w:t>
      </w:r>
    </w:p>
    <w:p>
      <w:pPr>
        <w:pStyle w:val="TextBody"/>
        <w:spacing w:before="240" w:after="0"/>
        <w:jc w:val="left"/>
        <w:rPr>
          <w:rFonts w:ascii="Times New Roman" w:hAnsi="Times New Roman"/>
          <w:sz w:val="20"/>
        </w:rPr>
      </w:pPr>
      <w:r>
        <w:rPr>
          <w:rFonts w:ascii="Times New Roman" w:hAnsi="Times New Roman"/>
          <w:b/>
          <w:sz w:val="20"/>
        </w:rPr>
        <w:t>17.</w:t>
      </w:r>
      <w:r>
        <w:rPr>
          <w:rFonts w:ascii="Times New Roman" w:hAnsi="Times New Roman"/>
          <w:sz w:val="20"/>
        </w:rPr>
        <w:t xml:space="preserve"> </w:t>
      </w:r>
      <w:r>
        <w:rPr>
          <w:rFonts w:ascii="Times New Roman" w:hAnsi="Times New Roman"/>
          <w:b/>
          <w:sz w:val="20"/>
          <w:u w:val="single"/>
        </w:rPr>
        <w:t>Notices</w:t>
      </w:r>
      <w:r>
        <w:rPr>
          <w:rFonts w:ascii="Times New Roman" w:hAnsi="Times New Roman"/>
          <w:sz w:val="20"/>
        </w:rPr>
        <w:t xml:space="preserve">. All notices, requests, demands and other communications required or permitted under this Agreement shall be in writing (including in electronic formats) and shall be deemed to have been duly given and made if (i) on delivery if delivered by hand, (ii) one (1) business day after if sent to an email address of record </w:t>
      </w:r>
      <w:r>
        <w:rPr>
          <w:rFonts w:ascii="Times New Roman" w:hAnsi="Times New Roman"/>
          <w:sz w:val="20"/>
          <w:u w:val="single"/>
        </w:rPr>
        <w:t>provided</w:t>
      </w:r>
      <w:r>
        <w:rPr>
          <w:rFonts w:ascii="Times New Roman" w:hAnsi="Times New Roman"/>
          <w:sz w:val="20"/>
        </w:rPr>
        <w:t xml:space="preserve"> receipt is confirmed, or (iii) three business days after sent by registered or certified mail, postage prepaid, return receipt requested. Any notice shall be duly addressed to the parties as follows: </w:t>
      </w:r>
    </w:p>
    <w:p>
      <w:pPr>
        <w:pStyle w:val="TextBody"/>
        <w:spacing w:before="240" w:after="0"/>
        <w:jc w:val="left"/>
        <w:rPr>
          <w:rFonts w:ascii="Times New Roman" w:hAnsi="Times New Roman"/>
          <w:sz w:val="20"/>
        </w:rPr>
      </w:pPr>
      <w:r>
        <w:rPr>
          <w:rFonts w:ascii="Times New Roman" w:hAnsi="Times New Roman"/>
          <w:sz w:val="20"/>
        </w:rPr>
        <w:t xml:space="preserve">if to the Corporation: </w:t>
      </w:r>
    </w:p>
    <w:p>
      <w:pPr>
        <w:pStyle w:val="TextBody"/>
        <w:spacing w:before="240" w:after="0"/>
        <w:jc w:val="left"/>
        <w:rPr>
          <w:rFonts w:ascii="Times New Roman" w:hAnsi="Times New Roman"/>
          <w:sz w:val="20"/>
        </w:rPr>
      </w:pPr>
      <w:r>
        <w:rPr>
          <w:rFonts w:ascii="Times New Roman" w:hAnsi="Times New Roman"/>
          <w:sz w:val="20"/>
        </w:rPr>
        <w:t xml:space="preserve">GoodRx, Inc. </w:t>
      </w:r>
    </w:p>
    <w:p>
      <w:pPr>
        <w:pStyle w:val="TextBody"/>
        <w:spacing w:before="0" w:after="0"/>
        <w:jc w:val="left"/>
        <w:rPr>
          <w:rFonts w:ascii="Times New Roman" w:hAnsi="Times New Roman"/>
          <w:sz w:val="20"/>
        </w:rPr>
      </w:pPr>
      <w:r>
        <w:rPr>
          <w:rFonts w:ascii="Times New Roman" w:hAnsi="Times New Roman"/>
          <w:sz w:val="20"/>
        </w:rPr>
        <w:t xml:space="preserve">2701 Olympic Boulevard </w:t>
      </w:r>
    </w:p>
    <w:p>
      <w:pPr>
        <w:pStyle w:val="TextBody"/>
        <w:spacing w:before="0" w:after="0"/>
        <w:jc w:val="left"/>
        <w:rPr>
          <w:rFonts w:ascii="Times New Roman" w:hAnsi="Times New Roman"/>
          <w:sz w:val="20"/>
        </w:rPr>
      </w:pPr>
      <w:r>
        <w:rPr>
          <w:rFonts w:ascii="Times New Roman" w:hAnsi="Times New Roman"/>
          <w:sz w:val="20"/>
        </w:rPr>
        <w:t xml:space="preserve">Santa Monica, CA 90404 </w:t>
      </w:r>
    </w:p>
    <w:p>
      <w:pPr>
        <w:pStyle w:val="TextBody"/>
        <w:spacing w:before="0" w:after="0"/>
        <w:jc w:val="left"/>
        <w:rPr>
          <w:rFonts w:ascii="Times New Roman" w:hAnsi="Times New Roman"/>
          <w:sz w:val="20"/>
        </w:rPr>
      </w:pPr>
      <w:r>
        <w:rPr>
          <w:rFonts w:ascii="Times New Roman" w:hAnsi="Times New Roman"/>
          <w:sz w:val="20"/>
        </w:rPr>
        <w:t xml:space="preserve">Attention: Chief Financial Officer or General Counsel </w:t>
      </w:r>
    </w:p>
    <w:p>
      <w:pPr>
        <w:pStyle w:val="TextBody"/>
        <w:spacing w:before="240" w:after="0"/>
        <w:jc w:val="left"/>
        <w:rPr>
          <w:rFonts w:ascii="Times New Roman" w:hAnsi="Times New Roman"/>
          <w:sz w:val="20"/>
        </w:rPr>
      </w:pPr>
      <w:r>
        <w:rPr>
          <w:rFonts w:ascii="Times New Roman" w:hAnsi="Times New Roman"/>
          <w:sz w:val="20"/>
        </w:rPr>
        <w:t xml:space="preserve">if to the Executive, to the address (or e-mail address) most recently on file in the personnel records of the Corporation. </w:t>
      </w:r>
    </w:p>
    <w:p>
      <w:pPr>
        <w:pStyle w:val="TextBody"/>
        <w:spacing w:before="240" w:after="0"/>
        <w:jc w:val="left"/>
        <w:rPr>
          <w:rFonts w:ascii="Times New Roman" w:hAnsi="Times New Roman"/>
          <w:b/>
          <w:sz w:val="20"/>
        </w:rPr>
      </w:pPr>
      <w:r>
        <w:rPr>
          <w:rFonts w:ascii="Times New Roman" w:hAnsi="Times New Roman"/>
          <w:b/>
          <w:sz w:val="20"/>
        </w:rPr>
        <w:t xml:space="preserve">18. </w:t>
      </w:r>
      <w:r>
        <w:rPr>
          <w:rFonts w:ascii="Times New Roman" w:hAnsi="Times New Roman"/>
          <w:b/>
          <w:sz w:val="20"/>
          <w:u w:val="single"/>
        </w:rPr>
        <w:t>Code Section 409A</w:t>
      </w:r>
      <w:r>
        <w:rPr>
          <w:rFonts w:ascii="Times New Roman" w:hAnsi="Times New Roman"/>
          <w:b/>
          <w:sz w:val="20"/>
        </w:rPr>
        <w:t xml:space="preserve">. </w:t>
      </w:r>
    </w:p>
    <w:p>
      <w:pPr>
        <w:pStyle w:val="TextBody"/>
        <w:spacing w:before="120" w:after="0"/>
        <w:jc w:val="left"/>
        <w:rPr>
          <w:rFonts w:ascii="Times New Roman" w:hAnsi="Times New Roman"/>
          <w:sz w:val="20"/>
        </w:rPr>
      </w:pPr>
      <w:r>
        <w:rPr>
          <w:rFonts w:ascii="Times New Roman" w:hAnsi="Times New Roman"/>
          <w:sz w:val="20"/>
        </w:rPr>
        <w:t>This Agreement is intended to meet the requirements of Section 409A of the Code, and shall be interpreted and construed consistent with that intent. Each payment provided hereunder, whether part of the Severance Benefit or otherwise, is intended to be a separate payment for purposes of Section 409A of the Code, including Treasury Regulation 1.409A-2(b)(2). All payments of nonqualified deferred compensation subject to Section 409A to be made upon a termination of employment under this Agreement may only be made upon the Executives separation from service (within the meaning of Section 409A of the Code) (a </w:t>
      </w:r>
      <w:r>
        <w:rPr>
          <w:rFonts w:ascii="Times New Roman" w:hAnsi="Times New Roman"/>
          <w:sz w:val="20"/>
          <w:u w:val="single"/>
        </w:rPr>
        <w:t>Separation from Service</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Notwithstanding anything to the contrary in this Agreement, no compensation or benefits, including without limitation any severance payments or benefits payable under Section 5.3, shall be paid to the Executive during the six-month period following the Executives Separation from Service if the Corporation determines that paying such amounts at the time or times indicated in this Agreement would be a prohibited distribution under Section 409A(a)(2)(B)(i) of the Code. If the payment of any such amounts is delayed as a result of the previous sentence, then on the first day of the seventh month following the date of Separation from Service (or such earlier date upon which such amount can be paid under Section 409A without resulting in a prohibited distribution, including as a result of the Executives death), the Corporation shall pay the Executive a lump-sum amount equal to the cumulative amount that would have otherwise been payable to the Executive during such period.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To the extent that any payments or reimbursements provided to the Executive under this Agreement are deemed to constitute compensation to the Executive to which Treasury Regulation Section 1.409A-3(i)(1)(iv) would apply, such amounts shall be made on or before the last day of the calendar year following the calendar year in which the relevant expense or benefit is incurred. The amount of expenses or benefits eligible for reimbursement, payment or provision during a calendar year shall not affect the expenses or benefits eligible for reimbursement, payment or provision in any other calendar year. </w:t>
      </w:r>
    </w:p>
    <w:p>
      <w:pPr>
        <w:pStyle w:val="TextBody"/>
        <w:spacing w:before="120" w:after="0"/>
        <w:jc w:val="left"/>
        <w:rPr>
          <w:rFonts w:ascii="Times New Roman" w:hAnsi="Times New Roman"/>
          <w:sz w:val="20"/>
        </w:rPr>
      </w:pPr>
      <w:r>
        <w:rPr>
          <w:rFonts w:ascii="Times New Roman" w:hAnsi="Times New Roman"/>
          <w:b/>
          <w:sz w:val="20"/>
        </w:rPr>
        <w:t>19.</w:t>
      </w:r>
      <w:r>
        <w:rPr>
          <w:rFonts w:ascii="Times New Roman" w:hAnsi="Times New Roman"/>
          <w:sz w:val="20"/>
        </w:rPr>
        <w:t xml:space="preserve"> </w:t>
      </w:r>
      <w:r>
        <w:rPr>
          <w:rFonts w:ascii="Times New Roman" w:hAnsi="Times New Roman"/>
          <w:b/>
          <w:sz w:val="20"/>
          <w:u w:val="single"/>
        </w:rPr>
        <w:t>Sarbanes-Oxley Act of 2002</w:t>
      </w:r>
      <w:r>
        <w:rPr>
          <w:rFonts w:ascii="Times New Roman" w:hAnsi="Times New Roman"/>
          <w:sz w:val="20"/>
        </w:rPr>
        <w:t>. Notwithstanding anything herein to the contrary, if the Corporation determines, in its good faith judgment, that any transfer or deemed transfer of funds hereunder is likely to be construed as a personal loan prohibited by Section 13(k) of the Securities Exchange Act of 1934, as amended, and the rules and regulations promulgated thereunder (the </w:t>
      </w:r>
      <w:r>
        <w:rPr>
          <w:rFonts w:ascii="Times New Roman" w:hAnsi="Times New Roman"/>
          <w:sz w:val="20"/>
          <w:u w:val="single"/>
        </w:rPr>
        <w:t>Exchange Act</w:t>
      </w:r>
      <w:r>
        <w:rPr>
          <w:rFonts w:ascii="Times New Roman" w:hAnsi="Times New Roman"/>
          <w:sz w:val="20"/>
        </w:rPr>
        <w:t xml:space="preserve">), then such transfer or deemed transfer shall be provided to the Executive as compensation (and not as a loan) to the Executive (and as such shall be subject to tax withholding obligations). </w:t>
      </w:r>
    </w:p>
    <w:p>
      <w:pPr>
        <w:pStyle w:val="TextBody"/>
        <w:spacing w:before="120" w:after="0"/>
        <w:jc w:val="left"/>
        <w:rPr>
          <w:rFonts w:ascii="Times New Roman" w:hAnsi="Times New Roman"/>
          <w:sz w:val="20"/>
        </w:rPr>
      </w:pPr>
      <w:r>
        <w:rPr>
          <w:rFonts w:ascii="Times New Roman" w:hAnsi="Times New Roman"/>
          <w:b/>
          <w:sz w:val="20"/>
        </w:rPr>
        <w:t>20.</w:t>
      </w:r>
      <w:r>
        <w:rPr>
          <w:rFonts w:ascii="Times New Roman" w:hAnsi="Times New Roman"/>
          <w:sz w:val="20"/>
        </w:rPr>
        <w:t xml:space="preserve"> </w:t>
      </w:r>
      <w:r>
        <w:rPr>
          <w:rFonts w:ascii="Times New Roman" w:hAnsi="Times New Roman"/>
          <w:b/>
          <w:sz w:val="20"/>
          <w:u w:val="single"/>
        </w:rPr>
        <w:t>Exceptions</w:t>
      </w:r>
      <w:r>
        <w:rPr>
          <w:rFonts w:ascii="Times New Roman" w:hAnsi="Times New Roman"/>
          <w:sz w:val="20"/>
        </w:rPr>
        <w:t>. Notwithstanding anything in this Agreement to the contrary, nothing contained in this Agreement shall prohibit either party (or either partys attorney(s)) from (i) filing a charge with, reporting possible violations of federal law or regulation to, participating in any investigation by, or cooperating with the U.S. Securities and Exchange Commission, the Financial Industry Regulatory Authority, the Equal Employment Opportunity Commission, the National Labor Relations Board, the Occupational Safety and Health Administration, the U.S. Commodity Futures Trading Commission, the U.S. Department of Justice or any other securities regulatory agency, self-regulatory authority or federal, state or local regulatory authority (collectively, </w:t>
      </w:r>
      <w:r>
        <w:rPr>
          <w:rFonts w:ascii="Times New Roman" w:hAnsi="Times New Roman"/>
          <w:sz w:val="20"/>
          <w:u w:val="single"/>
        </w:rPr>
        <w:t>Government Agencies</w:t>
      </w:r>
      <w:r>
        <w:rPr>
          <w:rFonts w:ascii="Times New Roman" w:hAnsi="Times New Roman"/>
          <w:sz w:val="20"/>
        </w:rPr>
        <w:t xml:space="preserve">), or making other disclosures that are protected under the whistleblower provisions of applicable law or regulation, (ii) communicating directly with, cooperating with, or providing information (including trade secrets) in confidence to any Government Agencies for the purpose of reporting or investigating a suspected violation of law, or from providing such information to such partys attorney(s) or in a sealed complaint or other document filed in a lawsuit or other governmental proceeding, (iii) exercising any rights the Executive may have under Section 7 of the U.S. National Labor Relations Act, such as the right to engage in concerted activity, including collective action or discussion concerning wages or working conditions and/or (iv) receiving an award for information provided to any Government Agency. Pursuant to 18 USC Section 1833(b), the Executive will not be held criminally or civilly liable under any federal or state trade secret law for the disclosure of a trade secret that is made: (x) in confidence to a federal, state, or local government official, either directly or indirectly, or to an attorney, and solely for the purpose of reporting or investigating a suspected violation of law; or (y) in a complaint or other document filed in a lawsuit or other proceeding, if such filing is made under seal. Further, nothing in this Agreement is intended to or shall preclude either party from providing truthful testimony in response to a valid subpoena, court order, regulatory request or other judicial, administrative or legal process or otherwise as required by law. If the Executive is required to provide testimony, then unless otherwise directed or requested by a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Government Agency or law enforcement, the Executive shall notify the Corporation as soon as reasonably practicable after receiving any such request of the anticipated testimony. Nothing in this Agreement prevents the Executive from discussing or disclosing information about unlawful acts in the workplace, such as harassment or discrimination or any other conduct that the Executive has reason to believe is unlawful. </w:t>
      </w:r>
    </w:p>
    <w:p>
      <w:pPr>
        <w:pStyle w:val="TextBody"/>
        <w:spacing w:before="240" w:after="0"/>
        <w:jc w:val="left"/>
        <w:rPr>
          <w:rFonts w:ascii="Times New Roman" w:hAnsi="Times New Roman"/>
          <w:sz w:val="20"/>
        </w:rPr>
      </w:pPr>
      <w:r>
        <w:rPr>
          <w:rFonts w:ascii="Times New Roman" w:hAnsi="Times New Roman"/>
          <w:b/>
          <w:sz w:val="20"/>
        </w:rPr>
        <w:t>21.</w:t>
      </w:r>
      <w:r>
        <w:rPr>
          <w:rFonts w:ascii="Times New Roman" w:hAnsi="Times New Roman"/>
          <w:sz w:val="20"/>
        </w:rPr>
        <w:t xml:space="preserve"> </w:t>
      </w:r>
      <w:r>
        <w:rPr>
          <w:rFonts w:ascii="Times New Roman" w:hAnsi="Times New Roman"/>
          <w:b/>
          <w:sz w:val="20"/>
          <w:u w:val="single"/>
        </w:rPr>
        <w:t>Counterparts</w:t>
      </w:r>
      <w:r>
        <w:rPr>
          <w:rFonts w:ascii="Times New Roman" w:hAnsi="Times New Roman"/>
          <w:sz w:val="20"/>
        </w:rPr>
        <w:t xml:space="preserve">. This Agreement may be executed in any number of counterparts, each of which shall be deemed an original as against any party whose signature appears thereon, and all of which together shall constitute one and the same instrument. This Agreement shall become binding when one or more counterparts hereof, individually or taken together, shall bear the signatures of all of the parties reflected hereon as the signatories. </w:t>
      </w:r>
    </w:p>
    <w:p>
      <w:pPr>
        <w:pStyle w:val="TextBody"/>
        <w:spacing w:before="240" w:after="0"/>
        <w:jc w:val="left"/>
        <w:rPr>
          <w:rFonts w:ascii="Times New Roman" w:hAnsi="Times New Roman"/>
          <w:sz w:val="20"/>
        </w:rPr>
      </w:pPr>
      <w:r>
        <w:rPr>
          <w:rFonts w:ascii="Times New Roman" w:hAnsi="Times New Roman"/>
          <w:b/>
          <w:sz w:val="20"/>
        </w:rPr>
        <w:t>22.</w:t>
      </w:r>
      <w:r>
        <w:rPr>
          <w:rFonts w:ascii="Times New Roman" w:hAnsi="Times New Roman"/>
          <w:sz w:val="20"/>
        </w:rPr>
        <w:t xml:space="preserve"> </w:t>
      </w:r>
      <w:r>
        <w:rPr>
          <w:rFonts w:ascii="Times New Roman" w:hAnsi="Times New Roman"/>
          <w:b/>
          <w:sz w:val="20"/>
          <w:u w:val="single"/>
        </w:rPr>
        <w:t>Legal Counsel</w:t>
      </w:r>
      <w:r>
        <w:rPr>
          <w:rFonts w:ascii="Times New Roman" w:hAnsi="Times New Roman"/>
          <w:sz w:val="20"/>
        </w:rPr>
        <w:t xml:space="preserve">. Each party recognizes that this is a legally binding contract and acknowledges and agrees that they have had the opportunity to consult with legal counsel of their choice. The Executive agrees and acknowledges that he has read and understands this Agreement, is entering into it freely and voluntarily, and has been advised to seek counsel prior to entering into this Agreement and has had ample opportunity to do so. This Agreement has resulted from negotiations and discussions between the parties and no one party shall be treated as drafting this Agreement for purposes of interpreting any provision hereof. The Corporation shall reimburse the Executive for reasonable, documented legal fees incurred in drafting and negotiating the terms of this Agreement in an aggregate amount not to exceed $15,000. </w:t>
      </w:r>
    </w:p>
    <w:p>
      <w:pPr>
        <w:pStyle w:val="TextBody"/>
        <w:spacing w:before="240" w:after="0"/>
        <w:jc w:val="left"/>
        <w:rPr>
          <w:rFonts w:ascii="Times New Roman" w:hAnsi="Times New Roman"/>
          <w:sz w:val="20"/>
        </w:rPr>
      </w:pPr>
      <w:r>
        <w:rPr>
          <w:rFonts w:ascii="Times New Roman" w:hAnsi="Times New Roman"/>
          <w:b/>
          <w:sz w:val="20"/>
        </w:rPr>
        <w:t>23.</w:t>
      </w:r>
      <w:r>
        <w:rPr>
          <w:rFonts w:ascii="Times New Roman" w:hAnsi="Times New Roman"/>
          <w:sz w:val="20"/>
        </w:rPr>
        <w:t xml:space="preserve"> </w:t>
      </w:r>
      <w:r>
        <w:rPr>
          <w:rFonts w:ascii="Times New Roman" w:hAnsi="Times New Roman"/>
          <w:b/>
          <w:sz w:val="20"/>
          <w:u w:val="single"/>
        </w:rPr>
        <w:t>Clawback</w:t>
      </w:r>
      <w:r>
        <w:rPr>
          <w:rFonts w:ascii="Times New Roman" w:hAnsi="Times New Roman"/>
          <w:sz w:val="20"/>
        </w:rPr>
        <w:t xml:space="preserve">. The compensation payable hereunder may be subject to (i) any clawback or recoupment policy of the Corporation or Holdings required in order to comply with applicable law, including the Dodd-Frank Wall Street Reform and Consumer Protection Act and any rules or regulations promulgated thereunder and (ii) any clawback or recoupment policy of the Corporation or Holdings approved by the Board which applies to the senior executives of the Corporation. The Corporation and the Executive acknowledge that this Section 23 is not intended to limit any clawback and/or disgorgement of such compensation pursuant to Section 304 of the Sarbanes-Oxley Act of 2002. </w:t>
      </w:r>
    </w:p>
    <w:p>
      <w:pPr>
        <w:pStyle w:val="TextBody"/>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The remainder of this page has intentionally been left blank</w:t>
      </w:r>
      <w:r>
        <w:rPr>
          <w:rFonts w:ascii="Times New Roman" w:hAnsi="Times New Roman"/>
          <w:sz w:val="20"/>
        </w:rPr>
        <w:t xml:space="preserv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the Corporation and the Executive have executed this Agreement as of the date set forth above. </w:t>
      </w:r>
    </w:p>
    <w:p>
      <w:pPr>
        <w:pStyle w:val="TextBody"/>
        <w:spacing w:before="0" w:after="0"/>
        <w:jc w:val="left"/>
        <w:rPr/>
      </w:pPr>
      <w:r>
        <w:rPr/>
        <w:t> </w:t>
      </w:r>
    </w:p>
    <w:tbl>
      <w:tblPr>
        <w:tblW w:w="2000" w:type="pct"/>
        <w:jc w:val="right"/>
        <w:tblInd w:w="0" w:type="dxa"/>
        <w:tblCellMar>
          <w:top w:w="0" w:type="dxa"/>
          <w:left w:w="0" w:type="dxa"/>
          <w:bottom w:w="0" w:type="dxa"/>
          <w:right w:w="0" w:type="dxa"/>
        </w:tblCellMar>
      </w:tblPr>
      <w:tblGrid>
        <w:gridCol w:w="686"/>
        <w:gridCol w:w="60"/>
        <w:gridCol w:w="3336"/>
      </w:tblGrid>
      <w:tr>
        <w:trPr/>
        <w:tc>
          <w:tcPr>
            <w:tcW w:w="68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336"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pPr>
            <w:r>
              <w:rPr/>
              <w:t></w:t>
            </w:r>
            <w:r>
              <w:rPr>
                <w:b/>
              </w:rPr>
              <w:t>CORPORATION</w:t>
            </w:r>
            <w:r>
              <w:rPr/>
              <w:t></w:t>
            </w:r>
          </w:p>
        </w:tc>
      </w:tr>
      <w:tr>
        <w:trPr>
          <w:trHeight w:val="240" w:hRule="atLeast"/>
        </w:trPr>
        <w:tc>
          <w:tcPr>
            <w:tcW w:w="686" w:type="dxa"/>
            <w:tcBorders/>
            <w:shd w:fill="auto" w:val="clear"/>
            <w:vAlign w:val="center"/>
          </w:tcPr>
          <w:p>
            <w:pPr>
              <w:pStyle w:val="TableContents"/>
              <w:spacing w:before="0" w:after="283"/>
              <w:rPr>
                <w:sz w:val="4"/>
                <w:szCs w:val="4"/>
              </w:rPr>
            </w:pPr>
            <w:r>
              <w:rPr>
                <w:sz w:val="4"/>
                <w:szCs w:val="4"/>
              </w:rPr>
            </w:r>
          </w:p>
        </w:tc>
        <w:tc>
          <w:tcPr>
            <w:tcW w:w="3396" w:type="dxa"/>
            <w:gridSpan w:val="2"/>
            <w:tcBorders/>
            <w:shd w:fill="auto" w:val="clear"/>
            <w:vAlign w:val="center"/>
          </w:tcPr>
          <w:p>
            <w:pPr>
              <w:pStyle w:val="TableContents"/>
              <w:spacing w:before="0" w:after="283"/>
              <w:rPr>
                <w:sz w:val="4"/>
                <w:szCs w:val="4"/>
              </w:rPr>
            </w:pPr>
            <w:r>
              <w:rPr>
                <w:sz w:val="4"/>
                <w:szCs w:val="4"/>
              </w:rPr>
            </w:r>
          </w:p>
        </w:tc>
      </w:tr>
      <w:tr>
        <w:trPr/>
        <w:tc>
          <w:tcPr>
            <w:tcW w:w="686" w:type="dxa"/>
            <w:tcBorders/>
            <w:shd w:fill="auto" w:val="clear"/>
          </w:tcPr>
          <w:p>
            <w:pPr>
              <w:pStyle w:val="TableContents"/>
              <w:spacing w:before="0" w:after="283"/>
              <w:rPr/>
            </w:pPr>
            <w:r>
              <w:rPr/>
              <w:t>By:</w:t>
            </w:r>
          </w:p>
        </w:tc>
        <w:tc>
          <w:tcPr>
            <w:tcW w:w="60" w:type="dxa"/>
            <w:tcBorders/>
            <w:shd w:fill="auto" w:val="clear"/>
            <w:vAlign w:val="bottom"/>
          </w:tcPr>
          <w:p>
            <w:pPr>
              <w:pStyle w:val="TableContents"/>
              <w:spacing w:before="0" w:after="283"/>
              <w:rPr/>
            </w:pPr>
            <w:r>
              <w:rPr/>
              <w:t> </w:t>
            </w:r>
          </w:p>
        </w:tc>
        <w:tc>
          <w:tcPr>
            <w:tcW w:w="3336" w:type="dxa"/>
            <w:tcBorders/>
            <w:shd w:fill="auto" w:val="clear"/>
          </w:tcPr>
          <w:p>
            <w:pPr>
              <w:pStyle w:val="TableContents"/>
              <w:pBdr>
                <w:bottom w:val="single" w:sz="2" w:space="1" w:color="000000"/>
              </w:pBdr>
              <w:spacing w:before="0" w:after="20"/>
              <w:rPr>
                <w:rFonts w:ascii="Times New Roman" w:hAnsi="Times New Roman"/>
                <w:sz w:val="20"/>
              </w:rPr>
            </w:pPr>
            <w:r>
              <w:rPr>
                <w:rFonts w:ascii="Times New Roman" w:hAnsi="Times New Roman"/>
                <w:sz w:val="20"/>
              </w:rPr>
              <w:t>/s/ Gracye Cheng</w:t>
            </w:r>
          </w:p>
        </w:tc>
      </w:tr>
      <w:tr>
        <w:trPr/>
        <w:tc>
          <w:tcPr>
            <w:tcW w:w="686" w:type="dxa"/>
            <w:tcBorders/>
            <w:shd w:fill="auto" w:val="clear"/>
          </w:tcPr>
          <w:p>
            <w:pPr>
              <w:pStyle w:val="TableContents"/>
              <w:spacing w:before="0" w:after="283"/>
              <w:rPr/>
            </w:pPr>
            <w:r>
              <w:rPr/>
              <w:t>Name:</w:t>
            </w:r>
          </w:p>
        </w:tc>
        <w:tc>
          <w:tcPr>
            <w:tcW w:w="60" w:type="dxa"/>
            <w:tcBorders/>
            <w:shd w:fill="auto" w:val="clear"/>
            <w:vAlign w:val="bottom"/>
          </w:tcPr>
          <w:p>
            <w:pPr>
              <w:pStyle w:val="TableContents"/>
              <w:spacing w:before="0" w:after="283"/>
              <w:rPr/>
            </w:pPr>
            <w:r>
              <w:rPr/>
              <w:t> </w:t>
            </w:r>
          </w:p>
        </w:tc>
        <w:tc>
          <w:tcPr>
            <w:tcW w:w="3336" w:type="dxa"/>
            <w:tcBorders/>
            <w:shd w:fill="auto" w:val="clear"/>
          </w:tcPr>
          <w:p>
            <w:pPr>
              <w:pStyle w:val="TableContents"/>
              <w:spacing w:before="0" w:after="283"/>
              <w:rPr/>
            </w:pPr>
            <w:r>
              <w:rPr/>
              <w:t>Gracye Cheng</w:t>
            </w:r>
          </w:p>
        </w:tc>
      </w:tr>
      <w:tr>
        <w:trPr/>
        <w:tc>
          <w:tcPr>
            <w:tcW w:w="686" w:type="dxa"/>
            <w:tcBorders/>
            <w:shd w:fill="auto" w:val="clear"/>
          </w:tcPr>
          <w:p>
            <w:pPr>
              <w:pStyle w:val="TableContents"/>
              <w:spacing w:before="0" w:after="283"/>
              <w:rPr/>
            </w:pPr>
            <w:r>
              <w:rPr/>
              <w:t>Title:</w:t>
            </w:r>
          </w:p>
        </w:tc>
        <w:tc>
          <w:tcPr>
            <w:tcW w:w="60" w:type="dxa"/>
            <w:tcBorders/>
            <w:shd w:fill="auto" w:val="clear"/>
            <w:vAlign w:val="bottom"/>
          </w:tcPr>
          <w:p>
            <w:pPr>
              <w:pStyle w:val="TableContents"/>
              <w:spacing w:before="0" w:after="283"/>
              <w:rPr/>
            </w:pPr>
            <w:r>
              <w:rPr/>
              <w:t> </w:t>
            </w:r>
          </w:p>
        </w:tc>
        <w:tc>
          <w:tcPr>
            <w:tcW w:w="3336" w:type="dxa"/>
            <w:tcBorders/>
            <w:shd w:fill="auto" w:val="clear"/>
          </w:tcPr>
          <w:p>
            <w:pPr>
              <w:pStyle w:val="TableContents"/>
              <w:spacing w:before="0" w:after="283"/>
              <w:rPr/>
            </w:pPr>
            <w:r>
              <w:rPr/>
              <w:t>Secretary</w:t>
            </w:r>
          </w:p>
        </w:tc>
      </w:tr>
    </w:tbl>
    <w:p>
      <w:pPr>
        <w:pStyle w:val="TextBody"/>
        <w:spacing w:before="0" w:after="0"/>
        <w:jc w:val="left"/>
        <w:rPr/>
      </w:pPr>
      <w:r>
        <w:rPr/>
        <w:t> </w:t>
      </w:r>
    </w:p>
    <w:tbl>
      <w:tblPr>
        <w:tblW w:w="2000" w:type="pct"/>
        <w:jc w:val="right"/>
        <w:tblInd w:w="0" w:type="dxa"/>
        <w:tblCellMar>
          <w:top w:w="0" w:type="dxa"/>
          <w:left w:w="0" w:type="dxa"/>
          <w:bottom w:w="0" w:type="dxa"/>
          <w:right w:w="0" w:type="dxa"/>
        </w:tblCellMar>
      </w:tblPr>
      <w:tblGrid>
        <w:gridCol w:w="4082"/>
      </w:tblGrid>
      <w:tr>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tcPr>
          <w:p>
            <w:pPr>
              <w:pStyle w:val="TableContents"/>
              <w:spacing w:before="0" w:after="283"/>
              <w:rPr/>
            </w:pPr>
            <w:r>
              <w:rPr/>
              <w:t></w:t>
            </w:r>
            <w:r>
              <w:rPr>
                <w:b/>
              </w:rPr>
              <w:t>EXECUTIVE</w:t>
            </w:r>
            <w:r>
              <w:rPr/>
              <w:t></w:t>
            </w:r>
          </w:p>
        </w:tc>
      </w:tr>
      <w:tr>
        <w:trPr>
          <w:trHeight w:val="240" w:hRule="atLeast"/>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tcPr>
          <w:p>
            <w:pPr>
              <w:pStyle w:val="TableContents"/>
              <w:pBdr>
                <w:bottom w:val="single" w:sz="2" w:space="1" w:color="000000"/>
              </w:pBdr>
              <w:spacing w:before="0" w:after="20"/>
              <w:rPr>
                <w:rFonts w:ascii="Times New Roman" w:hAnsi="Times New Roman"/>
                <w:sz w:val="20"/>
              </w:rPr>
            </w:pPr>
            <w:r>
              <w:rPr>
                <w:rFonts w:ascii="Times New Roman" w:hAnsi="Times New Roman"/>
                <w:sz w:val="20"/>
              </w:rPr>
              <w:t>/s/ Trevor Bezdek</w:t>
            </w:r>
          </w:p>
        </w:tc>
      </w:tr>
      <w:tr>
        <w:trPr/>
        <w:tc>
          <w:tcPr>
            <w:tcW w:w="4082" w:type="dxa"/>
            <w:tcBorders/>
            <w:shd w:fill="auto" w:val="clear"/>
          </w:tcPr>
          <w:p>
            <w:pPr>
              <w:pStyle w:val="TableContents"/>
              <w:spacing w:before="0" w:after="283"/>
              <w:rPr/>
            </w:pPr>
            <w:r>
              <w:rPr/>
              <w:t>Trevor Bezdek</w:t>
            </w:r>
          </w:p>
        </w:tc>
      </w:tr>
    </w:tbl>
    <w:p>
      <w:pPr>
        <w:pStyle w:val="TextBody"/>
        <w:spacing w:before="240" w:after="0"/>
        <w:jc w:val="center"/>
        <w:rPr>
          <w:rFonts w:ascii="Times New Roman" w:hAnsi="Times New Roman"/>
          <w:b/>
          <w:sz w:val="20"/>
        </w:rPr>
      </w:pPr>
      <w:r>
        <w:rPr>
          <w:rFonts w:ascii="Times New Roman" w:hAnsi="Times New Roman"/>
          <w:b/>
          <w:sz w:val="20"/>
        </w:rPr>
        <w:t xml:space="preserve">[SIGNATURE PAGE TO SECOND AMENDED AND RESTATED EMPLOYMENT AGREEMENT] </w:t>
      </w:r>
      <w:r>
        <w:br w:type="page"/>
      </w:r>
    </w:p>
    <w:p>
      <w:pPr>
        <w:pStyle w:val="HorizontalLine"/>
        <w:pBdr>
          <w:bottom w:val="double" w:sz="6" w:space="0" w:color="808080"/>
        </w:pBdr>
        <w:rPr/>
      </w:pPr>
      <w:r>
        <w:rPr/>
      </w:r>
    </w:p>
    <w:p>
      <w:pPr>
        <w:pStyle w:val="TextBody"/>
        <w:spacing w:before="0" w:after="0"/>
        <w:jc w:val="right"/>
        <w:rPr>
          <w:rFonts w:ascii="Times New Roman" w:hAnsi="Times New Roman"/>
          <w:b/>
          <w:sz w:val="20"/>
        </w:rPr>
      </w:pPr>
      <w:r>
        <w:rPr>
          <w:rFonts w:ascii="Times New Roman" w:hAnsi="Times New Roman"/>
          <w:b/>
          <w:sz w:val="20"/>
        </w:rPr>
        <w:t xml:space="preserve">Exhibit A </w:t>
      </w:r>
    </w:p>
    <w:p>
      <w:pPr>
        <w:pStyle w:val="TextBody"/>
        <w:spacing w:before="480" w:after="0"/>
        <w:jc w:val="center"/>
        <w:rPr>
          <w:rFonts w:ascii="Times New Roman" w:hAnsi="Times New Roman"/>
          <w:b/>
          <w:sz w:val="20"/>
        </w:rPr>
      </w:pPr>
      <w:r>
        <w:rPr>
          <w:rFonts w:ascii="Times New Roman" w:hAnsi="Times New Roman"/>
          <w:b/>
          <w:sz w:val="20"/>
        </w:rPr>
        <w:t xml:space="preserve">GENERAL RELEASE OF ALL CLAIMS </w:t>
      </w:r>
    </w:p>
    <w:p>
      <w:pPr>
        <w:pStyle w:val="TextBody"/>
        <w:spacing w:before="240" w:after="0"/>
        <w:jc w:val="left"/>
        <w:rPr>
          <w:rFonts w:ascii="Times New Roman" w:hAnsi="Times New Roman"/>
          <w:sz w:val="20"/>
        </w:rPr>
      </w:pPr>
      <w:r>
        <w:rPr>
          <w:rFonts w:ascii="Times New Roman" w:hAnsi="Times New Roman"/>
          <w:sz w:val="20"/>
        </w:rPr>
        <w:t>This General Release of all Claims (this </w:t>
      </w:r>
      <w:r>
        <w:rPr>
          <w:rFonts w:ascii="Times New Roman" w:hAnsi="Times New Roman"/>
          <w:sz w:val="20"/>
          <w:u w:val="single"/>
        </w:rPr>
        <w:t>Agreement</w:t>
      </w:r>
      <w:r>
        <w:rPr>
          <w:rFonts w:ascii="Times New Roman" w:hAnsi="Times New Roman"/>
          <w:sz w:val="20"/>
        </w:rPr>
        <w:t>) is entered into by Trevor Bezdek (the </w:t>
      </w:r>
      <w:r>
        <w:rPr>
          <w:rFonts w:ascii="Times New Roman" w:hAnsi="Times New Roman"/>
          <w:sz w:val="20"/>
          <w:u w:val="single"/>
        </w:rPr>
        <w:t>Executive</w:t>
      </w:r>
      <w:r>
        <w:rPr>
          <w:rFonts w:ascii="Times New Roman" w:hAnsi="Times New Roman"/>
          <w:sz w:val="20"/>
        </w:rPr>
        <w:t>) and GoodRx, Inc., a Delaware corporation (the </w:t>
      </w:r>
      <w:r>
        <w:rPr>
          <w:rFonts w:ascii="Times New Roman" w:hAnsi="Times New Roman"/>
          <w:sz w:val="20"/>
          <w:u w:val="single"/>
        </w:rPr>
        <w:t>Corporation</w:t>
      </w:r>
      <w:r>
        <w:rPr>
          <w:rFonts w:ascii="Times New Roman" w:hAnsi="Times New Roman"/>
          <w:sz w:val="20"/>
        </w:rPr>
        <w:t xml:space="preserve">), effective as of [__________], but subject to the Executives right to revoke as set forth in Paragraph 3(c). In consideration of the promises set forth herein, the Executive and the Corporation agree as follows: </w:t>
      </w:r>
    </w:p>
    <w:p>
      <w:pPr>
        <w:pStyle w:val="TextBody"/>
        <w:spacing w:before="120" w:after="0"/>
        <w:jc w:val="left"/>
        <w:rPr>
          <w:rFonts w:ascii="Times New Roman" w:hAnsi="Times New Roman"/>
          <w:sz w:val="20"/>
        </w:rPr>
      </w:pPr>
      <w:r>
        <w:rPr>
          <w:rFonts w:ascii="Times New Roman" w:hAnsi="Times New Roman"/>
          <w:b/>
          <w:sz w:val="20"/>
        </w:rPr>
        <w:t>1.</w:t>
      </w:r>
      <w:r>
        <w:rPr>
          <w:rFonts w:ascii="Times New Roman" w:hAnsi="Times New Roman"/>
          <w:sz w:val="20"/>
        </w:rPr>
        <w:t xml:space="preserve"> </w:t>
      </w:r>
      <w:r>
        <w:rPr>
          <w:rFonts w:ascii="Times New Roman" w:hAnsi="Times New Roman"/>
          <w:b/>
          <w:sz w:val="20"/>
          <w:u w:val="single"/>
        </w:rPr>
        <w:t>Termination and Return of Property</w:t>
      </w:r>
      <w:r>
        <w:rPr>
          <w:rFonts w:ascii="Times New Roman" w:hAnsi="Times New Roman"/>
          <w:sz w:val="20"/>
        </w:rPr>
        <w:t xml:space="preserve">. The Executives employment with the Corporation in any capacity has terminated effective [Separation Date]. All files, access keys and codes, desk keys, ID badges, computers, records, manuals, electronic devices, computer programs, papers, electronically stored information or documents, telephones and credit cards, and any other property of the Corporation or any affiliate thereof previously in the Executives possession or control has been returned to the Corporation [or will be returned on or before the Separation Date]. </w:t>
      </w:r>
    </w:p>
    <w:p>
      <w:pPr>
        <w:pStyle w:val="TextBody"/>
        <w:spacing w:before="120" w:after="0"/>
        <w:jc w:val="left"/>
        <w:rPr>
          <w:rFonts w:ascii="Times New Roman" w:hAnsi="Times New Roman"/>
          <w:sz w:val="20"/>
        </w:rPr>
      </w:pPr>
      <w:r>
        <w:rPr>
          <w:rFonts w:ascii="Times New Roman" w:hAnsi="Times New Roman"/>
          <w:b/>
          <w:sz w:val="20"/>
        </w:rPr>
        <w:t>2.</w:t>
      </w:r>
      <w:r>
        <w:rPr>
          <w:rFonts w:ascii="Times New Roman" w:hAnsi="Times New Roman"/>
          <w:sz w:val="20"/>
        </w:rPr>
        <w:t xml:space="preserve"> </w:t>
      </w:r>
      <w:r>
        <w:rPr>
          <w:rFonts w:ascii="Times New Roman" w:hAnsi="Times New Roman"/>
          <w:b/>
          <w:sz w:val="20"/>
          <w:u w:val="single"/>
        </w:rPr>
        <w:t>Severance</w:t>
      </w:r>
      <w:r>
        <w:rPr>
          <w:rFonts w:ascii="Times New Roman" w:hAnsi="Times New Roman"/>
          <w:sz w:val="20"/>
        </w:rPr>
        <w:t>. The Corporation shall pay to the Executive the Severance Benefit (as defined in that certain Second Amended and Restated Employment Agreement between the Corporation and the Executive dated as of [__________], 2023 (the </w:t>
      </w:r>
      <w:r>
        <w:rPr>
          <w:rFonts w:ascii="Times New Roman" w:hAnsi="Times New Roman"/>
          <w:sz w:val="20"/>
          <w:u w:val="single"/>
        </w:rPr>
        <w:t>Employment Agreement</w:t>
      </w:r>
      <w:r>
        <w:rPr>
          <w:rFonts w:ascii="Times New Roman" w:hAnsi="Times New Roman"/>
          <w:sz w:val="20"/>
        </w:rPr>
        <w:t xml:space="preserve">)) in accordance with, and subject to, the provisions of the Employment Agreement. </w:t>
      </w:r>
    </w:p>
    <w:p>
      <w:pPr>
        <w:pStyle w:val="TextBody"/>
        <w:spacing w:before="240" w:after="0"/>
        <w:jc w:val="left"/>
        <w:rPr>
          <w:rFonts w:ascii="Times New Roman" w:hAnsi="Times New Roman"/>
          <w:sz w:val="20"/>
        </w:rPr>
      </w:pPr>
      <w:r>
        <w:rPr>
          <w:rFonts w:ascii="Times New Roman" w:hAnsi="Times New Roman"/>
          <w:b/>
          <w:sz w:val="20"/>
        </w:rPr>
        <w:t>3.</w:t>
      </w:r>
      <w:r>
        <w:rPr>
          <w:rFonts w:ascii="Times New Roman" w:hAnsi="Times New Roman"/>
          <w:sz w:val="20"/>
        </w:rPr>
        <w:t xml:space="preserve"> </w:t>
      </w:r>
      <w:r>
        <w:rPr>
          <w:rFonts w:ascii="Times New Roman" w:hAnsi="Times New Roman"/>
          <w:b/>
          <w:sz w:val="20"/>
          <w:u w:val="single"/>
        </w:rPr>
        <w:t>General Release and Waiver of Claims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b/>
          <w:sz w:val="20"/>
          <w:u w:val="single"/>
        </w:rPr>
        <w:t>Release By Executive</w:t>
      </w:r>
      <w:r>
        <w:rPr>
          <w:rFonts w:ascii="Times New Roman" w:hAnsi="Times New Roman"/>
          <w:sz w:val="20"/>
        </w:rPr>
        <w:t>. Having consulted with counsel, the Executive, on behalf of himself and each of his respective heirs, executors, administrators, representatives, agents, insurers, successors and assigns (collectively, and including the Executive, the </w:t>
      </w:r>
      <w:r>
        <w:rPr>
          <w:rFonts w:ascii="Times New Roman" w:hAnsi="Times New Roman"/>
          <w:sz w:val="20"/>
          <w:u w:val="single"/>
        </w:rPr>
        <w:t>Releasors</w:t>
      </w:r>
      <w:r>
        <w:rPr>
          <w:rFonts w:ascii="Times New Roman" w:hAnsi="Times New Roman"/>
          <w:sz w:val="20"/>
        </w:rPr>
        <w:t>) hereby irrevocably and unconditionally releases and forever discharges the Corporation, its parents (including GoodRx Holdings, Inc. (</w:t>
      </w:r>
      <w:r>
        <w:rPr>
          <w:rFonts w:ascii="Times New Roman" w:hAnsi="Times New Roman"/>
          <w:sz w:val="20"/>
          <w:u w:val="single"/>
        </w:rPr>
        <w:t>Holdings</w:t>
      </w:r>
      <w:r>
        <w:rPr>
          <w:rFonts w:ascii="Times New Roman" w:hAnsi="Times New Roman"/>
          <w:sz w:val="20"/>
        </w:rPr>
        <w:t>)), subsidiaries and affiliates and each of their respective officers, employees, directors, members, shareholders, parents, subsidiaries and agents (collectively, the </w:t>
      </w:r>
      <w:r>
        <w:rPr>
          <w:rFonts w:ascii="Times New Roman" w:hAnsi="Times New Roman"/>
          <w:sz w:val="20"/>
          <w:u w:val="single"/>
        </w:rPr>
        <w:t>Releasees</w:t>
      </w:r>
      <w:r>
        <w:rPr>
          <w:rFonts w:ascii="Times New Roman" w:hAnsi="Times New Roman"/>
          <w:sz w:val="20"/>
        </w:rPr>
        <w:t>) from any and all claims, actions, causes of action, rights, judgments, obligations, damages, demands, accountings or liabilities of whatever kind or character (collectively, </w:t>
      </w:r>
      <w:r>
        <w:rPr>
          <w:rFonts w:ascii="Times New Roman" w:hAnsi="Times New Roman"/>
          <w:sz w:val="20"/>
          <w:u w:val="single"/>
        </w:rPr>
        <w:t>Claims</w:t>
      </w:r>
      <w:r>
        <w:rPr>
          <w:rFonts w:ascii="Times New Roman" w:hAnsi="Times New Roman"/>
          <w:sz w:val="20"/>
        </w:rPr>
        <w:t xml:space="preserve">), which the Executive now has or may hereafter have against the Releasees, or any of them, by reason of any matter, cause, or thing whatsoever from the beginning of time to the date hereof (including, without limitation, any Claims under any federal, state, local or foreign law that they may have, or in the future may possess, arising out of the Executives employment relationship with and service as an employee, officer or director of the Corporation, its parent entity (including Holdings) or any other subsidiaries of such parent entity, and the termination of such relationship or service);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Executive does not release, discharge or waive any rights to (i) payments and benefits provided under this Agreement or under any other agreement between Executive and any of the Releasees that would, by their nature, survive the termination of employment, (ii) equity and other securities of Holdings or rights under agreements with any of the Releasees related to the Executives equity securities of Holdings, (iii) benefit claims under any employee benefit plans in which Executive is a participant by virtue of his employment with the Corporation arising after the execution of this Agreement by Executive, (iv) any indemnification,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advance or reimbursement rights the Executive may have in accordance with applicable law, indemnification agreements, certificate of incorporation or bylaws of Corporation, or under any director and officer liability insurance or other insurance maintained by the Corporation or a parent entity with respect to liabilities arising as a result of the Executives service as an officer and employee of such entities, and (v) claims that cannot be waived by an employee under applicable law. This Paragraph 3(a) does not apply to any Claims that the Executive may have as of the date the Executive signs this Agreement arising under the Federal Age Discrimination in Employment Act of 1967, as amended, and the applicable rules and regulations promulgated thereunder (</w:t>
      </w:r>
      <w:r>
        <w:rPr>
          <w:rFonts w:ascii="Times New Roman" w:hAnsi="Times New Roman"/>
          <w:sz w:val="20"/>
          <w:u w:val="single"/>
        </w:rPr>
        <w:t>ADEA</w:t>
      </w:r>
      <w:r>
        <w:rPr>
          <w:rFonts w:ascii="Times New Roman" w:hAnsi="Times New Roman"/>
          <w:sz w:val="20"/>
        </w:rPr>
        <w:t xml:space="preserve">) or any other claims that may not be released as a matter of law. Claims arising under ADEA are addressed in Paragraph 3(c) of this Agreement. </w:t>
      </w:r>
    </w:p>
    <w:p>
      <w:pPr>
        <w:pStyle w:val="TextBody"/>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b/>
          <w:sz w:val="20"/>
          <w:u w:val="single"/>
        </w:rPr>
        <w:t>Unknown Claim</w:t>
      </w:r>
      <w:r>
        <w:rPr>
          <w:rFonts w:ascii="Times New Roman" w:hAnsi="Times New Roman"/>
          <w:b/>
          <w:sz w:val="20"/>
        </w:rPr>
        <w:t>s</w:t>
      </w:r>
      <w:r>
        <w:rPr>
          <w:rFonts w:ascii="Times New Roman" w:hAnsi="Times New Roman"/>
          <w:sz w:val="20"/>
        </w:rPr>
        <w:t xml:space="preserve">. The Executive acknowledges that he may hereafter discover Claims or facts in addition to or different from those which the Executive now knows or believes to exist with respect to the subject matter of this release and which, if known or suspected at the time of executing this release, may have materially affected this release or the Executives decision to enter into it. Nevertheless, the Executive hereby waives any right or Claim that might arise as a result of such different or additional Claims or facts. In addition, the Executive, on behalf of himself and the other Releasors, hereby waives any and all rights and benefits conferred upon him and the other Releasors by the provisions of Section 1542 of the Civil Code of the State of California, which provides as follows: </w:t>
      </w:r>
    </w:p>
    <w:p>
      <w:pPr>
        <w:pStyle w:val="TextBody"/>
        <w:spacing w:before="120" w:after="0"/>
        <w:jc w:val="left"/>
        <w:rPr>
          <w:rFonts w:ascii="Times New Roman" w:hAnsi="Times New Roman"/>
          <w:sz w:val="20"/>
        </w:rPr>
      </w:pPr>
      <w:r>
        <w:rPr>
          <w:rFonts w:ascii="Times New Roman" w:hAnsi="Times New Roman"/>
          <w:sz w:val="20"/>
        </w:rPr>
        <w:t xml:space="preserve">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 </w:t>
      </w:r>
    </w:p>
    <w:p>
      <w:pPr>
        <w:pStyle w:val="TextBody"/>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b/>
          <w:sz w:val="20"/>
          <w:u w:val="single"/>
        </w:rPr>
        <w:t>Specific Release of ADEA Claims</w:t>
      </w:r>
      <w:r>
        <w:rPr>
          <w:rFonts w:ascii="Times New Roman" w:hAnsi="Times New Roman"/>
          <w:sz w:val="20"/>
        </w:rPr>
        <w:t>. In further consideration of the payments and benefits provided to the Executive under this Agreement, the Executive, on behalf of himself and the other Releasors, hereby unconditionally releases and forever discharges the Releasees from any and all Claims arising under ADEA that the Releasors may have as of the date the Executive signs this Agreement. By signing this Agreement, the Executive hereby acknowledges and confirms the following: (i) the Executive was advised by the Corporation in connection with his termination to consult with an attorney of his choice prior to signing this Agreement and to have such attorney explain to the Executive the terms of this Agreement, including, without limitation, the terms relating to the Executives release of claims arising under ADEA; (ii) the Executive was given a period of not fewer than [twenty-one (21)] days to consider the terms of this Agreement and to consult with an attorney of his/her choosing with respect thereto; (iii) having read the terms of this Agreement, the Executive understands its terms and effects, and the Executive knowingly and voluntarily accepts the terms of this Agreement; and (iv) the Executive is providing this release and discharge only in exchange for consideration in addition to anything of value to which the Executive is already entitled, and acknowledges such consideration is adequate and satisfactory to the Executive. The Executive also understands that he has seven days following the date on which he signs this Agreement within which to revoke the release contained in this paragraph, by providing the Corporation with a written notice of his revocation of the release and waiver contained in this paragraph. Any revocation must be in writing and sent to [</w:t>
      </w:r>
      <w:r>
        <w:rPr>
          <w:rFonts w:ascii="Times New Roman" w:hAnsi="Times New Roman"/>
          <w:i/>
          <w:sz w:val="20"/>
        </w:rPr>
        <w:t>name</w:t>
      </w:r>
      <w:r>
        <w:rPr>
          <w:rFonts w:ascii="Times New Roman" w:hAnsi="Times New Roman"/>
          <w:sz w:val="20"/>
        </w:rPr>
        <w:t>], via electronic mail at [</w:t>
      </w:r>
      <w:r>
        <w:rPr>
          <w:rFonts w:ascii="Times New Roman" w:hAnsi="Times New Roman"/>
          <w:i/>
          <w:sz w:val="20"/>
        </w:rPr>
        <w:t>email address</w:t>
      </w:r>
      <w:r>
        <w:rPr>
          <w:rFonts w:ascii="Times New Roman" w:hAnsi="Times New Roman"/>
          <w:sz w:val="20"/>
        </w:rPr>
        <w:t xml:space="preserve">], on or before [5:00 p.m. Pacific time] on the seventh day after this Agreement is executed by the Executive.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(d) </w:t>
      </w:r>
      <w:r>
        <w:rPr>
          <w:rFonts w:ascii="Times New Roman" w:hAnsi="Times New Roman"/>
          <w:b/>
          <w:sz w:val="20"/>
          <w:u w:val="single"/>
        </w:rPr>
        <w:t>No Assignment</w:t>
      </w:r>
      <w:r>
        <w:rPr>
          <w:rFonts w:ascii="Times New Roman" w:hAnsi="Times New Roman"/>
          <w:sz w:val="20"/>
        </w:rPr>
        <w:t xml:space="preserve">. The Executive represents and warrants that he has not assigned or otherwise transferred any of the Claims being released under this Agreement. The Corporation may assign this Agreement, in whole or in part, to any affiliated entity, including subsidiaries of the Corporation, or any successor in interest to the Corporation. </w:t>
      </w:r>
    </w:p>
    <w:p>
      <w:pPr>
        <w:pStyle w:val="TextBody"/>
        <w:spacing w:before="240" w:after="0"/>
        <w:jc w:val="left"/>
        <w:rPr>
          <w:rFonts w:ascii="Times New Roman" w:hAnsi="Times New Roman"/>
          <w:sz w:val="20"/>
        </w:rPr>
      </w:pPr>
      <w:r>
        <w:rPr>
          <w:rFonts w:ascii="Times New Roman" w:hAnsi="Times New Roman"/>
          <w:b/>
          <w:sz w:val="20"/>
        </w:rPr>
        <w:t>4.</w:t>
      </w:r>
      <w:r>
        <w:rPr>
          <w:rFonts w:ascii="Times New Roman" w:hAnsi="Times New Roman"/>
          <w:sz w:val="20"/>
        </w:rPr>
        <w:t xml:space="preserve"> </w:t>
      </w:r>
      <w:r>
        <w:rPr>
          <w:rFonts w:ascii="Times New Roman" w:hAnsi="Times New Roman"/>
          <w:b/>
          <w:sz w:val="20"/>
          <w:u w:val="single"/>
        </w:rPr>
        <w:t>Proceedings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b/>
          <w:sz w:val="20"/>
          <w:u w:val="single"/>
        </w:rPr>
        <w:t>General Agreement Relating to Proceedings</w:t>
      </w:r>
      <w:r>
        <w:rPr>
          <w:rFonts w:ascii="Times New Roman" w:hAnsi="Times New Roman"/>
          <w:sz w:val="20"/>
        </w:rPr>
        <w:t>. The Executive has not filed, and except as provided in Paragraphs 4(b) and 4(c), the Executive agrees not to initiate or cause to be initiated on his behalf, any complaint, charge, claim or proceeding that is released hereunder against any party released herein before any local, state or federal agency, court or other body, other than with respect to the obligations of the Corporation or any other party released herein to the Executive under this Agreement or any indemnification or other rights the Executive may have as listed in Paragraph 3(a) (each, individually, a </w:t>
      </w:r>
      <w:r>
        <w:rPr>
          <w:rFonts w:ascii="Times New Roman" w:hAnsi="Times New Roman"/>
          <w:sz w:val="20"/>
          <w:u w:val="single"/>
        </w:rPr>
        <w:t>Proceeding</w:t>
      </w:r>
      <w:r>
        <w:rPr>
          <w:rFonts w:ascii="Times New Roman" w:hAnsi="Times New Roman"/>
          <w:sz w:val="20"/>
        </w:rPr>
        <w:t xml:space="preserve">), and agrees not to participate voluntarily in any Proceeding. The Executive waives any right he may have to benefit in any manner from any relief (whether monetary or otherwise) arising out of any Proceeding. </w:t>
      </w:r>
    </w:p>
    <w:p>
      <w:pPr>
        <w:pStyle w:val="TextBody"/>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b/>
          <w:sz w:val="20"/>
          <w:u w:val="single"/>
        </w:rPr>
        <w:t>Proceedings Under ADEA</w:t>
      </w:r>
      <w:r>
        <w:rPr>
          <w:rFonts w:ascii="Times New Roman" w:hAnsi="Times New Roman"/>
          <w:sz w:val="20"/>
        </w:rPr>
        <w:t xml:space="preserve">. Paragraph 4(a) shall not preclude the Executive from filing any complaint, charge, claim or proceeding challenging the validity of the Executive waiver of Claims arising under ADEA (which is set forth in Paragraph 3(c) of this Agreement). However, both the Executive and the Corporation confirm their belief that the Executives waiver of claims under ADEA is valid and enforceable, and that their intention is that all claims under ADEA will be waived. </w:t>
      </w:r>
    </w:p>
    <w:p>
      <w:pPr>
        <w:pStyle w:val="TextBody"/>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b/>
          <w:sz w:val="20"/>
          <w:u w:val="single"/>
        </w:rPr>
        <w:t>Certain Administrative Proceedings</w:t>
      </w:r>
      <w:r>
        <w:rPr>
          <w:rFonts w:ascii="Times New Roman" w:hAnsi="Times New Roman"/>
          <w:sz w:val="20"/>
        </w:rPr>
        <w:t xml:space="preserve">. In addition, Paragraph 4(a) shall not preclude the Executive from filing a charge with, or participating in any administrative investigation or proceeding by, the Equal Employment Opportunity Commission or another fair employment practices agency. The Executive is, however, waiving his right to recover money in connection with any such charge or investigation to the extent released hereunder. The Executive is also waiving his right to recover money in connection with a charge filed by any other entity or individual, or by any federal, state or local agency to the extent released hereunder. </w:t>
      </w:r>
    </w:p>
    <w:p>
      <w:pPr>
        <w:pStyle w:val="TextBody"/>
        <w:spacing w:before="240" w:after="0"/>
        <w:jc w:val="left"/>
        <w:rPr>
          <w:rFonts w:ascii="Times New Roman" w:hAnsi="Times New Roman"/>
          <w:sz w:val="20"/>
        </w:rPr>
      </w:pPr>
      <w:r>
        <w:rPr>
          <w:rFonts w:ascii="Times New Roman" w:hAnsi="Times New Roman"/>
          <w:b/>
          <w:sz w:val="20"/>
        </w:rPr>
        <w:t>5.</w:t>
      </w:r>
      <w:r>
        <w:rPr>
          <w:rFonts w:ascii="Times New Roman" w:hAnsi="Times New Roman"/>
          <w:sz w:val="20"/>
        </w:rPr>
        <w:t xml:space="preserve"> </w:t>
      </w:r>
      <w:r>
        <w:rPr>
          <w:rFonts w:ascii="Times New Roman" w:hAnsi="Times New Roman"/>
          <w:b/>
          <w:sz w:val="20"/>
          <w:u w:val="single"/>
        </w:rPr>
        <w:t>Exceptions</w:t>
      </w:r>
      <w:r>
        <w:rPr>
          <w:rFonts w:ascii="Times New Roman" w:hAnsi="Times New Roman"/>
          <w:sz w:val="20"/>
        </w:rPr>
        <w:t xml:space="preserve">. Notwithstanding anything in this Agreement to the contrary, nothing contained in this Agreement shall prohibit the Executive from (i) filing a charge with, reporting possible violations of federal law or regulation to, participating in any investigation by, or cooperating with any governmental agency or entity or making other disclosures that are protected under the whistleblower provisions of applicable law or regulation and/or (ii) communicating directly with, cooperating with, or providing information (including trade secrets) in confidence to, any federal, state or local government regulator (including, but not limited to, the U.S. Securities and Exchange Commission, the U.S. Commodity Futures Trading Commission, or the U.S. Department of Justice) for the purpose of reporting or investigating a suspected violation of law, or from providing such information to the Executives attorney or in a sealed complaint or other document filed in a lawsuit or other governmental proceeding.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Pursuant to 18 USC Section 1833(b), the Executive will not be held criminally or civilly liable under any federal or state trade secret law for the disclosure of a trade secret that is made: (x) in confidence to a federal, state, or local government official, either directly or indirectly, or to an attorney, and solely for the purpose of reporting or investigating a suspected violation of law; or (y) in a complaint or other document filed in a lawsuit or other proceeding, if such filing is made under seal. Nothing in this Agreement prevents the Executive from discussing or disclosing information about unlawful acts in the workplace, such as harassment or discrimination or any other conduct that the Executive has reason to believe is unlawful. </w:t>
      </w:r>
    </w:p>
    <w:p>
      <w:pPr>
        <w:pStyle w:val="TextBody"/>
        <w:spacing w:before="240" w:after="0"/>
        <w:jc w:val="left"/>
        <w:rPr>
          <w:rFonts w:ascii="Times New Roman" w:hAnsi="Times New Roman"/>
          <w:sz w:val="20"/>
        </w:rPr>
      </w:pPr>
      <w:r>
        <w:rPr>
          <w:rFonts w:ascii="Times New Roman" w:hAnsi="Times New Roman"/>
          <w:b/>
          <w:sz w:val="20"/>
        </w:rPr>
        <w:t>6.</w:t>
      </w:r>
      <w:r>
        <w:rPr>
          <w:rFonts w:ascii="Times New Roman" w:hAnsi="Times New Roman"/>
          <w:sz w:val="20"/>
        </w:rPr>
        <w:t xml:space="preserve"> </w:t>
      </w:r>
      <w:r>
        <w:rPr>
          <w:rFonts w:ascii="Times New Roman" w:hAnsi="Times New Roman"/>
          <w:b/>
          <w:sz w:val="20"/>
          <w:u w:val="single"/>
        </w:rPr>
        <w:t>Severability Clause</w:t>
      </w:r>
      <w:r>
        <w:rPr>
          <w:rFonts w:ascii="Times New Roman" w:hAnsi="Times New Roman"/>
          <w:sz w:val="20"/>
        </w:rPr>
        <w:t xml:space="preserve">. In the event that any provision or part of this Agreement is found to be invalid or unenforceable, only that particular provision or part so found, and not the entire Agreement, shall be inoperative. </w:t>
      </w:r>
    </w:p>
    <w:p>
      <w:pPr>
        <w:pStyle w:val="TextBody"/>
        <w:spacing w:before="240" w:after="0"/>
        <w:jc w:val="left"/>
        <w:rPr>
          <w:rFonts w:ascii="Times New Roman" w:hAnsi="Times New Roman"/>
          <w:sz w:val="20"/>
        </w:rPr>
      </w:pPr>
      <w:r>
        <w:rPr>
          <w:rFonts w:ascii="Times New Roman" w:hAnsi="Times New Roman"/>
          <w:b/>
          <w:sz w:val="20"/>
        </w:rPr>
        <w:t>7.</w:t>
      </w:r>
      <w:r>
        <w:rPr>
          <w:rFonts w:ascii="Times New Roman" w:hAnsi="Times New Roman"/>
          <w:sz w:val="20"/>
        </w:rPr>
        <w:t xml:space="preserve"> </w:t>
      </w:r>
      <w:r>
        <w:rPr>
          <w:rFonts w:ascii="Times New Roman" w:hAnsi="Times New Roman"/>
          <w:b/>
          <w:sz w:val="20"/>
          <w:u w:val="single"/>
        </w:rPr>
        <w:t>Nonadmission</w:t>
      </w:r>
      <w:r>
        <w:rPr>
          <w:rFonts w:ascii="Times New Roman" w:hAnsi="Times New Roman"/>
          <w:sz w:val="20"/>
        </w:rPr>
        <w:t xml:space="preserve">. Nothing contained in this Agreement shall be deemed or construed as an admission of wrongdoing or liability on the part of the Corporation or Executive. </w:t>
      </w:r>
    </w:p>
    <w:p>
      <w:pPr>
        <w:pStyle w:val="TextBody"/>
        <w:spacing w:before="240" w:after="0"/>
        <w:jc w:val="left"/>
        <w:rPr>
          <w:rFonts w:ascii="Times New Roman" w:hAnsi="Times New Roman"/>
          <w:sz w:val="20"/>
        </w:rPr>
      </w:pPr>
      <w:r>
        <w:rPr>
          <w:rFonts w:ascii="Times New Roman" w:hAnsi="Times New Roman"/>
          <w:b/>
          <w:sz w:val="20"/>
        </w:rPr>
        <w:t>8.</w:t>
      </w:r>
      <w:r>
        <w:rPr>
          <w:rFonts w:ascii="Times New Roman" w:hAnsi="Times New Roman"/>
          <w:sz w:val="20"/>
        </w:rPr>
        <w:t xml:space="preserve"> </w:t>
      </w:r>
      <w:r>
        <w:rPr>
          <w:rFonts w:ascii="Times New Roman" w:hAnsi="Times New Roman"/>
          <w:b/>
          <w:sz w:val="20"/>
          <w:u w:val="single"/>
        </w:rPr>
        <w:t>Governing Law and Forum</w:t>
      </w:r>
      <w:r>
        <w:rPr>
          <w:rFonts w:ascii="Times New Roman" w:hAnsi="Times New Roman"/>
          <w:sz w:val="20"/>
        </w:rPr>
        <w:t xml:space="preserve">. This Agreement and all matters or issues arising out of or relating to this Agreement shall be governed by the laws of the State of California applicable to contracts entered into and performed entirely therein. Any action to enforce this Agreement shall be brought solely Los Angeles, California. </w:t>
      </w:r>
    </w:p>
    <w:p>
      <w:pPr>
        <w:pStyle w:val="TextBody"/>
        <w:spacing w:before="240" w:after="0"/>
        <w:jc w:val="left"/>
        <w:rPr>
          <w:rFonts w:ascii="Times New Roman" w:hAnsi="Times New Roman"/>
          <w:sz w:val="20"/>
        </w:rPr>
      </w:pPr>
      <w:r>
        <w:rPr>
          <w:rFonts w:ascii="Times New Roman" w:hAnsi="Times New Roman"/>
          <w:b/>
          <w:sz w:val="20"/>
        </w:rPr>
        <w:t>9.</w:t>
      </w:r>
      <w:r>
        <w:rPr>
          <w:rFonts w:ascii="Times New Roman" w:hAnsi="Times New Roman"/>
          <w:sz w:val="20"/>
        </w:rPr>
        <w:t xml:space="preserve"> </w:t>
      </w:r>
      <w:r>
        <w:rPr>
          <w:rFonts w:ascii="Times New Roman" w:hAnsi="Times New Roman"/>
          <w:b/>
          <w:sz w:val="20"/>
          <w:u w:val="single"/>
        </w:rPr>
        <w:t>Arbitration</w:t>
      </w:r>
      <w:r>
        <w:rPr>
          <w:rFonts w:ascii="Times New Roman" w:hAnsi="Times New Roman"/>
          <w:sz w:val="20"/>
        </w:rPr>
        <w:t xml:space="preserve">. Any dispute or controversy arising under or in connection with this Agreement or otherwise in connection with the Executives employment by the Corporation that cannot be mutually resolved by the parties to this Agreement and their respective advisors and representatives shall be settled exclusively by arbitration in accordance with the provisions of Section 16 of the Employment Agreement. </w:t>
      </w:r>
    </w:p>
    <w:p>
      <w:pPr>
        <w:pStyle w:val="TextBody"/>
        <w:spacing w:before="240" w:after="0"/>
        <w:jc w:val="center"/>
        <w:rPr>
          <w:rFonts w:ascii="Times New Roman" w:hAnsi="Times New Roman"/>
          <w:b/>
          <w:sz w:val="20"/>
        </w:rPr>
      </w:pPr>
      <w:r>
        <w:rPr>
          <w:rFonts w:ascii="Times New Roman" w:hAnsi="Times New Roman"/>
          <w:b/>
          <w:sz w:val="20"/>
        </w:rPr>
        <w:t xml:space="preserve">10. </w:t>
      </w:r>
      <w:r>
        <w:rPr>
          <w:rFonts w:ascii="Times New Roman" w:hAnsi="Times New Roman"/>
          <w:b/>
          <w:sz w:val="20"/>
          <w:u w:val="single"/>
        </w:rPr>
        <w:t>Notices</w:t>
      </w:r>
      <w:r>
        <w:rPr>
          <w:rFonts w:ascii="Times New Roman" w:hAnsi="Times New Roman"/>
          <w:b/>
          <w:sz w:val="20"/>
        </w:rPr>
        <w:t xml:space="preserve">. Notices under this Agreement must be given as is specified in Section 17 of the Employment Agreement. </w:t>
      </w:r>
    </w:p>
    <w:p>
      <w:pPr>
        <w:pStyle w:val="TextBody"/>
        <w:spacing w:before="120" w:after="0"/>
        <w:jc w:val="left"/>
        <w:rPr>
          <w:rFonts w:ascii="Times New Roman" w:hAnsi="Times New Roman"/>
          <w:sz w:val="20"/>
        </w:rPr>
      </w:pPr>
      <w:r>
        <w:rPr>
          <w:rFonts w:ascii="Times New Roman" w:hAnsi="Times New Roman"/>
          <w:sz w:val="20"/>
        </w:rPr>
        <w:t xml:space="preserve">THE EXECUTIVE ACKNOWLEDGES THAT HE HAS READ THIS AGREEMENT AND THAT HE FULLY KNOWS, UNDERSTANDS AND APPRECIATES ITS CONTENTS, AND THAT HE HEREBY EXECUTES THE SAME AND MAKES THIS AGREEMENT AND THE RELEASE AND AGREEMENTS PROVIDED FOR HEREIN VOLUNTARILY AND OF HIS OWN FREE WILL. </w:t>
      </w:r>
    </w:p>
    <w:p>
      <w:pPr>
        <w:pStyle w:val="TextBody"/>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The remainder of this page has intentionally been left blank</w:t>
      </w:r>
      <w:r>
        <w:rPr>
          <w:rFonts w:ascii="Times New Roman" w:hAnsi="Times New Roman"/>
          <w:sz w:val="20"/>
        </w:rPr>
        <w:t xml:space="preserv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the parties have executed this Agreement as of the dates set forth below. </w:t>
      </w:r>
    </w:p>
    <w:p>
      <w:pPr>
        <w:pStyle w:val="TextBody"/>
        <w:spacing w:before="0" w:after="0"/>
        <w:jc w:val="left"/>
        <w:rPr/>
      </w:pPr>
      <w:r>
        <w:rPr/>
        <w:t> </w:t>
      </w:r>
    </w:p>
    <w:tbl>
      <w:tblPr>
        <w:tblW w:w="2000" w:type="pct"/>
        <w:jc w:val="right"/>
        <w:tblInd w:w="0" w:type="dxa"/>
        <w:tblCellMar>
          <w:top w:w="0" w:type="dxa"/>
          <w:left w:w="0" w:type="dxa"/>
          <w:bottom w:w="0" w:type="dxa"/>
          <w:right w:w="0" w:type="dxa"/>
        </w:tblCellMar>
      </w:tblPr>
      <w:tblGrid>
        <w:gridCol w:w="1619"/>
        <w:gridCol w:w="158"/>
        <w:gridCol w:w="2305"/>
      </w:tblGrid>
      <w:tr>
        <w:trPr/>
        <w:tc>
          <w:tcPr>
            <w:tcW w:w="161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bottom"/>
          </w:tcPr>
          <w:p>
            <w:pPr>
              <w:pStyle w:val="TableContents"/>
              <w:spacing w:before="0" w:after="283"/>
              <w:rPr>
                <w:sz w:val="4"/>
                <w:szCs w:val="4"/>
              </w:rPr>
            </w:pPr>
            <w:r>
              <w:rPr>
                <w:sz w:val="4"/>
                <w:szCs w:val="4"/>
              </w:rPr>
            </w:r>
          </w:p>
        </w:tc>
        <w:tc>
          <w:tcPr>
            <w:tcW w:w="2305"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pPr>
            <w:r>
              <w:rPr/>
              <w:t></w:t>
            </w:r>
            <w:r>
              <w:rPr>
                <w:b/>
              </w:rPr>
              <w:t>CORPORATION</w:t>
            </w:r>
            <w:r>
              <w:rPr/>
              <w:t></w:t>
            </w:r>
          </w:p>
        </w:tc>
      </w:tr>
      <w:tr>
        <w:trPr>
          <w:trHeight w:val="240" w:hRule="atLeast"/>
        </w:trPr>
        <w:tc>
          <w:tcPr>
            <w:tcW w:w="1619" w:type="dxa"/>
            <w:tcBorders/>
            <w:shd w:fill="auto" w:val="clear"/>
            <w:vAlign w:val="center"/>
          </w:tcPr>
          <w:p>
            <w:pPr>
              <w:pStyle w:val="TableContents"/>
              <w:spacing w:before="0" w:after="283"/>
              <w:rPr>
                <w:sz w:val="4"/>
                <w:szCs w:val="4"/>
              </w:rPr>
            </w:pPr>
            <w:r>
              <w:rPr>
                <w:sz w:val="4"/>
                <w:szCs w:val="4"/>
              </w:rPr>
            </w:r>
          </w:p>
        </w:tc>
        <w:tc>
          <w:tcPr>
            <w:tcW w:w="2463" w:type="dxa"/>
            <w:gridSpan w:val="2"/>
            <w:tcBorders/>
            <w:shd w:fill="auto" w:val="clear"/>
            <w:vAlign w:val="center"/>
          </w:tcPr>
          <w:p>
            <w:pPr>
              <w:pStyle w:val="TableContents"/>
              <w:spacing w:before="0" w:after="283"/>
              <w:rPr>
                <w:sz w:val="4"/>
                <w:szCs w:val="4"/>
              </w:rPr>
            </w:pPr>
            <w:r>
              <w:rPr>
                <w:sz w:val="4"/>
                <w:szCs w:val="4"/>
              </w:rPr>
            </w:r>
          </w:p>
        </w:tc>
      </w:tr>
      <w:tr>
        <w:trPr/>
        <w:tc>
          <w:tcPr>
            <w:tcW w:w="1619" w:type="dxa"/>
            <w:tcBorders/>
            <w:shd w:fill="auto" w:val="clear"/>
          </w:tcPr>
          <w:p>
            <w:pPr>
              <w:pStyle w:val="TableContents"/>
              <w:spacing w:before="0" w:after="283"/>
              <w:rPr/>
            </w:pPr>
            <w:r>
              <w:rPr/>
              <w:t>By:</w:t>
            </w:r>
          </w:p>
        </w:tc>
        <w:tc>
          <w:tcPr>
            <w:tcW w:w="158" w:type="dxa"/>
            <w:tcBorders/>
            <w:shd w:fill="auto" w:val="clear"/>
            <w:vAlign w:val="bottom"/>
          </w:tcPr>
          <w:p>
            <w:pPr>
              <w:pStyle w:val="TableContents"/>
              <w:spacing w:before="0" w:after="283"/>
              <w:rPr/>
            </w:pPr>
            <w:r>
              <w:rPr/>
              <w:t> </w:t>
            </w:r>
          </w:p>
        </w:tc>
        <w:tc>
          <w:tcPr>
            <w:tcW w:w="2305" w:type="dxa"/>
            <w:tcBorders/>
            <w:shd w:fill="auto" w:val="clear"/>
          </w:tcPr>
          <w:p>
            <w:pPr>
              <w:pStyle w:val="TableContents"/>
              <w:pBdr>
                <w:bottom w:val="single" w:sz="2" w:space="1" w:color="000000"/>
              </w:pBdr>
              <w:spacing w:before="0" w:after="20"/>
              <w:rPr/>
            </w:pPr>
            <w:r>
              <w:rPr/>
              <w:t> </w:t>
            </w:r>
          </w:p>
        </w:tc>
      </w:tr>
      <w:tr>
        <w:trPr/>
        <w:tc>
          <w:tcPr>
            <w:tcW w:w="1619" w:type="dxa"/>
            <w:tcBorders/>
            <w:shd w:fill="auto" w:val="clear"/>
          </w:tcPr>
          <w:p>
            <w:pPr>
              <w:pStyle w:val="TableContents"/>
              <w:spacing w:before="0" w:after="283"/>
              <w:rPr/>
            </w:pPr>
            <w:r>
              <w:rPr/>
              <w:t>Its:</w:t>
            </w:r>
          </w:p>
        </w:tc>
        <w:tc>
          <w:tcPr>
            <w:tcW w:w="158" w:type="dxa"/>
            <w:tcBorders/>
            <w:shd w:fill="auto" w:val="clear"/>
            <w:vAlign w:val="bottom"/>
          </w:tcPr>
          <w:p>
            <w:pPr>
              <w:pStyle w:val="TableContents"/>
              <w:spacing w:before="0" w:after="283"/>
              <w:rPr/>
            </w:pPr>
            <w:r>
              <w:rPr/>
              <w:t> </w:t>
            </w:r>
          </w:p>
        </w:tc>
        <w:tc>
          <w:tcPr>
            <w:tcW w:w="2305" w:type="dxa"/>
            <w:tcBorders/>
            <w:shd w:fill="auto" w:val="clear"/>
          </w:tcPr>
          <w:p>
            <w:pPr>
              <w:pStyle w:val="TableContents"/>
              <w:spacing w:before="0" w:after="283"/>
              <w:rPr>
                <w:sz w:val="4"/>
                <w:szCs w:val="4"/>
              </w:rPr>
            </w:pPr>
            <w:r>
              <w:rPr>
                <w:sz w:val="4"/>
                <w:szCs w:val="4"/>
              </w:rPr>
            </w:r>
          </w:p>
        </w:tc>
      </w:tr>
      <w:tr>
        <w:trPr/>
        <w:tc>
          <w:tcPr>
            <w:tcW w:w="1619" w:type="dxa"/>
            <w:tcBorders/>
            <w:shd w:fill="auto" w:val="clear"/>
          </w:tcPr>
          <w:p>
            <w:pPr>
              <w:pStyle w:val="TableContents"/>
              <w:spacing w:before="0" w:after="283"/>
              <w:rPr/>
            </w:pPr>
            <w:r>
              <w:rPr/>
              <w:t>Dated:</w:t>
            </w:r>
          </w:p>
        </w:tc>
        <w:tc>
          <w:tcPr>
            <w:tcW w:w="158" w:type="dxa"/>
            <w:tcBorders/>
            <w:shd w:fill="auto" w:val="clear"/>
            <w:vAlign w:val="bottom"/>
          </w:tcPr>
          <w:p>
            <w:pPr>
              <w:pStyle w:val="TableContents"/>
              <w:spacing w:before="0" w:after="283"/>
              <w:rPr/>
            </w:pPr>
            <w:r>
              <w:rPr/>
              <w:t> </w:t>
            </w:r>
          </w:p>
        </w:tc>
        <w:tc>
          <w:tcPr>
            <w:tcW w:w="2305" w:type="dxa"/>
            <w:tcBorders/>
            <w:shd w:fill="auto" w:val="clear"/>
          </w:tcPr>
          <w:p>
            <w:pPr>
              <w:pStyle w:val="TableContents"/>
              <w:spacing w:before="0" w:after="283"/>
              <w:rPr>
                <w:sz w:val="4"/>
                <w:szCs w:val="4"/>
              </w:rPr>
            </w:pPr>
            <w:r>
              <w:rPr>
                <w:sz w:val="4"/>
                <w:szCs w:val="4"/>
              </w:rPr>
            </w:r>
          </w:p>
        </w:tc>
      </w:tr>
    </w:tbl>
    <w:p>
      <w:pPr>
        <w:pStyle w:val="TextBody"/>
        <w:spacing w:before="0" w:after="0"/>
        <w:jc w:val="left"/>
        <w:rPr/>
      </w:pPr>
      <w:r>
        <w:rPr/>
        <w:t> </w:t>
      </w:r>
    </w:p>
    <w:tbl>
      <w:tblPr>
        <w:tblW w:w="2000" w:type="pct"/>
        <w:jc w:val="right"/>
        <w:tblInd w:w="0" w:type="dxa"/>
        <w:tblCellMar>
          <w:top w:w="0" w:type="dxa"/>
          <w:left w:w="0" w:type="dxa"/>
          <w:bottom w:w="0" w:type="dxa"/>
          <w:right w:w="0" w:type="dxa"/>
        </w:tblCellMar>
      </w:tblPr>
      <w:tblGrid>
        <w:gridCol w:w="4082"/>
      </w:tblGrid>
      <w:tr>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tcPr>
          <w:p>
            <w:pPr>
              <w:pStyle w:val="TableContents"/>
              <w:spacing w:before="0" w:after="283"/>
              <w:rPr/>
            </w:pPr>
            <w:r>
              <w:rPr/>
              <w:t></w:t>
            </w:r>
            <w:r>
              <w:rPr>
                <w:b/>
              </w:rPr>
              <w:t>EXECUTIVE</w:t>
            </w:r>
            <w:r>
              <w:rPr/>
              <w:t></w:t>
            </w:r>
          </w:p>
        </w:tc>
      </w:tr>
      <w:tr>
        <w:trPr>
          <w:trHeight w:val="240" w:hRule="atLeast"/>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tcPr>
          <w:p>
            <w:pPr>
              <w:pStyle w:val="TableContents"/>
              <w:pBdr>
                <w:bottom w:val="single" w:sz="2" w:space="1" w:color="000000"/>
              </w:pBdr>
              <w:spacing w:before="0" w:after="20"/>
              <w:rPr/>
            </w:pPr>
            <w:r>
              <w:rPr/>
              <w:t> </w:t>
            </w:r>
          </w:p>
        </w:tc>
      </w:tr>
      <w:tr>
        <w:trPr/>
        <w:tc>
          <w:tcPr>
            <w:tcW w:w="4082" w:type="dxa"/>
            <w:tcBorders/>
            <w:shd w:fill="auto" w:val="clear"/>
          </w:tcPr>
          <w:p>
            <w:pPr>
              <w:pStyle w:val="TableContents"/>
              <w:spacing w:before="0" w:after="283"/>
              <w:rPr/>
            </w:pPr>
            <w:r>
              <w:rPr/>
              <w:t>Trevor Bezdek</w:t>
            </w:r>
          </w:p>
        </w:tc>
      </w:tr>
      <w:tr>
        <w:trPr/>
        <w:tc>
          <w:tcPr>
            <w:tcW w:w="4082" w:type="dxa"/>
            <w:tcBorders/>
            <w:shd w:fill="auto" w:val="clear"/>
          </w:tcPr>
          <w:p>
            <w:pPr>
              <w:pStyle w:val="TableContents"/>
              <w:spacing w:before="0" w:after="283"/>
              <w:rPr/>
            </w:pPr>
            <w:r>
              <w:rPr/>
              <w:t>Dated:</w:t>
            </w:r>
          </w:p>
        </w:tc>
      </w:tr>
    </w:tbl>
    <w:p>
      <w:pPr>
        <w:pStyle w:val="TextBody"/>
        <w:spacing w:before="240" w:after="0"/>
        <w:jc w:val="center"/>
        <w:rPr>
          <w:rFonts w:ascii="Times New Roman" w:hAnsi="Times New Roman"/>
          <w:sz w:val="20"/>
        </w:rPr>
      </w:pPr>
      <w:r>
        <w:rPr>
          <w:rFonts w:ascii="Times New Roman" w:hAnsi="Times New Roman"/>
          <w:sz w:val="20"/>
        </w:rPr>
        <w:t xml:space="preserve">[SIGNATURE PAGE TO GENERAL RELEASE OF ALL CLAIMS] </w:t>
      </w:r>
      <w:r>
        <w:br w:type="page"/>
      </w:r>
    </w:p>
    <w:p>
      <w:pPr>
        <w:pStyle w:val="TextBody"/>
        <w:spacing w:before="0" w:after="0"/>
        <w:jc w:val="right"/>
        <w:rPr>
          <w:rFonts w:ascii="Times New Roman" w:hAnsi="Times New Roman"/>
          <w:b/>
          <w:sz w:val="20"/>
        </w:rPr>
      </w:pPr>
      <w:bookmarkStart w:id="6" w:name="d436463dex103.htm"/>
      <w:bookmarkStart w:id="7" w:name="ksd436463dex103"/>
      <w:bookmarkEnd w:id="6"/>
      <w:bookmarkEnd w:id="7"/>
      <w:r>
        <w:rPr>
          <w:rFonts w:ascii="Times New Roman" w:hAnsi="Times New Roman"/>
          <w:b/>
          <w:sz w:val="20"/>
        </w:rPr>
        <w:t xml:space="preserve">Exhibit 10.3 </w:t>
      </w:r>
    </w:p>
    <w:p>
      <w:pPr>
        <w:pStyle w:val="TextBody"/>
        <w:spacing w:before="480" w:after="0"/>
        <w:jc w:val="center"/>
        <w:rPr>
          <w:rFonts w:ascii="Times New Roman" w:hAnsi="Times New Roman"/>
          <w:b/>
          <w:sz w:val="20"/>
          <w:u w:val="single"/>
        </w:rPr>
      </w:pPr>
      <w:r>
        <w:rPr>
          <w:rFonts w:ascii="Times New Roman" w:hAnsi="Times New Roman"/>
          <w:b/>
          <w:sz w:val="20"/>
          <w:u w:val="single"/>
        </w:rPr>
        <w:t xml:space="preserve">SECOND AMENDED AND RESTATED EMPLOYMENT AGREEMENT </w:t>
      </w:r>
    </w:p>
    <w:p>
      <w:pPr>
        <w:pStyle w:val="TextBody"/>
        <w:spacing w:before="240" w:after="0"/>
        <w:jc w:val="left"/>
        <w:rPr>
          <w:rFonts w:ascii="Times New Roman" w:hAnsi="Times New Roman"/>
          <w:sz w:val="20"/>
        </w:rPr>
      </w:pPr>
      <w:r>
        <w:rPr>
          <w:rFonts w:ascii="Times New Roman" w:hAnsi="Times New Roman"/>
          <w:b/>
          <w:sz w:val="20"/>
        </w:rPr>
        <w:t xml:space="preserve">THIS SECOND AMENDED AND RESTATED EMPLOYMENT AGREEMENT </w:t>
      </w:r>
      <w:r>
        <w:rPr>
          <w:rFonts w:ascii="Times New Roman" w:hAnsi="Times New Roman"/>
          <w:sz w:val="20"/>
        </w:rPr>
        <w:t>(this </w:t>
      </w:r>
      <w:r>
        <w:rPr>
          <w:rFonts w:ascii="Times New Roman" w:hAnsi="Times New Roman"/>
          <w:sz w:val="20"/>
          <w:u w:val="single"/>
        </w:rPr>
        <w:t>Agreement</w:t>
      </w:r>
      <w:r>
        <w:rPr>
          <w:rFonts w:ascii="Times New Roman" w:hAnsi="Times New Roman"/>
          <w:sz w:val="20"/>
        </w:rPr>
        <w:t>) is made and entered into as of April 25, 2023 by and among GoodRx, Inc., a Delaware corporation (the </w:t>
      </w:r>
      <w:r>
        <w:rPr>
          <w:rFonts w:ascii="Times New Roman" w:hAnsi="Times New Roman"/>
          <w:sz w:val="20"/>
          <w:u w:val="single"/>
        </w:rPr>
        <w:t>Corporation</w:t>
      </w:r>
      <w:r>
        <w:rPr>
          <w:rFonts w:ascii="Times New Roman" w:hAnsi="Times New Roman"/>
          <w:sz w:val="20"/>
        </w:rPr>
        <w:t>) and Douglas Hirsch, an individual (the </w:t>
      </w:r>
      <w:r>
        <w:rPr>
          <w:rFonts w:ascii="Times New Roman" w:hAnsi="Times New Roman"/>
          <w:sz w:val="20"/>
          <w:u w:val="single"/>
        </w:rPr>
        <w:t>Executive</w:t>
      </w:r>
      <w:r>
        <w:rPr>
          <w:rFonts w:ascii="Times New Roman" w:hAnsi="Times New Roman"/>
          <w:sz w:val="20"/>
        </w:rPr>
        <w:t xml:space="preserve">). </w:t>
      </w:r>
    </w:p>
    <w:p>
      <w:pPr>
        <w:pStyle w:val="TextBody"/>
        <w:spacing w:before="480" w:after="0"/>
        <w:jc w:val="center"/>
        <w:rPr>
          <w:rFonts w:ascii="Times New Roman" w:hAnsi="Times New Roman"/>
          <w:b/>
          <w:sz w:val="20"/>
        </w:rPr>
      </w:pPr>
      <w:r>
        <w:rPr>
          <w:rFonts w:ascii="Times New Roman" w:hAnsi="Times New Roman"/>
          <w:b/>
          <w:sz w:val="20"/>
        </w:rPr>
        <w:t xml:space="preserve">RECITALS </w:t>
      </w:r>
    </w:p>
    <w:p>
      <w:pPr>
        <w:pStyle w:val="TextBody"/>
        <w:spacing w:before="240" w:after="0"/>
        <w:jc w:val="left"/>
        <w:rPr>
          <w:rFonts w:ascii="Times New Roman" w:hAnsi="Times New Roman"/>
          <w:sz w:val="20"/>
        </w:rPr>
      </w:pPr>
      <w:r>
        <w:rPr>
          <w:rFonts w:ascii="Times New Roman" w:hAnsi="Times New Roman"/>
          <w:b/>
          <w:sz w:val="20"/>
        </w:rPr>
        <w:t xml:space="preserve">THE PARTIES ENTER THIS AGREEMENT </w:t>
      </w:r>
      <w:r>
        <w:rPr>
          <w:rFonts w:ascii="Times New Roman" w:hAnsi="Times New Roman"/>
          <w:sz w:val="20"/>
        </w:rPr>
        <w:t xml:space="preserve">on the basis of the following facts, understandings and intentions: </w:t>
      </w:r>
    </w:p>
    <w:p>
      <w:pPr>
        <w:pStyle w:val="TextBody"/>
        <w:spacing w:before="24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The Executive currently serves as the Corporations Co-Chief Executive Officer and the Executive currently is employed pursuant to that certain Amended and Restated Employment Agreement, entered into as of September 19, 2020 (the </w:t>
      </w:r>
      <w:r>
        <w:rPr>
          <w:rFonts w:ascii="Times New Roman" w:hAnsi="Times New Roman"/>
          <w:sz w:val="20"/>
          <w:u w:val="single"/>
        </w:rPr>
        <w:t>Prior Employment Agreement</w:t>
      </w:r>
      <w:r>
        <w:rPr>
          <w:rFonts w:ascii="Times New Roman" w:hAnsi="Times New Roman"/>
          <w:sz w:val="20"/>
        </w:rPr>
        <w:t xml:space="preserve">); and </w:t>
      </w:r>
    </w:p>
    <w:p>
      <w:pPr>
        <w:pStyle w:val="TextBody"/>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The Corporation and the Executive mutually desire that the Executive continue to be employed by the Corporation as its Chief Mission Officer, and to carry out the duties and responsibilities described below, all on the terms and conditions hereinafter set forth, and to replace and supersede the Prior Employment Agreement, in each case, effective as of the Effective Date (as defined below). </w:t>
      </w:r>
    </w:p>
    <w:p>
      <w:pPr>
        <w:pStyle w:val="TextBody"/>
        <w:spacing w:before="240" w:after="0"/>
        <w:jc w:val="left"/>
        <w:rPr>
          <w:rFonts w:ascii="Times New Roman" w:hAnsi="Times New Roman"/>
          <w:sz w:val="20"/>
        </w:rPr>
      </w:pPr>
      <w:r>
        <w:rPr>
          <w:rFonts w:ascii="Times New Roman" w:hAnsi="Times New Roman"/>
          <w:b/>
          <w:sz w:val="20"/>
        </w:rPr>
        <w:t>NOW, THEREFORE</w:t>
      </w:r>
      <w:r>
        <w:rPr>
          <w:rFonts w:ascii="Times New Roman" w:hAnsi="Times New Roman"/>
          <w:sz w:val="20"/>
        </w:rPr>
        <w:t xml:space="preserve">, in consideration of the above recitals incorporated herein and the mutual covenants and promises contained herein and other good and valuable consideration, the receipt and sufficiency of which are hereby expressly acknowledged, the parties agree as follows: </w:t>
      </w:r>
    </w:p>
    <w:p>
      <w:pPr>
        <w:pStyle w:val="TextBody"/>
        <w:spacing w:before="360" w:after="0"/>
        <w:jc w:val="left"/>
        <w:rPr>
          <w:rFonts w:ascii="Times New Roman" w:hAnsi="Times New Roman"/>
          <w:b/>
          <w:sz w:val="20"/>
        </w:rPr>
      </w:pPr>
      <w:r>
        <w:rPr>
          <w:rFonts w:ascii="Times New Roman" w:hAnsi="Times New Roman"/>
          <w:b/>
          <w:sz w:val="20"/>
        </w:rPr>
        <w:t xml:space="preserve">1. </w:t>
      </w:r>
      <w:r>
        <w:rPr>
          <w:rFonts w:ascii="Times New Roman" w:hAnsi="Times New Roman"/>
          <w:b/>
          <w:sz w:val="20"/>
          <w:u w:val="single"/>
        </w:rPr>
        <w:t>Employment and Duties</w:t>
      </w:r>
      <w:r>
        <w:rPr>
          <w:rFonts w:ascii="Times New Roman" w:hAnsi="Times New Roman"/>
          <w:b/>
          <w:sz w:val="20"/>
        </w:rPr>
        <w:t xml:space="preserve">. </w:t>
      </w:r>
    </w:p>
    <w:p>
      <w:pPr>
        <w:pStyle w:val="TextBody"/>
        <w:spacing w:before="120" w:after="0"/>
        <w:jc w:val="left"/>
        <w:rPr>
          <w:rFonts w:ascii="Times New Roman" w:hAnsi="Times New Roman"/>
          <w:sz w:val="20"/>
        </w:rPr>
      </w:pPr>
      <w:r>
        <w:rPr>
          <w:rFonts w:ascii="Times New Roman" w:hAnsi="Times New Roman"/>
          <w:b/>
          <w:sz w:val="20"/>
        </w:rPr>
        <w:t>1.1</w:t>
      </w:r>
      <w:r>
        <w:rPr>
          <w:rFonts w:ascii="Times New Roman" w:hAnsi="Times New Roman"/>
          <w:sz w:val="20"/>
        </w:rPr>
        <w:t xml:space="preserve"> </w:t>
      </w:r>
      <w:r>
        <w:rPr>
          <w:rFonts w:ascii="Times New Roman" w:hAnsi="Times New Roman"/>
          <w:b/>
          <w:sz w:val="20"/>
          <w:u w:val="single"/>
        </w:rPr>
        <w:t>Employment</w:t>
      </w:r>
      <w:r>
        <w:rPr>
          <w:rFonts w:ascii="Times New Roman" w:hAnsi="Times New Roman"/>
          <w:sz w:val="20"/>
        </w:rPr>
        <w:t xml:space="preserve">. The Corporation does hereby continue to employ the Executive on an at-will basis, subject to the terms and conditions expressly set forth in this Agreement, including, but not limited to, Section 5 of this Agreement. The Executive does hereby accept and agree to such continued employment on the terms and conditions expressly set forth in this Agreement. The Executive acknowledges and agrees that none of (i) his change in position from Co-Chief Executive Officer of the Corporation to Chief Mission Officer of the Corporation, (ii) the appointment of Scott Wagner as the sole Interim Chief Executive Officer of the Corporation, and/or (iii) entering into this Agreement (including any changes herein to the Executives compensation), in any case, constitute or will constitute an event giving rise to Good Reason for purposes of this Agreement or any other agreement between the Executive and the Corporation and/or its affiliates. </w:t>
      </w:r>
    </w:p>
    <w:p>
      <w:pPr>
        <w:pStyle w:val="TextBody"/>
        <w:spacing w:before="240" w:after="0"/>
        <w:jc w:val="left"/>
        <w:rPr>
          <w:rFonts w:ascii="Times New Roman" w:hAnsi="Times New Roman"/>
          <w:sz w:val="20"/>
        </w:rPr>
      </w:pPr>
      <w:r>
        <w:rPr>
          <w:rFonts w:ascii="Times New Roman" w:hAnsi="Times New Roman"/>
          <w:b/>
          <w:sz w:val="20"/>
        </w:rPr>
        <w:t>1.2</w:t>
      </w:r>
      <w:r>
        <w:rPr>
          <w:rFonts w:ascii="Times New Roman" w:hAnsi="Times New Roman"/>
          <w:sz w:val="20"/>
        </w:rPr>
        <w:t xml:space="preserve"> </w:t>
      </w:r>
      <w:r>
        <w:rPr>
          <w:rFonts w:ascii="Times New Roman" w:hAnsi="Times New Roman"/>
          <w:b/>
          <w:sz w:val="20"/>
          <w:u w:val="single"/>
        </w:rPr>
        <w:t>Duties</w:t>
      </w:r>
      <w:r>
        <w:rPr>
          <w:rFonts w:ascii="Times New Roman" w:hAnsi="Times New Roman"/>
          <w:sz w:val="20"/>
        </w:rPr>
        <w:t>. The Executive shall serve the Corporation as its Chief Mission Officer and shall perform and have the responsibilities, duties, status and authority customary for a position in an organization of the size and nature of the Corporation, subject to the corporate policies of the Corporation as in effect from time to time (including, without limitation, the Corporations business conduct and ethics policies, as they may be amended from time to time). In this position, the Executive shall report to the Board of Directors (</w:t>
      </w:r>
      <w:r>
        <w:rPr>
          <w:rFonts w:ascii="Times New Roman" w:hAnsi="Times New Roman"/>
          <w:sz w:val="20"/>
          <w:u w:val="single"/>
        </w:rPr>
        <w:t>Board</w:t>
      </w:r>
      <w:r>
        <w:rPr>
          <w:rFonts w:ascii="Times New Roman" w:hAnsi="Times New Roman"/>
          <w:sz w:val="20"/>
        </w:rPr>
        <w:t>) of GoodRx Holdings, Inc. (</w:t>
      </w:r>
      <w:r>
        <w:rPr>
          <w:rFonts w:ascii="Times New Roman" w:hAnsi="Times New Roman"/>
          <w:sz w:val="20"/>
          <w:u w:val="single"/>
        </w:rPr>
        <w:t>Holdings</w:t>
      </w:r>
      <w:r>
        <w:rPr>
          <w:rFonts w:ascii="Times New Roman" w:hAnsi="Times New Roman"/>
          <w:sz w:val="20"/>
        </w:rPr>
        <w:t xml:space="preserve">) and shall render such administrative, financial, and other executive and managerial services to the Corporation and its affiliates as the Board may from time to time reasonably direct. </w:t>
      </w:r>
    </w:p>
    <w:p>
      <w:pPr>
        <w:pStyle w:val="TextBody"/>
        <w:spacing w:before="0" w:after="0"/>
        <w:jc w:val="left"/>
        <w:rPr/>
      </w:pPr>
      <w:r>
        <w:rPr/>
        <w:t>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b/>
          <w:sz w:val="20"/>
        </w:rPr>
        <w:t>1.3</w:t>
      </w:r>
      <w:r>
        <w:rPr>
          <w:rFonts w:ascii="Times New Roman" w:hAnsi="Times New Roman"/>
          <w:sz w:val="20"/>
        </w:rPr>
        <w:t xml:space="preserve"> </w:t>
      </w:r>
      <w:r>
        <w:rPr>
          <w:rFonts w:ascii="Times New Roman" w:hAnsi="Times New Roman"/>
          <w:b/>
          <w:sz w:val="20"/>
          <w:u w:val="single"/>
        </w:rPr>
        <w:t>No Other Employment; Time Commitment</w:t>
      </w:r>
      <w:r>
        <w:rPr>
          <w:rFonts w:ascii="Times New Roman" w:hAnsi="Times New Roman"/>
          <w:sz w:val="20"/>
        </w:rPr>
        <w:t>. For so long as the Executive is employed with the Corporation, and notwithstanding anything to the contrary in that certain Proprietary Information and Invention Assignment Agreement between the Corporation and the Executive (the </w:t>
      </w:r>
      <w:r>
        <w:rPr>
          <w:rFonts w:ascii="Times New Roman" w:hAnsi="Times New Roman"/>
          <w:sz w:val="20"/>
          <w:u w:val="single"/>
        </w:rPr>
        <w:t>PIIA</w:t>
      </w:r>
      <w:r>
        <w:rPr>
          <w:rFonts w:ascii="Times New Roman" w:hAnsi="Times New Roman"/>
          <w:sz w:val="20"/>
        </w:rPr>
        <w:t>), the Executive shall both (i) devote a reasonable amount of his business time, energy and skill to the performance of the Executives duties for the Corporation and (ii) hold no other employment positions with any other entity. Further, the Executives service on the boards of directors (or similar bodies) of other business entities is subject to the prior approval of the Board not to be unreasonably withheld. The Corporation shall have the right to require the Executive to resign from any board or similar body on which the Executive may then serve if the Board reasonably determines that such service (x) creates a material conflict of interest or otherwise directly interferes with the effective discharge of the Executives duties and responsibilities to the Corporation in accordance with this Agreement or (y) is in respect of a business then in competition with any business of the Corporation. Subject to this Section 1.3 and the Executives obligations of confidentiality to the Corporation, nothing in this Agreement or the PIIA shall preclude Executive from maintaining and managing Executives ownership interest in (or shall provide for the future assignment of any rights of Executive with respect to) Idea Men LLC (</w:t>
      </w:r>
      <w:r>
        <w:rPr>
          <w:rFonts w:ascii="Times New Roman" w:hAnsi="Times New Roman"/>
          <w:sz w:val="20"/>
          <w:u w:val="single"/>
        </w:rPr>
        <w:t>Idea Men</w:t>
      </w:r>
      <w:r>
        <w:rPr>
          <w:rFonts w:ascii="Times New Roman" w:hAnsi="Times New Roman"/>
          <w:sz w:val="20"/>
        </w:rPr>
        <w:t xml:space="preserve">), or in other ownership interests in other entities through which Executive owns or manages personal or real property, or in other ownership interests in other entities investing in area of real property, mutual funds and other pooled investment vehicles (such as private equity, private debt, venture capital or other investment funds or vehicles) or other business ventures, provided that such funds, other pooled investment vehicles and other business ventures are not in competition with the Corporation. Notwithstanding anything to the contrary in this Agreement or in the PIIA, an indirect holding in a competitor through the Executives passive investment in a mutual fund or diversified blind-pool investment fund shall not be deemed competition for purposes of this clause. </w:t>
      </w:r>
    </w:p>
    <w:p>
      <w:pPr>
        <w:pStyle w:val="TextBody"/>
        <w:spacing w:before="240" w:after="0"/>
        <w:jc w:val="left"/>
        <w:rPr>
          <w:rFonts w:ascii="Times New Roman" w:hAnsi="Times New Roman"/>
          <w:sz w:val="20"/>
        </w:rPr>
      </w:pPr>
      <w:r>
        <w:rPr>
          <w:rFonts w:ascii="Times New Roman" w:hAnsi="Times New Roman"/>
          <w:b/>
          <w:sz w:val="20"/>
        </w:rPr>
        <w:t>1.4</w:t>
      </w:r>
      <w:r>
        <w:rPr>
          <w:rFonts w:ascii="Times New Roman" w:hAnsi="Times New Roman"/>
          <w:sz w:val="20"/>
        </w:rPr>
        <w:t xml:space="preserve"> </w:t>
      </w:r>
      <w:r>
        <w:rPr>
          <w:rFonts w:ascii="Times New Roman" w:hAnsi="Times New Roman"/>
          <w:b/>
          <w:sz w:val="20"/>
          <w:u w:val="single"/>
        </w:rPr>
        <w:t>No Breach of Contract</w:t>
      </w:r>
      <w:r>
        <w:rPr>
          <w:rFonts w:ascii="Times New Roman" w:hAnsi="Times New Roman"/>
          <w:sz w:val="20"/>
        </w:rPr>
        <w:t xml:space="preserve">. The Executive hereby represents to the Corporation: (i) that the execution and delivery of this Agreement by the Executive and the Corporation and the performance by the Executive of the Executives duties hereunder shall not constitute a breach of, or otherwise contravene, the terms of any other agreement or policy to which the Executive is a party or otherwise bound; (ii) that the Executive has no information (including, without limitation, confidential information and trade secrets) relating to any other person or entity which would prevent, or be violated by, the Executive entering into this Agreement or carrying out the Executives duties hereunder; and (iii) that the Executive is not bound by any confidentiality, trade secret or similar agreement with any other person or entity which would prevent, or be violated by, the Executive (x) entering into this Agreement or (y) carrying out the Executives duties hereunder. </w:t>
      </w:r>
    </w:p>
    <w:p>
      <w:pPr>
        <w:pStyle w:val="TextBody"/>
        <w:spacing w:before="240" w:after="0"/>
        <w:jc w:val="left"/>
        <w:rPr>
          <w:rFonts w:ascii="Times New Roman" w:hAnsi="Times New Roman"/>
          <w:sz w:val="20"/>
        </w:rPr>
      </w:pPr>
      <w:r>
        <w:rPr>
          <w:rFonts w:ascii="Times New Roman" w:hAnsi="Times New Roman"/>
          <w:b/>
          <w:sz w:val="20"/>
        </w:rPr>
        <w:t>1.5</w:t>
      </w:r>
      <w:r>
        <w:rPr>
          <w:rFonts w:ascii="Times New Roman" w:hAnsi="Times New Roman"/>
          <w:sz w:val="20"/>
        </w:rPr>
        <w:t xml:space="preserve"> </w:t>
      </w:r>
      <w:r>
        <w:rPr>
          <w:rFonts w:ascii="Times New Roman" w:hAnsi="Times New Roman"/>
          <w:b/>
          <w:sz w:val="20"/>
          <w:u w:val="single"/>
        </w:rPr>
        <w:t>Location; Administration</w:t>
      </w:r>
      <w:r>
        <w:rPr>
          <w:rFonts w:ascii="Times New Roman" w:hAnsi="Times New Roman"/>
          <w:sz w:val="20"/>
        </w:rPr>
        <w:t xml:space="preserve">. The Executives principal place of employment initially shall be the offices of the Corporations headquarters, currently located in Santa Monica, California (Pen Factory). Executive shall be assigned dedicated office space in the Pen Factory. The Executive acknowledges that business travel may be required from time to time in the course of performing the Executives duties for the Corporation. Where available for flights with a duration longer than two hours, such air travel shall be provided to the Executive in business class. In addition, subject to her continued employment by the Corporation, the Corporation will provide the Executive with the Executive Assistant who performed services in the capacity of administrative assistant for the Executive when the Executive was employed as co-Chief Executive Officer of the Corporation.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b/>
          <w:sz w:val="20"/>
        </w:rPr>
        <w:t>2.</w:t>
      </w:r>
      <w:r>
        <w:rPr>
          <w:rFonts w:ascii="Times New Roman" w:hAnsi="Times New Roman"/>
          <w:sz w:val="20"/>
        </w:rPr>
        <w:t xml:space="preserve"> </w:t>
      </w:r>
      <w:r>
        <w:rPr>
          <w:rFonts w:ascii="Times New Roman" w:hAnsi="Times New Roman"/>
          <w:b/>
          <w:sz w:val="20"/>
          <w:u w:val="single"/>
        </w:rPr>
        <w:t>Term</w:t>
      </w:r>
      <w:r>
        <w:rPr>
          <w:rFonts w:ascii="Times New Roman" w:hAnsi="Times New Roman"/>
          <w:sz w:val="20"/>
        </w:rPr>
        <w:t>. The parties acknowledge that the Executive has been an employee of the Corporation prior to the date of this Agreement and that the Executives employment under this Agreement shall commence on April 25, 2023 which date will be hereinafter referred to as the </w:t>
      </w:r>
      <w:r>
        <w:rPr>
          <w:rFonts w:ascii="Times New Roman" w:hAnsi="Times New Roman"/>
          <w:sz w:val="20"/>
          <w:u w:val="single"/>
        </w:rPr>
        <w:t>Effective Date</w:t>
      </w:r>
      <w:r>
        <w:rPr>
          <w:rFonts w:ascii="Times New Roman" w:hAnsi="Times New Roman"/>
          <w:sz w:val="20"/>
        </w:rPr>
        <w:t>. and shall be for a term ending on the 18-month anniversary of the Effective Date, unless earlier terminated in accordance with the terms of this Agreement (the </w:t>
      </w:r>
      <w:r>
        <w:rPr>
          <w:rFonts w:ascii="Times New Roman" w:hAnsi="Times New Roman"/>
          <w:sz w:val="20"/>
          <w:u w:val="single"/>
        </w:rPr>
        <w:t>Term</w:t>
      </w:r>
      <w:r>
        <w:rPr>
          <w:rFonts w:ascii="Times New Roman" w:hAnsi="Times New Roman"/>
          <w:sz w:val="20"/>
        </w:rPr>
        <w:t xml:space="preserve">). For the avoidance of doubt, this Agreement will not be effective, and the Executive will not be entitled to any of the compensation and benefits set forth herein, until (and including) the Effective Date (it being understood that the Prior Employment Agreement shall govern through (but excluding) the Effective Date). If Executive remains employed following the expiration of the Term and this Agreement, the Executive shall continue as an at-will employee and Section 13 sets forth the provisions of this Agreement that shall survive the expiration of this Agreement. </w:t>
      </w:r>
    </w:p>
    <w:p>
      <w:pPr>
        <w:pStyle w:val="TextBody"/>
        <w:spacing w:before="360" w:after="0"/>
        <w:jc w:val="left"/>
        <w:rPr>
          <w:rFonts w:ascii="Times New Roman" w:hAnsi="Times New Roman"/>
          <w:b/>
          <w:sz w:val="20"/>
        </w:rPr>
      </w:pPr>
      <w:r>
        <w:rPr>
          <w:rFonts w:ascii="Times New Roman" w:hAnsi="Times New Roman"/>
          <w:b/>
          <w:sz w:val="20"/>
        </w:rPr>
        <w:t xml:space="preserve">3. </w:t>
      </w:r>
      <w:r>
        <w:rPr>
          <w:rFonts w:ascii="Times New Roman" w:hAnsi="Times New Roman"/>
          <w:b/>
          <w:sz w:val="20"/>
          <w:u w:val="single"/>
        </w:rPr>
        <w:t>Compensation</w:t>
      </w:r>
      <w:r>
        <w:rPr>
          <w:rFonts w:ascii="Times New Roman" w:hAnsi="Times New Roman"/>
          <w:b/>
          <w:sz w:val="20"/>
        </w:rPr>
        <w:t xml:space="preserve">. </w:t>
      </w:r>
    </w:p>
    <w:p>
      <w:pPr>
        <w:pStyle w:val="TextBody"/>
        <w:spacing w:before="120" w:after="0"/>
        <w:jc w:val="left"/>
        <w:rPr>
          <w:rFonts w:ascii="Times New Roman" w:hAnsi="Times New Roman"/>
          <w:sz w:val="20"/>
        </w:rPr>
      </w:pPr>
      <w:r>
        <w:rPr>
          <w:rFonts w:ascii="Times New Roman" w:hAnsi="Times New Roman"/>
          <w:b/>
          <w:sz w:val="20"/>
        </w:rPr>
        <w:t>3.1</w:t>
      </w:r>
      <w:r>
        <w:rPr>
          <w:rFonts w:ascii="Times New Roman" w:hAnsi="Times New Roman"/>
          <w:sz w:val="20"/>
        </w:rPr>
        <w:t xml:space="preserve"> </w:t>
      </w:r>
      <w:r>
        <w:rPr>
          <w:rFonts w:ascii="Times New Roman" w:hAnsi="Times New Roman"/>
          <w:b/>
          <w:sz w:val="20"/>
          <w:u w:val="single"/>
        </w:rPr>
        <w:t>Base Salary</w:t>
      </w:r>
      <w:r>
        <w:rPr>
          <w:rFonts w:ascii="Times New Roman" w:hAnsi="Times New Roman"/>
          <w:sz w:val="20"/>
        </w:rPr>
        <w:t>. During the Term, the Executives annual base salary (the </w:t>
      </w:r>
      <w:r>
        <w:rPr>
          <w:rFonts w:ascii="Times New Roman" w:hAnsi="Times New Roman"/>
          <w:sz w:val="20"/>
          <w:u w:val="single"/>
        </w:rPr>
        <w:t>Base Salary</w:t>
      </w:r>
      <w:r>
        <w:rPr>
          <w:rFonts w:ascii="Times New Roman" w:hAnsi="Times New Roman"/>
          <w:sz w:val="20"/>
        </w:rPr>
        <w:t>) shall be paid in accordance with the Corporations regular payroll practices in effect from time to time, but not less frequently than in monthly installments. As of the Effective Date, the Executives Base Salary shall be at an annualized rate of $500,000. During the Term, subject to Section 5, the Board (or a subcommittee thereof) will annually review, and may adjust in its discretion, the Executives rate of Base Salary. The term </w:t>
      </w:r>
      <w:r>
        <w:rPr>
          <w:rFonts w:ascii="Times New Roman" w:hAnsi="Times New Roman"/>
          <w:sz w:val="20"/>
          <w:u w:val="single"/>
        </w:rPr>
        <w:t>Base Salary</w:t>
      </w:r>
      <w:r>
        <w:rPr>
          <w:rFonts w:ascii="Times New Roman" w:hAnsi="Times New Roman"/>
          <w:sz w:val="20"/>
        </w:rPr>
        <w:t xml:space="preserve"> as utilized in this Agreement shall refer to the Base Salary as so adjusted. </w:t>
      </w:r>
    </w:p>
    <w:p>
      <w:pPr>
        <w:pStyle w:val="TextBody"/>
        <w:spacing w:before="240" w:after="0"/>
        <w:jc w:val="left"/>
        <w:rPr>
          <w:rFonts w:ascii="Times New Roman" w:hAnsi="Times New Roman"/>
          <w:sz w:val="20"/>
        </w:rPr>
      </w:pPr>
      <w:r>
        <w:rPr>
          <w:rFonts w:ascii="Times New Roman" w:hAnsi="Times New Roman"/>
          <w:b/>
          <w:sz w:val="20"/>
        </w:rPr>
        <w:t>3.2</w:t>
      </w:r>
      <w:r>
        <w:rPr>
          <w:rFonts w:ascii="Times New Roman" w:hAnsi="Times New Roman"/>
          <w:sz w:val="20"/>
        </w:rPr>
        <w:t xml:space="preserve"> </w:t>
      </w:r>
      <w:r>
        <w:rPr>
          <w:rFonts w:ascii="Times New Roman" w:hAnsi="Times New Roman"/>
          <w:b/>
          <w:sz w:val="20"/>
          <w:u w:val="single"/>
        </w:rPr>
        <w:t>Incentive Bonus</w:t>
      </w:r>
      <w:r>
        <w:rPr>
          <w:rFonts w:ascii="Times New Roman" w:hAnsi="Times New Roman"/>
          <w:sz w:val="20"/>
        </w:rPr>
        <w:t>. The Executive will be eligible each year during the Term for an incentive bonus (the </w:t>
      </w:r>
      <w:r>
        <w:rPr>
          <w:rFonts w:ascii="Times New Roman" w:hAnsi="Times New Roman"/>
          <w:sz w:val="20"/>
          <w:u w:val="single"/>
        </w:rPr>
        <w:t>Incentive Bonus</w:t>
      </w:r>
      <w:r>
        <w:rPr>
          <w:rFonts w:ascii="Times New Roman" w:hAnsi="Times New Roman"/>
          <w:sz w:val="20"/>
        </w:rPr>
        <w:t xml:space="preserve">) targeted at 100% of Executives annual Base Salary, payable if the Corporation meets applicable performance goals determined by the Board (or a subcommittee thereof) in its discretion following consultation with Executive. The actual Incentive Bonus earned for each fiscal year (which, for clarity, may exceed or be less than the target Incentive Bonus), shall be paid as soon as practicable following the Boards (or its subcommittees) approval of the amount of the Incentive Bonus, but no later than March 15 of the calendar year following the year in which the bonus is earned, subject to the Executives continued employment by the Corporation or its affiliates through (i) for 2023, December 31, 2023 and (ii) for 2024, the 18-month anniversary of the Effective Date. </w:t>
      </w:r>
    </w:p>
    <w:p>
      <w:pPr>
        <w:pStyle w:val="TextBody"/>
        <w:spacing w:before="360" w:after="0"/>
        <w:jc w:val="left"/>
        <w:rPr>
          <w:rFonts w:ascii="Times New Roman" w:hAnsi="Times New Roman"/>
          <w:b/>
          <w:sz w:val="20"/>
        </w:rPr>
      </w:pPr>
      <w:r>
        <w:rPr>
          <w:rFonts w:ascii="Times New Roman" w:hAnsi="Times New Roman"/>
          <w:b/>
          <w:sz w:val="20"/>
        </w:rPr>
        <w:t xml:space="preserve">4. </w:t>
      </w:r>
      <w:r>
        <w:rPr>
          <w:rFonts w:ascii="Times New Roman" w:hAnsi="Times New Roman"/>
          <w:b/>
          <w:sz w:val="20"/>
          <w:u w:val="single"/>
        </w:rPr>
        <w:t>Benefits</w:t>
      </w:r>
      <w:r>
        <w:rPr>
          <w:rFonts w:ascii="Times New Roman" w:hAnsi="Times New Roman"/>
          <w:b/>
          <w:sz w:val="20"/>
        </w:rPr>
        <w:t xml:space="preserve">. </w:t>
      </w:r>
    </w:p>
    <w:p>
      <w:pPr>
        <w:pStyle w:val="TextBody"/>
        <w:spacing w:before="120" w:after="0"/>
        <w:jc w:val="left"/>
        <w:rPr>
          <w:rFonts w:ascii="Times New Roman" w:hAnsi="Times New Roman"/>
          <w:sz w:val="20"/>
        </w:rPr>
      </w:pPr>
      <w:r>
        <w:rPr>
          <w:rFonts w:ascii="Times New Roman" w:hAnsi="Times New Roman"/>
          <w:b/>
          <w:sz w:val="20"/>
        </w:rPr>
        <w:t>4.1</w:t>
      </w:r>
      <w:r>
        <w:rPr>
          <w:rFonts w:ascii="Times New Roman" w:hAnsi="Times New Roman"/>
          <w:sz w:val="20"/>
        </w:rPr>
        <w:t xml:space="preserve"> </w:t>
      </w:r>
      <w:r>
        <w:rPr>
          <w:rFonts w:ascii="Times New Roman" w:hAnsi="Times New Roman"/>
          <w:b/>
          <w:sz w:val="20"/>
          <w:u w:val="single"/>
        </w:rPr>
        <w:t>Health, Retirement, Welfare and Fringe Benefits</w:t>
      </w:r>
      <w:r>
        <w:rPr>
          <w:rFonts w:ascii="Times New Roman" w:hAnsi="Times New Roman"/>
          <w:sz w:val="20"/>
        </w:rPr>
        <w:t xml:space="preserve">. During the Term, the Executive shall be eligible to participate in all employee health, life and other insurance, retirement and welfare benefit plans and programs, bonus, and fringe benefit plans and programs, made available by the Corporation to the Corporations executive employees generally, in accordance with the terms of such plans and as such plans or programs may be in effect from time to time.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b/>
          <w:sz w:val="20"/>
        </w:rPr>
        <w:t>4.2</w:t>
      </w:r>
      <w:r>
        <w:rPr>
          <w:rFonts w:ascii="Times New Roman" w:hAnsi="Times New Roman"/>
          <w:sz w:val="20"/>
        </w:rPr>
        <w:t xml:space="preserve"> </w:t>
      </w:r>
      <w:r>
        <w:rPr>
          <w:rFonts w:ascii="Times New Roman" w:hAnsi="Times New Roman"/>
          <w:b/>
          <w:sz w:val="20"/>
          <w:u w:val="single"/>
        </w:rPr>
        <w:t>Reimbursement of Expenses</w:t>
      </w:r>
      <w:r>
        <w:rPr>
          <w:rFonts w:ascii="Times New Roman" w:hAnsi="Times New Roman"/>
          <w:sz w:val="20"/>
        </w:rPr>
        <w:t xml:space="preserve">. During the Term, the Corporation shall reimburse Executive for all customary and reasonable business expenses incurred in the performance of his duties under this Agreement and as an officer or director pursuant to the Corporations expense reimbursement policies. </w:t>
      </w:r>
    </w:p>
    <w:p>
      <w:pPr>
        <w:pStyle w:val="TextBody"/>
        <w:spacing w:before="240" w:after="0"/>
        <w:jc w:val="left"/>
        <w:rPr>
          <w:rFonts w:ascii="Times New Roman" w:hAnsi="Times New Roman"/>
          <w:sz w:val="20"/>
        </w:rPr>
      </w:pPr>
      <w:r>
        <w:rPr>
          <w:rFonts w:ascii="Times New Roman" w:hAnsi="Times New Roman"/>
          <w:b/>
          <w:sz w:val="20"/>
        </w:rPr>
        <w:t>4.3</w:t>
      </w:r>
      <w:r>
        <w:rPr>
          <w:rFonts w:ascii="Times New Roman" w:hAnsi="Times New Roman"/>
          <w:sz w:val="20"/>
        </w:rPr>
        <w:t xml:space="preserve"> </w:t>
      </w:r>
      <w:r>
        <w:rPr>
          <w:rFonts w:ascii="Times New Roman" w:hAnsi="Times New Roman"/>
          <w:b/>
          <w:sz w:val="20"/>
          <w:u w:val="single"/>
        </w:rPr>
        <w:t>Vacation and Other Leave</w:t>
      </w:r>
      <w:r>
        <w:rPr>
          <w:rFonts w:ascii="Times New Roman" w:hAnsi="Times New Roman"/>
          <w:sz w:val="20"/>
        </w:rPr>
        <w:t>. During the Term, the Executives annual rate of Paid Time Off (</w:t>
      </w:r>
      <w:r>
        <w:rPr>
          <w:rFonts w:ascii="Times New Roman" w:hAnsi="Times New Roman"/>
          <w:sz w:val="20"/>
          <w:u w:val="single"/>
        </w:rPr>
        <w:t>PTO</w:t>
      </w:r>
      <w:r>
        <w:rPr>
          <w:rFonts w:ascii="Times New Roman" w:hAnsi="Times New Roman"/>
          <w:sz w:val="20"/>
        </w:rPr>
        <w:t xml:space="preserve">) accrual shall be as set forth in the Corporations PTO policies as in effect from time to time; </w:t>
      </w:r>
      <w:r>
        <w:rPr>
          <w:rFonts w:ascii="Times New Roman" w:hAnsi="Times New Roman"/>
          <w:sz w:val="20"/>
          <w:u w:val="single"/>
        </w:rPr>
        <w:t>provided</w:t>
      </w:r>
      <w:r>
        <w:rPr>
          <w:rFonts w:ascii="Times New Roman" w:hAnsi="Times New Roman"/>
          <w:sz w:val="20"/>
        </w:rPr>
        <w:t xml:space="preserve"> that such vacation shall accrue and be subject to the Corporations vacation policies as in effect from time to time. The Executive shall also be eligible for all other holiday and leave pay generally available to other executives of the Corporation. </w:t>
      </w:r>
    </w:p>
    <w:p>
      <w:pPr>
        <w:pStyle w:val="TextBody"/>
        <w:spacing w:before="240" w:after="0"/>
        <w:jc w:val="left"/>
        <w:rPr>
          <w:rFonts w:ascii="Times New Roman" w:hAnsi="Times New Roman"/>
          <w:sz w:val="20"/>
        </w:rPr>
      </w:pPr>
      <w:r>
        <w:rPr>
          <w:rFonts w:ascii="Times New Roman" w:hAnsi="Times New Roman"/>
          <w:b/>
          <w:sz w:val="20"/>
        </w:rPr>
        <w:t>4.4</w:t>
      </w:r>
      <w:r>
        <w:rPr>
          <w:rFonts w:ascii="Times New Roman" w:hAnsi="Times New Roman"/>
          <w:sz w:val="20"/>
        </w:rPr>
        <w:t xml:space="preserve"> </w:t>
      </w:r>
      <w:r>
        <w:rPr>
          <w:rFonts w:ascii="Times New Roman" w:hAnsi="Times New Roman"/>
          <w:b/>
          <w:sz w:val="20"/>
          <w:u w:val="single"/>
        </w:rPr>
        <w:t>Indemnification</w:t>
      </w:r>
      <w:r>
        <w:rPr>
          <w:rFonts w:ascii="Times New Roman" w:hAnsi="Times New Roman"/>
          <w:sz w:val="20"/>
        </w:rPr>
        <w:t xml:space="preserve">. The Executive shall be provided indemnification, and coverage under the Corporations D&amp;O and EPL liability insurance policies. </w:t>
      </w:r>
    </w:p>
    <w:p>
      <w:pPr>
        <w:pStyle w:val="TextBody"/>
        <w:spacing w:before="360" w:after="0"/>
        <w:jc w:val="left"/>
        <w:rPr>
          <w:rFonts w:ascii="Times New Roman" w:hAnsi="Times New Roman"/>
          <w:b/>
          <w:sz w:val="20"/>
        </w:rPr>
      </w:pPr>
      <w:r>
        <w:rPr>
          <w:rFonts w:ascii="Times New Roman" w:hAnsi="Times New Roman"/>
          <w:b/>
          <w:sz w:val="20"/>
        </w:rPr>
        <w:t xml:space="preserve">5. </w:t>
      </w:r>
      <w:r>
        <w:rPr>
          <w:rFonts w:ascii="Times New Roman" w:hAnsi="Times New Roman"/>
          <w:b/>
          <w:sz w:val="20"/>
          <w:u w:val="single"/>
        </w:rPr>
        <w:t>Termination of Employment</w:t>
      </w:r>
      <w:r>
        <w:rPr>
          <w:rFonts w:ascii="Times New Roman" w:hAnsi="Times New Roman"/>
          <w:b/>
          <w:sz w:val="20"/>
        </w:rPr>
        <w:t xml:space="preserve">. </w:t>
      </w:r>
    </w:p>
    <w:p>
      <w:pPr>
        <w:pStyle w:val="TextBody"/>
        <w:spacing w:before="120" w:after="0"/>
        <w:jc w:val="left"/>
        <w:rPr>
          <w:rFonts w:ascii="Times New Roman" w:hAnsi="Times New Roman"/>
          <w:sz w:val="20"/>
        </w:rPr>
      </w:pPr>
      <w:r>
        <w:rPr>
          <w:rFonts w:ascii="Times New Roman" w:hAnsi="Times New Roman"/>
          <w:b/>
          <w:sz w:val="20"/>
        </w:rPr>
        <w:t>5.1</w:t>
      </w:r>
      <w:r>
        <w:rPr>
          <w:rFonts w:ascii="Times New Roman" w:hAnsi="Times New Roman"/>
          <w:sz w:val="20"/>
        </w:rPr>
        <w:t xml:space="preserve"> </w:t>
      </w:r>
      <w:r>
        <w:rPr>
          <w:rFonts w:ascii="Times New Roman" w:hAnsi="Times New Roman"/>
          <w:b/>
          <w:sz w:val="20"/>
          <w:u w:val="single"/>
        </w:rPr>
        <w:t>Generally</w:t>
      </w:r>
      <w:r>
        <w:rPr>
          <w:rFonts w:ascii="Times New Roman" w:hAnsi="Times New Roman"/>
          <w:sz w:val="20"/>
        </w:rPr>
        <w:t xml:space="preserve">. The Executives employment by the Corporation, and the Term, may be terminated at any time (i) by the Corporation with or without Cause (as defined in Section 5.5), (ii) by the Corporation in the event that the Executive has incurred a Disability (as defined in Section 5.5), (iii) by the Executive for any reason, or (iv) due to the Executives death. The expiration of this Agreement shall not constitute a termination of the Executives employment by the Corporation without Cause or by the Executive for Good Reason. </w:t>
      </w:r>
    </w:p>
    <w:p>
      <w:pPr>
        <w:pStyle w:val="TextBody"/>
        <w:spacing w:before="240" w:after="0"/>
        <w:jc w:val="left"/>
        <w:rPr>
          <w:rFonts w:ascii="Times New Roman" w:hAnsi="Times New Roman"/>
          <w:sz w:val="20"/>
        </w:rPr>
      </w:pPr>
      <w:r>
        <w:rPr>
          <w:rFonts w:ascii="Times New Roman" w:hAnsi="Times New Roman"/>
          <w:b/>
          <w:sz w:val="20"/>
        </w:rPr>
        <w:t>5.2</w:t>
      </w:r>
      <w:r>
        <w:rPr>
          <w:rFonts w:ascii="Times New Roman" w:hAnsi="Times New Roman"/>
          <w:sz w:val="20"/>
        </w:rPr>
        <w:t xml:space="preserve"> </w:t>
      </w:r>
      <w:r>
        <w:rPr>
          <w:rFonts w:ascii="Times New Roman" w:hAnsi="Times New Roman"/>
          <w:b/>
          <w:sz w:val="20"/>
          <w:u w:val="single"/>
        </w:rPr>
        <w:t>Notice of Termination</w:t>
      </w:r>
      <w:r>
        <w:rPr>
          <w:rFonts w:ascii="Times New Roman" w:hAnsi="Times New Roman"/>
          <w:sz w:val="20"/>
        </w:rPr>
        <w:t xml:space="preserve">. Any termination of the Executives employment under this Agreement (other than because of the Executives death) shall be communicated by written notice of termination from the terminating party to the other party, which termination shall be effective (i) no less than thirty (30) days following delivery of such notice in the event of a termination by the Executive for any reason or (ii) immediately in the event of a termination by the Corporation for Cause, subject to any applicable notice and cure provisions set forth in Section 5.5. The notice of termination shall indicate the specific provision(s) of this Agreement relied upon in effecting the termination. The effective date of termination shall be referenced herein as the Separation Date. </w:t>
      </w:r>
    </w:p>
    <w:p>
      <w:pPr>
        <w:pStyle w:val="TextBody"/>
        <w:spacing w:before="240" w:after="0"/>
        <w:jc w:val="left"/>
        <w:rPr>
          <w:rFonts w:ascii="Times New Roman" w:hAnsi="Times New Roman"/>
          <w:sz w:val="20"/>
        </w:rPr>
      </w:pPr>
      <w:r>
        <w:rPr>
          <w:rFonts w:ascii="Times New Roman" w:hAnsi="Times New Roman"/>
          <w:b/>
          <w:sz w:val="20"/>
        </w:rPr>
        <w:t>5.3</w:t>
      </w:r>
      <w:r>
        <w:rPr>
          <w:rFonts w:ascii="Times New Roman" w:hAnsi="Times New Roman"/>
          <w:sz w:val="20"/>
        </w:rPr>
        <w:t xml:space="preserve"> </w:t>
      </w:r>
      <w:r>
        <w:rPr>
          <w:rFonts w:ascii="Times New Roman" w:hAnsi="Times New Roman"/>
          <w:b/>
          <w:sz w:val="20"/>
          <w:u w:val="single"/>
        </w:rPr>
        <w:t>Benefits Upon Termination</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(a) Upon termination of the Executives employment for any reason, the Corporation shall pay (i) on the Corporations first regularly scheduled payroll date following the Separation Date (or earlier if required by applicable law), any Base Salary, PTO, and any other amounts required under applicable law that had accrued or been earned but had not been paid on or before the Separation Date; (ii) any accrued but unpaid Incentive Bonus for a performance period ending on or preceding the Separation Date (payable in accordance with Section 3.2), and (iii) within thirty (30) days following the Separation Date, any reimbursement due to the Executive pursuant to Section 4.2 for expenses incurred by the Executive on or before the Separation Date. If the Executives employment by the Corporation is terminated during the Term by the Corporation for Cause or by the Executive without Good Reason (as defined in Section 5.5), then following the payment of the foregoing, the Corporation shall have no further obligation to make or provide to the Executive, and the Executive shall have no further right to receive or obtain from the Corporation any other payments or benefits.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(b) If, during the Term, the Executives employment is terminated by the Corporation (or its successor or assignee) without Cause, or due to the Executives death or Disability, or by the Executive with Good Reason (an </w:t>
      </w:r>
      <w:r>
        <w:rPr>
          <w:rFonts w:ascii="Times New Roman" w:hAnsi="Times New Roman"/>
          <w:sz w:val="20"/>
          <w:u w:val="single"/>
        </w:rPr>
        <w:t>Involuntary Termination</w:t>
      </w:r>
      <w:r>
        <w:rPr>
          <w:rFonts w:ascii="Times New Roman" w:hAnsi="Times New Roman"/>
          <w:sz w:val="20"/>
        </w:rPr>
        <w:t>), the Corporation shall pay the Executive (or the Executives estate in the case of death) (i) an amount equal to the Executives Base Salary (at the rate in effect on the Separation Date) that the Executive would have received had the Executive remained employed through the 18-month anniversary of the Effective Date (such amount, the </w:t>
      </w:r>
      <w:r>
        <w:rPr>
          <w:rFonts w:ascii="Times New Roman" w:hAnsi="Times New Roman"/>
          <w:sz w:val="20"/>
          <w:u w:val="single"/>
        </w:rPr>
        <w:t>Salary Severance</w:t>
      </w:r>
      <w:r>
        <w:rPr>
          <w:rFonts w:ascii="Times New Roman" w:hAnsi="Times New Roman"/>
          <w:sz w:val="20"/>
        </w:rPr>
        <w:t>), plus (ii) reimbursement of COBRA medical continuation premiums (if the Executive is eligible for, timely elects and pays for such COBRA medical continuation) for the period from the Separation Date until the 18-month anniversary of the Effective Date (such period, the </w:t>
      </w:r>
      <w:r>
        <w:rPr>
          <w:rFonts w:ascii="Times New Roman" w:hAnsi="Times New Roman"/>
          <w:sz w:val="20"/>
          <w:u w:val="single"/>
        </w:rPr>
        <w:t>COBRA Period</w:t>
      </w:r>
      <w:r>
        <w:rPr>
          <w:rFonts w:ascii="Times New Roman" w:hAnsi="Times New Roman"/>
          <w:sz w:val="20"/>
        </w:rPr>
        <w:t>) (collectively, the </w:t>
      </w:r>
      <w:r>
        <w:rPr>
          <w:rFonts w:ascii="Times New Roman" w:hAnsi="Times New Roman"/>
          <w:sz w:val="20"/>
          <w:u w:val="single"/>
        </w:rPr>
        <w:t>Severance Benefit</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the Corporation shall have no obligation to reimburse the Executive for such COBRA premiums if the Corporation determines that reimbursement of such COBRA premiums would reasonably be expected to result in the imposition of excise taxes on the Corporation or any of its affiliates for any failure to comply with the nondiscrimination requirements of the Patient Protection and Affordable Care Act of 2010, as amended, and the Health Care and Education Reconciliation Act of 2010, as amended; and </w:t>
      </w:r>
      <w:r>
        <w:rPr>
          <w:rFonts w:ascii="Times New Roman" w:hAnsi="Times New Roman"/>
          <w:sz w:val="20"/>
          <w:u w:val="single"/>
        </w:rPr>
        <w:t>provided</w:t>
      </w:r>
      <w:r>
        <w:rPr>
          <w:rFonts w:ascii="Times New Roman" w:hAnsi="Times New Roman"/>
          <w:i/>
          <w:sz w:val="20"/>
        </w:rPr>
        <w:t>,</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if any plan pursuant to which such benefits are provided is not, or ceases prior to the expiration of the COBRA Period to be, exempt from the application of Section 409A under Treasury Regulation Section 1.409A-1(a)(5), an amount equal to each remaining Corporation payment shall thereafter be paid to the Executive in substantially equal monthly installments over the continuation coverage period (or the remaining portion thereof). The Corporation shall pay (or provide, as applicable) the Salary Severance to the Executive (or the Executives estate in the case of death) in substantially equal installments during the COBRA Period commencing on the Separation Date in accordance with the Corporations payroll cycle;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amounts that otherwise would be scheduled to be paid during the Release Period (as defined in Section 5.4(a)) shall accrue and shall be paid on the first payroll date following the expiration of the Release Period. </w:t>
      </w:r>
    </w:p>
    <w:p>
      <w:pPr>
        <w:pStyle w:val="TextBody"/>
        <w:spacing w:before="240" w:after="0"/>
        <w:jc w:val="left"/>
        <w:rPr>
          <w:rFonts w:ascii="Times New Roman" w:hAnsi="Times New Roman"/>
          <w:sz w:val="20"/>
        </w:rPr>
      </w:pPr>
      <w:r>
        <w:rPr>
          <w:rFonts w:ascii="Times New Roman" w:hAnsi="Times New Roman"/>
          <w:sz w:val="20"/>
        </w:rPr>
        <w:t xml:space="preserve">(c) The Severance Benefit shall be subject to Section 18. </w:t>
      </w:r>
    </w:p>
    <w:p>
      <w:pPr>
        <w:pStyle w:val="TextBody"/>
        <w:spacing w:before="240" w:after="0"/>
        <w:jc w:val="left"/>
        <w:rPr>
          <w:rFonts w:ascii="Times New Roman" w:hAnsi="Times New Roman"/>
          <w:sz w:val="20"/>
        </w:rPr>
      </w:pPr>
      <w:r>
        <w:rPr>
          <w:rFonts w:ascii="Times New Roman" w:hAnsi="Times New Roman"/>
          <w:sz w:val="20"/>
        </w:rPr>
        <w:t xml:space="preserve">(d) The foregoing provisions of this Section 5.3 shall not affect: (i) payment of the amounts set forth in Section 5.3(a), (ii) the Executives receipt of benefits otherwise due terminated employees under group insurance coverage consistent with the terms of the applicable Corporation welfare benefit plan; (iii) the Executives rights under COBRA to continue participation in medical, dental, hospitalization and such other benefit plans covered by COBRA; or (iv) the Executives receipt of any vested payments or benefits otherwise due in accordance with the terms of an applicable equity compensation plan maintained by the Corporation or Holdings and the Corporations 401(k) plan (if any). </w:t>
      </w:r>
    </w:p>
    <w:p>
      <w:pPr>
        <w:pStyle w:val="TextBody"/>
        <w:spacing w:before="240" w:after="0"/>
        <w:jc w:val="left"/>
        <w:rPr>
          <w:rFonts w:ascii="Times New Roman" w:hAnsi="Times New Roman"/>
          <w:sz w:val="20"/>
        </w:rPr>
      </w:pPr>
      <w:r>
        <w:rPr>
          <w:rFonts w:ascii="Times New Roman" w:hAnsi="Times New Roman"/>
          <w:b/>
          <w:sz w:val="20"/>
        </w:rPr>
        <w:t>5.4</w:t>
      </w:r>
      <w:r>
        <w:rPr>
          <w:rFonts w:ascii="Times New Roman" w:hAnsi="Times New Roman"/>
          <w:sz w:val="20"/>
        </w:rPr>
        <w:t xml:space="preserve"> </w:t>
      </w:r>
      <w:r>
        <w:rPr>
          <w:rFonts w:ascii="Times New Roman" w:hAnsi="Times New Roman"/>
          <w:b/>
          <w:sz w:val="20"/>
          <w:u w:val="single"/>
        </w:rPr>
        <w:t>Release; Exclusive Remedy</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(a) As a condition precedent to any Corporation obligation to the Executive pursuant to Section 5.3(b), the Executive shall, upon or within sixty (60) days following termination of employment with the Corporation (such sixty (60)-day period being referred to as the </w:t>
      </w:r>
      <w:r>
        <w:rPr>
          <w:rFonts w:ascii="Times New Roman" w:hAnsi="Times New Roman"/>
          <w:sz w:val="20"/>
          <w:u w:val="single"/>
        </w:rPr>
        <w:t>Release Period</w:t>
      </w:r>
      <w:r>
        <w:rPr>
          <w:rFonts w:ascii="Times New Roman" w:hAnsi="Times New Roman"/>
          <w:sz w:val="20"/>
        </w:rPr>
        <w:t xml:space="preserve">), provide the Corporation with an executed general release in the form attached as </w:t>
      </w:r>
      <w:r>
        <w:rPr>
          <w:rFonts w:ascii="Times New Roman" w:hAnsi="Times New Roman"/>
          <w:sz w:val="20"/>
          <w:u w:val="single"/>
        </w:rPr>
        <w:t>Exhibit A</w:t>
      </w:r>
      <w:r>
        <w:rPr>
          <w:rFonts w:ascii="Times New Roman" w:hAnsi="Times New Roman"/>
          <w:sz w:val="20"/>
        </w:rPr>
        <w:t xml:space="preserve">, and such release shall have not been revoked by the Executive, and shall have become non-revocable, pursuant to, or in accordance with, any revocation rights afforded by applicable law.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(b) The Executive agrees that, upon the parties signing and the Executives not revoking </w:t>
      </w:r>
      <w:r>
        <w:rPr>
          <w:rFonts w:ascii="Times New Roman" w:hAnsi="Times New Roman"/>
          <w:sz w:val="20"/>
          <w:u w:val="single"/>
        </w:rPr>
        <w:t>Exhibit A</w:t>
      </w:r>
      <w:r>
        <w:rPr>
          <w:rFonts w:ascii="Times New Roman" w:hAnsi="Times New Roman"/>
          <w:sz w:val="20"/>
        </w:rPr>
        <w:t xml:space="preserve">, the payments and benefits contemplated by Section 5.3 shall constitute the exclusive and sole remedy for any termination of employment during the Term of this Agreement and the Executive covenants not to assert or pursue any other remedies, at law or in equity, with respect to any termination of employment. </w:t>
      </w:r>
    </w:p>
    <w:p>
      <w:pPr>
        <w:pStyle w:val="TextBody"/>
        <w:spacing w:before="240" w:after="0"/>
        <w:jc w:val="left"/>
        <w:rPr>
          <w:rFonts w:ascii="Times New Roman" w:hAnsi="Times New Roman"/>
          <w:sz w:val="20"/>
        </w:rPr>
      </w:pPr>
      <w:r>
        <w:rPr>
          <w:rFonts w:ascii="Times New Roman" w:hAnsi="Times New Roman"/>
          <w:b/>
          <w:sz w:val="20"/>
        </w:rPr>
        <w:t>5.5</w:t>
      </w:r>
      <w:r>
        <w:rPr>
          <w:rFonts w:ascii="Times New Roman" w:hAnsi="Times New Roman"/>
          <w:sz w:val="20"/>
        </w:rPr>
        <w:t xml:space="preserve"> </w:t>
      </w:r>
      <w:r>
        <w:rPr>
          <w:rFonts w:ascii="Times New Roman" w:hAnsi="Times New Roman"/>
          <w:b/>
          <w:sz w:val="20"/>
          <w:u w:val="single"/>
        </w:rPr>
        <w:t>Certain Defined Terms</w:t>
      </w:r>
      <w:r>
        <w:rPr>
          <w:rFonts w:ascii="Times New Roman" w:hAnsi="Times New Roman"/>
          <w:sz w:val="20"/>
        </w:rPr>
        <w:t xml:space="preserve">. The definitions of Cause and Good Reason contained in this Agreement shall govern for purposes of this Agreement. </w:t>
      </w:r>
    </w:p>
    <w:p>
      <w:pPr>
        <w:pStyle w:val="TextBody"/>
        <w:spacing w:before="240" w:after="0"/>
        <w:jc w:val="left"/>
        <w:rPr>
          <w:rFonts w:ascii="Times New Roman" w:hAnsi="Times New Roman"/>
          <w:sz w:val="20"/>
        </w:rPr>
      </w:pPr>
      <w:r>
        <w:rPr>
          <w:rFonts w:ascii="Times New Roman" w:hAnsi="Times New Roman"/>
          <w:sz w:val="20"/>
        </w:rPr>
        <w:t>(a) As used herein, </w:t>
      </w:r>
      <w:r>
        <w:rPr>
          <w:rFonts w:ascii="Times New Roman" w:hAnsi="Times New Roman"/>
          <w:sz w:val="20"/>
          <w:u w:val="single"/>
        </w:rPr>
        <w:t>Cause</w:t>
      </w:r>
      <w:r>
        <w:rPr>
          <w:rFonts w:ascii="Times New Roman" w:hAnsi="Times New Roman"/>
          <w:sz w:val="20"/>
        </w:rPr>
        <w:t xml:space="preserve"> shall mean that one or more of the following has occurred: </w:t>
      </w:r>
    </w:p>
    <w:p>
      <w:pPr>
        <w:pStyle w:val="TextBody"/>
        <w:spacing w:before="120" w:after="0"/>
        <w:jc w:val="left"/>
        <w:rPr>
          <w:rFonts w:ascii="Times New Roman" w:hAnsi="Times New Roman"/>
          <w:sz w:val="20"/>
        </w:rPr>
      </w:pPr>
      <w:r>
        <w:rPr>
          <w:rFonts w:ascii="Times New Roman" w:hAnsi="Times New Roman"/>
          <w:sz w:val="20"/>
        </w:rPr>
        <w:t xml:space="preserve">(i) the Executive has (x) been convicted of, pled guilty or no contest to, or entered into a plea agreement on charges constituting, any felony (under the laws of the United States, any relevant state, or the equivalent of a felony in any international jurisdiction in which the Corporation does business), other than a traffic violation or (y) been convicted of, or pled guilty or no contest to, any misdemeanor crime involving dishonesty or moral turpitude; </w:t>
      </w:r>
    </w:p>
    <w:p>
      <w:pPr>
        <w:pStyle w:val="TextBody"/>
        <w:spacing w:before="120" w:after="0"/>
        <w:jc w:val="left"/>
        <w:rPr>
          <w:rFonts w:ascii="Times New Roman" w:hAnsi="Times New Roman"/>
          <w:sz w:val="20"/>
        </w:rPr>
      </w:pPr>
      <w:r>
        <w:rPr>
          <w:rFonts w:ascii="Times New Roman" w:hAnsi="Times New Roman"/>
          <w:sz w:val="20"/>
        </w:rPr>
        <w:t xml:space="preserve">(ii) the Executive has engaged in any willful misconduct (including any willful violation of federal securities laws), gross neglect of Executives job duties, willful act of dishonesty, violence or threat of violence in the workplace, in each case, that either has materially injured or is reasonably expected to substantially injure the Corporation; </w:t>
      </w:r>
    </w:p>
    <w:p>
      <w:pPr>
        <w:pStyle w:val="TextBody"/>
        <w:spacing w:before="120" w:after="0"/>
        <w:jc w:val="left"/>
        <w:rPr>
          <w:rFonts w:ascii="Times New Roman" w:hAnsi="Times New Roman"/>
          <w:sz w:val="20"/>
        </w:rPr>
      </w:pPr>
      <w:r>
        <w:rPr>
          <w:rFonts w:ascii="Times New Roman" w:hAnsi="Times New Roman"/>
          <w:sz w:val="20"/>
        </w:rPr>
        <w:t xml:space="preserve">(iii) the Executive has willfully breached the written laws of any governmental or regulatory body applicable to the Corporation in each case, that either has materially injured or is reasonably expected to substantially injure the Corporation; </w:t>
      </w:r>
    </w:p>
    <w:p>
      <w:pPr>
        <w:pStyle w:val="TextBody"/>
        <w:spacing w:before="120" w:after="0"/>
        <w:jc w:val="left"/>
        <w:rPr>
          <w:rFonts w:ascii="Times New Roman" w:hAnsi="Times New Roman"/>
          <w:sz w:val="20"/>
        </w:rPr>
      </w:pPr>
      <w:r>
        <w:rPr>
          <w:rFonts w:ascii="Times New Roman" w:hAnsi="Times New Roman"/>
          <w:sz w:val="20"/>
        </w:rPr>
        <w:t xml:space="preserve">(iv) the Executive has (other than any such failure resulting from the Executives Disability or incapacity due to bodily injury or physical or mental illness) willfully failed to comply with lawful material directives of the Board regarding his employment with the Corporation; or </w:t>
      </w:r>
    </w:p>
    <w:p>
      <w:pPr>
        <w:pStyle w:val="TextBody"/>
        <w:spacing w:before="120" w:after="0"/>
        <w:jc w:val="left"/>
        <w:rPr>
          <w:rFonts w:ascii="Times New Roman" w:hAnsi="Times New Roman"/>
          <w:sz w:val="20"/>
        </w:rPr>
      </w:pPr>
      <w:r>
        <w:rPr>
          <w:rFonts w:ascii="Times New Roman" w:hAnsi="Times New Roman"/>
          <w:sz w:val="20"/>
        </w:rPr>
        <w:t xml:space="preserve">(v) the Executive has (other than any such failure resulting from the Executives Disability or incapacity due to bodily injury or physical or mental illness) materially breached this Agreement or any other material contract regarding employment with the Corporation to which the Executive and the Corporation are parties, in each case, that either has substantially injured or is reasonably expected to substantially injure the Corporation;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u w:val="single"/>
        </w:rPr>
        <w:t>provided</w:t>
      </w:r>
      <w:r>
        <w:rPr>
          <w:rFonts w:ascii="Times New Roman" w:hAnsi="Times New Roman"/>
          <w:sz w:val="20"/>
        </w:rPr>
        <w:t xml:space="preserve"> that, with respect to Sections 5.5(a)(ii), 5.5(a)(iii), 5.5(a)(iv), and 5.5(a)(v), and if the event giving rise to the claim of Cause is curable, the Corporation provides written notice to the Executive of the details of the event and the subsection(s) of Section 5.5 to which it pertains, within thirty (30) days of the Corporation learning of the occurrence of such event, that Executive is provided a reasonable opportunity to cure such Cause, and such Cause event remains uncured thirty (30) days after the Corporation has provided such written notice;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any termination by the Corporation of the Executives employment for Cause with respect to Sections 5.5(a)(ii), 5.5(a)(iii), 5.5(a)(iv) or 5.5(a)(v) shall occur no later than thirty (30) days following the expiration of such cure period. In addition, the Corporation may only terminate the Executives employment for Cause if (A) a determination that Cause exists is made and approved by not less than three-quarters of the then sitting members of the Corporations Board (other than the Executive, if the Executive is then a member of the Board, and also other than (i) Trevor Bezdek (if Mr. Bezdek is then a member of the Board) and/or (ii) any other member of the Board designated by Idea Men who is not an independent director under the rules of the applicable stock exchange listing rules applicable to the Corporation), (B) the Executive is given at least ten (10) days written notice of the Board meeting called to make such determination, and (C) the Executive and his legal counsel are given the opportunity to address such meeting. In the event that the Board has so determined in good faith that Cause exists, the Board shall have no obligation to terminate the Executives employment if the Board determines in its sole discretion that such a decision not to terminate the Executives employment is in the best interest of the Corporation. </w:t>
      </w:r>
    </w:p>
    <w:p>
      <w:pPr>
        <w:pStyle w:val="TextBody"/>
        <w:spacing w:before="240" w:after="0"/>
        <w:jc w:val="left"/>
        <w:rPr>
          <w:rFonts w:ascii="Times New Roman" w:hAnsi="Times New Roman"/>
          <w:sz w:val="20"/>
        </w:rPr>
      </w:pPr>
      <w:r>
        <w:rPr>
          <w:rFonts w:ascii="Times New Roman" w:hAnsi="Times New Roman"/>
          <w:sz w:val="20"/>
        </w:rPr>
        <w:t>(b) As used herein, </w:t>
      </w:r>
      <w:r>
        <w:rPr>
          <w:rFonts w:ascii="Times New Roman" w:hAnsi="Times New Roman"/>
          <w:sz w:val="20"/>
          <w:u w:val="single"/>
        </w:rPr>
        <w:t>Disability</w:t>
      </w:r>
      <w:r>
        <w:rPr>
          <w:rFonts w:ascii="Times New Roman" w:hAnsi="Times New Roman"/>
          <w:sz w:val="20"/>
        </w:rPr>
        <w:t xml:space="preserve"> shall mean a disability for which the Executive is deemed qualified for benefits under the Corporations long-term disability plan or, if the Corporation does not maintain a long-term disability plan or the Executive does not apply for such benefits, any medically determinable physical or mental impairment (as determined by a physician designated by the Corporation in good faith) resulting in Executives inability to perform the duties of his position, where such impairment can be expected to result in death or can be expected to last for a continuous period of not less than six months. </w:t>
      </w:r>
    </w:p>
    <w:p>
      <w:pPr>
        <w:pStyle w:val="TextBody"/>
        <w:spacing w:before="240" w:after="0"/>
        <w:jc w:val="left"/>
        <w:rPr>
          <w:rFonts w:ascii="Times New Roman" w:hAnsi="Times New Roman"/>
          <w:sz w:val="20"/>
        </w:rPr>
      </w:pPr>
      <w:r>
        <w:rPr>
          <w:rFonts w:ascii="Times New Roman" w:hAnsi="Times New Roman"/>
          <w:sz w:val="20"/>
        </w:rPr>
        <w:t>(c) As used herein, </w:t>
      </w:r>
      <w:r>
        <w:rPr>
          <w:rFonts w:ascii="Times New Roman" w:hAnsi="Times New Roman"/>
          <w:sz w:val="20"/>
          <w:u w:val="single"/>
        </w:rPr>
        <w:t>Good Reason</w:t>
      </w:r>
      <w:r>
        <w:rPr>
          <w:rFonts w:ascii="Times New Roman" w:hAnsi="Times New Roman"/>
          <w:sz w:val="20"/>
        </w:rPr>
        <w:t xml:space="preserve"> shall mean that one or more of the following has occurred without the Executives prior written consent: </w:t>
      </w:r>
    </w:p>
    <w:p>
      <w:pPr>
        <w:pStyle w:val="TextBody"/>
        <w:spacing w:before="120" w:after="0"/>
        <w:jc w:val="left"/>
        <w:rPr>
          <w:rFonts w:ascii="Times New Roman" w:hAnsi="Times New Roman"/>
          <w:sz w:val="20"/>
        </w:rPr>
      </w:pPr>
      <w:r>
        <w:rPr>
          <w:rFonts w:ascii="Times New Roman" w:hAnsi="Times New Roman"/>
          <w:sz w:val="20"/>
        </w:rPr>
        <w:t xml:space="preserve">(i) a material change in the Executives title other than in connection with a promotion (provided, however, that the Executive continuing in the same role on a divisional or business unit basis following the acquisition of the Corporation by a larger entity shall not be treated as a material change in title), any assignment to the Executive of any additional, material responsibilities or duties, or any change in Executives reporting relationship such that Executive is no longer reporting directly to the Board; </w:t>
      </w:r>
    </w:p>
    <w:p>
      <w:pPr>
        <w:pStyle w:val="TextBody"/>
        <w:spacing w:before="120" w:after="0"/>
        <w:jc w:val="left"/>
        <w:rPr>
          <w:rFonts w:ascii="Times New Roman" w:hAnsi="Times New Roman"/>
          <w:sz w:val="20"/>
        </w:rPr>
      </w:pPr>
      <w:r>
        <w:rPr>
          <w:rFonts w:ascii="Times New Roman" w:hAnsi="Times New Roman"/>
          <w:sz w:val="20"/>
        </w:rPr>
        <w:t xml:space="preserve">(ii) the Corporations material breach of this Agreement; </w:t>
      </w:r>
    </w:p>
    <w:p>
      <w:pPr>
        <w:pStyle w:val="TextBody"/>
        <w:spacing w:before="120" w:after="0"/>
        <w:jc w:val="left"/>
        <w:rPr>
          <w:rFonts w:ascii="Times New Roman" w:hAnsi="Times New Roman"/>
          <w:sz w:val="20"/>
        </w:rPr>
      </w:pPr>
      <w:r>
        <w:rPr>
          <w:rFonts w:ascii="Times New Roman" w:hAnsi="Times New Roman"/>
          <w:sz w:val="20"/>
        </w:rPr>
        <w:t xml:space="preserve">(iii) the Corporations relocation of its principal offices more than ten (10) miles from the prior location or its requiring that Executive relocate more than ten (10) miles from his then-current office location; or </w:t>
      </w:r>
    </w:p>
    <w:p>
      <w:pPr>
        <w:pStyle w:val="TextBody"/>
        <w:spacing w:before="120" w:after="0"/>
        <w:jc w:val="left"/>
        <w:rPr>
          <w:rFonts w:ascii="Times New Roman" w:hAnsi="Times New Roman"/>
          <w:sz w:val="20"/>
        </w:rPr>
      </w:pPr>
      <w:r>
        <w:rPr>
          <w:rFonts w:ascii="Times New Roman" w:hAnsi="Times New Roman"/>
          <w:sz w:val="20"/>
        </w:rPr>
        <w:t xml:space="preserve">(iv) any reduction in the Executives Base Salary or Incentive Bonus other than, for both Base Salary and target Incentive Bonus individually, a one-time reduction of not more than ten percent (10%) that also is applied to substantially all other executive officers of the Corporation; </w:t>
      </w:r>
    </w:p>
    <w:p>
      <w:pPr>
        <w:pStyle w:val="TextBody"/>
        <w:spacing w:before="0" w:after="0"/>
        <w:jc w:val="left"/>
        <w:rPr/>
      </w:pPr>
      <w:r>
        <w:rPr/>
        <w: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u w:val="single"/>
        </w:rPr>
        <w:t>provided</w:t>
      </w:r>
      <w:r>
        <w:rPr>
          <w:rFonts w:ascii="Times New Roman" w:hAnsi="Times New Roman"/>
          <w:sz w:val="20"/>
        </w:rPr>
        <w:t xml:space="preserve"> that, in any such case, the Executive provides written notice to the Corporation of the event giving rise to such claim of Good Reason within thirty (30) days after the Executive learns of the occurrence of such event in writing from the Corporation, and such Good Reason event remains uncured thirty (30) days after the Executive has provided such written notice;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any resignation of the Executives employment for Good Reason occurs no later than sixty (60) days following the expiration of such cure period. </w:t>
      </w:r>
    </w:p>
    <w:p>
      <w:pPr>
        <w:pStyle w:val="TextBody"/>
        <w:spacing w:before="240" w:after="0"/>
        <w:jc w:val="left"/>
        <w:rPr>
          <w:rFonts w:ascii="Times New Roman" w:hAnsi="Times New Roman"/>
          <w:sz w:val="20"/>
        </w:rPr>
      </w:pPr>
      <w:r>
        <w:rPr>
          <w:rFonts w:ascii="Times New Roman" w:hAnsi="Times New Roman"/>
          <w:b/>
          <w:sz w:val="20"/>
        </w:rPr>
        <w:t>5.6</w:t>
      </w:r>
      <w:r>
        <w:rPr>
          <w:rFonts w:ascii="Times New Roman" w:hAnsi="Times New Roman"/>
          <w:sz w:val="20"/>
        </w:rPr>
        <w:t xml:space="preserve"> </w:t>
      </w:r>
      <w:r>
        <w:rPr>
          <w:rFonts w:ascii="Times New Roman" w:hAnsi="Times New Roman"/>
          <w:b/>
          <w:sz w:val="20"/>
          <w:u w:val="single"/>
        </w:rPr>
        <w:t>Resignation from Directorships and Officerships</w:t>
      </w:r>
      <w:r>
        <w:rPr>
          <w:rFonts w:ascii="Times New Roman" w:hAnsi="Times New Roman"/>
          <w:sz w:val="20"/>
        </w:rPr>
        <w:t xml:space="preserve">. Unless the parties agree otherwise in writing, and subject to the last sentence of this Section 5.6, the termination of the Executives employment with the Corporation for any reason shall be treated as the Executives resignation from (x) any director, officer or employee position the Executive has with the Corporation, any parent entity (including Holdings) and any of their respective affiliates, and (y) all fiduciary positions (including as a trustee) the Executive holds with respect to any employee benefit plans or trusts established by the Corporation, any parent entity and any other subsidiaries of such parent entity, or any of their respective affiliates. The Executive agrees that this Agreement shall, unless the parties agree otherwise in writing, serve as written notice of such resignation in this circumstance. Furthermore, the Executive agrees to execute any documents evidencing such resignations that the Corporation reasonably requests. Notwithstanding the foregoing, the termination of Executives employment shall not affect any position then-held by the Executive with Idea Men, or any director position the Executive has with the Corporation as a director designee pursuant to the terms of that certain Stockholders Agreement by and between Holdings and certain securityholders of Holdings, dated September 22, 2020. </w:t>
      </w:r>
    </w:p>
    <w:p>
      <w:pPr>
        <w:pStyle w:val="TextBody"/>
        <w:spacing w:before="240" w:after="0"/>
        <w:jc w:val="left"/>
        <w:rPr>
          <w:rFonts w:ascii="Times New Roman" w:hAnsi="Times New Roman"/>
          <w:sz w:val="20"/>
        </w:rPr>
      </w:pPr>
      <w:r>
        <w:rPr>
          <w:rFonts w:ascii="Times New Roman" w:hAnsi="Times New Roman"/>
          <w:b/>
          <w:sz w:val="20"/>
        </w:rPr>
        <w:t>5.7</w:t>
      </w:r>
      <w:r>
        <w:rPr>
          <w:rFonts w:ascii="Times New Roman" w:hAnsi="Times New Roman"/>
          <w:sz w:val="20"/>
        </w:rPr>
        <w:t xml:space="preserve"> </w:t>
      </w:r>
      <w:r>
        <w:rPr>
          <w:rFonts w:ascii="Times New Roman" w:hAnsi="Times New Roman"/>
          <w:b/>
          <w:sz w:val="20"/>
          <w:u w:val="single"/>
        </w:rPr>
        <w:t>280G Implications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(a) Notwithstanding any other provision of this Agreement, in the event that any payment or benefit received or to be received by the Executive (including any payment or benefit received in connection with a termination of the Executives employment, whether pursuant to the terms of this Agreement or any other plan, arrangement or agreement) (all such payments and benefits, including the payments and benefits under Section 5.3, being hereinafter referred to as the </w:t>
      </w:r>
      <w:r>
        <w:rPr>
          <w:rFonts w:ascii="Times New Roman" w:hAnsi="Times New Roman"/>
          <w:sz w:val="20"/>
          <w:u w:val="single"/>
        </w:rPr>
        <w:t>Total Payments</w:t>
      </w:r>
      <w:r>
        <w:rPr>
          <w:rFonts w:ascii="Times New Roman" w:hAnsi="Times New Roman"/>
          <w:sz w:val="20"/>
        </w:rPr>
        <w:t>) would be subject (in whole or part), to the excise tax imposed under Section 4999 of the Code (the </w:t>
      </w:r>
      <w:r>
        <w:rPr>
          <w:rFonts w:ascii="Times New Roman" w:hAnsi="Times New Roman"/>
          <w:sz w:val="20"/>
          <w:u w:val="single"/>
        </w:rPr>
        <w:t>Excise Tax</w:t>
      </w:r>
      <w:r>
        <w:rPr>
          <w:rFonts w:ascii="Times New Roman" w:hAnsi="Times New Roman"/>
          <w:sz w:val="20"/>
        </w:rPr>
        <w:t xml:space="preserve">), then, after taking into account any reduction in the Total Payments provided by reason of Section 280G of the Code in such other plan, arrangement or agreement, the cash severance payments under this Agreement shall first be reduced, and the noncash severance payments hereunder shall thereafter be reduced, to the extent necessary so that no portion of the Total Payments is subject to the Excise Tax but only if (i) the net amount of such Total Payments, as so reduced (and after subtracting the net amount of federal, state and local income taxes on such reduced Total Payments and after taking into account the phase out of itemized deductions and personal exemptions attributable to such reduced Total Payments) is greater than or equal to (ii) the net amount of such Total Payments without such reduction (but after subtracting the net amount of federal, state and local income taxes on such Total Payments and the amount of Excise Tax to which the Executive would be subject in respect of such unreduced Total Payments and after taking into account the phase out of itemized deductions and personal exemptions attributable to such unreduced Total Payments). In all cases, if there are any reductions to the Total Payments under this paragraph, the reduction shall be performed in a manner which results in the greatest after-tax amount being retained by the Executive and in manner which comports with Section 409A.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(b) For purposes of determining whether and the extent to which the Total Payments will be subject to the Excise Tax, (i) no portion of the Total Payments the receipt or enjoyment of which the Executive shall have waived at such time and in such manner as not to constitute a payment within the meaning of Section 280G(b) of the Code shall be taken into account; (ii) no portion of the Total Payments shall be taken into account which, in the written opinion of an independent, nationally recognized accounting firm (the </w:t>
      </w:r>
      <w:r>
        <w:rPr>
          <w:rFonts w:ascii="Times New Roman" w:hAnsi="Times New Roman"/>
          <w:sz w:val="20"/>
          <w:u w:val="single"/>
        </w:rPr>
        <w:t>Independent Advisors</w:t>
      </w:r>
      <w:r>
        <w:rPr>
          <w:rFonts w:ascii="Times New Roman" w:hAnsi="Times New Roman"/>
          <w:sz w:val="20"/>
        </w:rPr>
        <w:t>) selected by the Corporation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Independent Advisors may not without the Executives written consent be the firm which serves as the auditor for the ultimate parent of the entity acquiring the Corporation) does not constitute a parachute payment within the meaning of Section 280G(b)(2) of the Code (including by reason of Section 280G(b)(4)(A) of the Code) and, in calculating the Excise Tax, no portion of such Total Payments shall be taken into account which, in the opinion of Independent Advisors, constitutes reasonable compensation for services actually rendered, within the meaning of Section 280G(b)(4)(B) of the Code, in excess of the base amount (as defined in Section 280G(b)(3) of the Code) allocable to such reasonable compensation; and (iii) the value of any non-cash benefit or any deferred payment or benefit included in the Total Payments shall be determined by the Independent Advisors in accordance with the principles of Sections 280G(d)(3) and (4) of the Code. </w:t>
      </w:r>
    </w:p>
    <w:p>
      <w:pPr>
        <w:pStyle w:val="TextBody"/>
        <w:spacing w:before="360" w:after="0"/>
        <w:jc w:val="left"/>
        <w:rPr>
          <w:rFonts w:ascii="Times New Roman" w:hAnsi="Times New Roman"/>
          <w:b/>
          <w:sz w:val="20"/>
        </w:rPr>
      </w:pPr>
      <w:r>
        <w:rPr>
          <w:rFonts w:ascii="Times New Roman" w:hAnsi="Times New Roman"/>
          <w:b/>
          <w:sz w:val="20"/>
        </w:rPr>
        <w:t xml:space="preserve">6. </w:t>
      </w:r>
      <w:r>
        <w:rPr>
          <w:rFonts w:ascii="Times New Roman" w:hAnsi="Times New Roman"/>
          <w:b/>
          <w:sz w:val="20"/>
          <w:u w:val="single"/>
        </w:rPr>
        <w:t>Covenants</w:t>
      </w:r>
      <w:r>
        <w:rPr>
          <w:rFonts w:ascii="Times New Roman" w:hAnsi="Times New Roman"/>
          <w:b/>
          <w:sz w:val="20"/>
        </w:rPr>
        <w:t xml:space="preserve">. </w:t>
      </w:r>
    </w:p>
    <w:p>
      <w:pPr>
        <w:pStyle w:val="TextBody"/>
        <w:spacing w:before="120" w:after="0"/>
        <w:jc w:val="left"/>
        <w:rPr>
          <w:rFonts w:ascii="Times New Roman" w:hAnsi="Times New Roman"/>
          <w:sz w:val="20"/>
        </w:rPr>
      </w:pPr>
      <w:r>
        <w:rPr>
          <w:rFonts w:ascii="Times New Roman" w:hAnsi="Times New Roman"/>
          <w:b/>
          <w:sz w:val="20"/>
        </w:rPr>
        <w:t>6.1</w:t>
      </w:r>
      <w:r>
        <w:rPr>
          <w:rFonts w:ascii="Times New Roman" w:hAnsi="Times New Roman"/>
          <w:sz w:val="20"/>
        </w:rPr>
        <w:t xml:space="preserve"> </w:t>
      </w:r>
      <w:r>
        <w:rPr>
          <w:rFonts w:ascii="Times New Roman" w:hAnsi="Times New Roman"/>
          <w:b/>
          <w:sz w:val="20"/>
          <w:u w:val="single"/>
        </w:rPr>
        <w:t>Defense of Claims</w:t>
      </w:r>
      <w:r>
        <w:rPr>
          <w:rFonts w:ascii="Times New Roman" w:hAnsi="Times New Roman"/>
          <w:sz w:val="20"/>
        </w:rPr>
        <w:t xml:space="preserve">. The Executive agrees that, during the Term hereof, and for a period of five (5) years after termination of the Executives employment, upon reasonable notice from the Corporation, the Executive will reasonably cooperate with providing information to the Corporation necessary in the defense of any claims or actions that may be made by or against the Corporation that affect the Executives prior areas of responsibility, except if the Executives interests are adverse to the Corporation in such claim or action. The Corporation agrees that it shall promptly pay or reimburse the reasonable cost of the time of the Executive (at $75 per hour) and any reasonable, out-of-pocket costs and attorneys fees that the Executive actually incurs in connection with the Executive providing such assistance or cooperation to the Corporation, in accordance with the Corporations standard policies and procedures as in effect from time to time, </w:t>
      </w:r>
      <w:r>
        <w:rPr>
          <w:rFonts w:ascii="Times New Roman" w:hAnsi="Times New Roman"/>
          <w:sz w:val="20"/>
          <w:u w:val="single"/>
        </w:rPr>
        <w:t>provided</w:t>
      </w:r>
      <w:r>
        <w:rPr>
          <w:rFonts w:ascii="Times New Roman" w:hAnsi="Times New Roman"/>
          <w:sz w:val="20"/>
        </w:rPr>
        <w:t xml:space="preserve"> that the Executive shall have obtained prior written approval from the Corporation for any travel costs incurred by the Executive in connection with the Executives obligations under this Section 6. </w:t>
      </w:r>
    </w:p>
    <w:p>
      <w:pPr>
        <w:pStyle w:val="TextBody"/>
        <w:spacing w:before="240" w:after="0"/>
        <w:jc w:val="left"/>
        <w:rPr>
          <w:rFonts w:ascii="Times New Roman" w:hAnsi="Times New Roman"/>
          <w:sz w:val="20"/>
        </w:rPr>
      </w:pPr>
      <w:r>
        <w:rPr>
          <w:rFonts w:ascii="Times New Roman" w:hAnsi="Times New Roman"/>
          <w:b/>
          <w:sz w:val="20"/>
        </w:rPr>
        <w:t>6.2</w:t>
      </w:r>
      <w:r>
        <w:rPr>
          <w:rFonts w:ascii="Times New Roman" w:hAnsi="Times New Roman"/>
          <w:sz w:val="20"/>
        </w:rPr>
        <w:t xml:space="preserve"> </w:t>
      </w:r>
      <w:r>
        <w:rPr>
          <w:rFonts w:ascii="Times New Roman" w:hAnsi="Times New Roman"/>
          <w:sz w:val="20"/>
          <w:u w:val="single"/>
        </w:rPr>
        <w:t>[Reserved.]</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b/>
          <w:sz w:val="20"/>
        </w:rPr>
        <w:t>6.3</w:t>
      </w:r>
      <w:r>
        <w:rPr>
          <w:rFonts w:ascii="Times New Roman" w:hAnsi="Times New Roman"/>
          <w:sz w:val="20"/>
        </w:rPr>
        <w:t xml:space="preserve"> </w:t>
      </w:r>
      <w:r>
        <w:rPr>
          <w:rFonts w:ascii="Times New Roman" w:hAnsi="Times New Roman"/>
          <w:b/>
          <w:sz w:val="20"/>
          <w:u w:val="single"/>
        </w:rPr>
        <w:t>Certain Transfer Restrictions</w:t>
      </w:r>
      <w:r>
        <w:rPr>
          <w:rFonts w:ascii="Times New Roman" w:hAnsi="Times New Roman"/>
          <w:sz w:val="20"/>
        </w:rPr>
        <w:t>. The Executive agrees that, prior to the earlier of the 18-month anniversary of the Effective Date and the termination of the Executives employment with the Corporation (such earlier date, the </w:t>
      </w:r>
      <w:r>
        <w:rPr>
          <w:rFonts w:ascii="Times New Roman" w:hAnsi="Times New Roman"/>
          <w:sz w:val="20"/>
          <w:u w:val="single"/>
        </w:rPr>
        <w:t>Rule 10b5-1 Date</w:t>
      </w:r>
      <w:r>
        <w:rPr>
          <w:rFonts w:ascii="Times New Roman" w:hAnsi="Times New Roman"/>
          <w:sz w:val="20"/>
        </w:rPr>
        <w:t xml:space="preserve">), the Executive shall not, without the approval of the Board, sell, lend, offer, pledge, contract to sell, sell any option or contract to purchase, purchase any option or contract to sell, grant any option, right or warrant to purchase, or otherwise transfer or dispose of, directly or indirectly, any securities of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Holdings, except pursuant to (i) any new, modified or amended contract, instruction or written plan intended to satisfy the affirmative defense conditions of Rule 10b5-1(c)(1) under the Exchange Act (as defined in Section 19) (such a contract, instruction or written plan, a </w:t>
      </w:r>
      <w:r>
        <w:rPr>
          <w:rFonts w:ascii="Times New Roman" w:hAnsi="Times New Roman"/>
          <w:sz w:val="20"/>
          <w:u w:val="single"/>
        </w:rPr>
        <w:t>Rule 10b5-1 Plan</w:t>
      </w:r>
      <w:r>
        <w:rPr>
          <w:rFonts w:ascii="Times New Roman" w:hAnsi="Times New Roman"/>
          <w:sz w:val="20"/>
        </w:rPr>
        <w:t xml:space="preserve">) that has been approved by the Board on or after the Effective Date, (ii) any existing Rule 10b5-1 Plan entered into prior to the Effective Date, assuming such plan is not subsequently modified or amended except as has been approved by the Board, (iii) transfers pursuant to a tender offer, merger, consolidation or other similar transaction that is approved by the Board , (iv) a transfer pursuant to a will, other testamentary document or intestacy, (v) a transfer by operation of law, such as pursuant to a qualified domestic order, divorce settlement, divorce decree or separation agreement, (vi) a transfer to an estate planning vehicle or entity or to any other entity or vehicle that is an affiliate of Executive, subject in each case to the last sentence of this Section 6.3, (vii) a bona fide gift, or (viii) a transfer to Holdings or to any subsidiary thereof. If any securities of Holdings beneficially owned by the Executive as of or subsequent to the date hereof are transferred to an estate planning vehicle or entity or any other entity or vehicle that is an affiliate of the Executive prior to the Rule 10b5-1 Date, then such shares shall continue to be subject to all of the terms and conditions set forth in this Section 6.3. </w:t>
      </w:r>
    </w:p>
    <w:p>
      <w:pPr>
        <w:pStyle w:val="TextBody"/>
        <w:spacing w:before="240" w:after="0"/>
        <w:jc w:val="left"/>
        <w:rPr>
          <w:rFonts w:ascii="Times New Roman" w:hAnsi="Times New Roman"/>
          <w:sz w:val="20"/>
        </w:rPr>
      </w:pPr>
      <w:r>
        <w:rPr>
          <w:rFonts w:ascii="Times New Roman" w:hAnsi="Times New Roman"/>
          <w:b/>
          <w:sz w:val="20"/>
        </w:rPr>
        <w:t>7.</w:t>
      </w:r>
      <w:r>
        <w:rPr>
          <w:rFonts w:ascii="Times New Roman" w:hAnsi="Times New Roman"/>
          <w:sz w:val="20"/>
        </w:rPr>
        <w:t xml:space="preserve"> </w:t>
      </w:r>
      <w:r>
        <w:rPr>
          <w:rFonts w:ascii="Times New Roman" w:hAnsi="Times New Roman"/>
          <w:b/>
          <w:sz w:val="20"/>
          <w:u w:val="single"/>
        </w:rPr>
        <w:t>Source of Payments</w:t>
      </w:r>
      <w:r>
        <w:rPr>
          <w:rFonts w:ascii="Times New Roman" w:hAnsi="Times New Roman"/>
          <w:sz w:val="20"/>
        </w:rPr>
        <w:t xml:space="preserve">. All payments provided under this Agreement, other than payments made pursuant to a plan which provides otherwise, shall be paid in cash from the general funds of the Corporation, and no special or separate fund shall be established, and no other segregation of assets shall be made, to assure payment. The Executive shall have no right, title or interest whatsoever in or to any investments which the Corporation may make to aid the Corporation in meeting its obligations hereunder. Any payments provided under this Agreement shall be treated as amounts owed to an unsecured creditor of the Corporation. </w:t>
      </w:r>
    </w:p>
    <w:p>
      <w:pPr>
        <w:pStyle w:val="TextBody"/>
        <w:spacing w:before="240" w:after="0"/>
        <w:jc w:val="left"/>
        <w:rPr>
          <w:rFonts w:ascii="Times New Roman" w:hAnsi="Times New Roman"/>
          <w:sz w:val="20"/>
        </w:rPr>
      </w:pPr>
      <w:r>
        <w:rPr>
          <w:rFonts w:ascii="Times New Roman" w:hAnsi="Times New Roman"/>
          <w:b/>
          <w:sz w:val="20"/>
        </w:rPr>
        <w:t>8.</w:t>
      </w:r>
      <w:r>
        <w:rPr>
          <w:rFonts w:ascii="Times New Roman" w:hAnsi="Times New Roman"/>
          <w:sz w:val="20"/>
        </w:rPr>
        <w:t xml:space="preserve"> </w:t>
      </w:r>
      <w:r>
        <w:rPr>
          <w:rFonts w:ascii="Times New Roman" w:hAnsi="Times New Roman"/>
          <w:b/>
          <w:sz w:val="20"/>
          <w:u w:val="single"/>
        </w:rPr>
        <w:t>Withholding</w:t>
      </w:r>
      <w:r>
        <w:rPr>
          <w:rFonts w:ascii="Times New Roman" w:hAnsi="Times New Roman"/>
          <w:sz w:val="20"/>
        </w:rPr>
        <w:t xml:space="preserve">. Notwithstanding anything else herein to the contrary, the Corporation and its affiliates may withhold (or cause there to be withheld, as the case may be) from any amounts otherwise due or payable under or pursuant to this Agreement such federal, state and local income, employment, or other taxes or other amounts as may be required to be withheld pursuant to any applicable law or regulation. </w:t>
      </w:r>
    </w:p>
    <w:p>
      <w:pPr>
        <w:pStyle w:val="TextBody"/>
        <w:spacing w:before="360" w:after="0"/>
        <w:jc w:val="left"/>
        <w:rPr>
          <w:rFonts w:ascii="Times New Roman" w:hAnsi="Times New Roman"/>
          <w:b/>
          <w:sz w:val="20"/>
        </w:rPr>
      </w:pPr>
      <w:r>
        <w:rPr>
          <w:rFonts w:ascii="Times New Roman" w:hAnsi="Times New Roman"/>
          <w:b/>
          <w:sz w:val="20"/>
        </w:rPr>
        <w:t xml:space="preserve">9. </w:t>
      </w:r>
      <w:r>
        <w:rPr>
          <w:rFonts w:ascii="Times New Roman" w:hAnsi="Times New Roman"/>
          <w:b/>
          <w:sz w:val="20"/>
          <w:u w:val="single"/>
        </w:rPr>
        <w:t>Assignment; Binding Effect</w:t>
      </w:r>
      <w:r>
        <w:rPr>
          <w:rFonts w:ascii="Times New Roman" w:hAnsi="Times New Roman"/>
          <w:b/>
          <w:sz w:val="20"/>
        </w:rPr>
        <w:t xml:space="preserve">. </w:t>
      </w:r>
    </w:p>
    <w:p>
      <w:pPr>
        <w:pStyle w:val="TextBody"/>
        <w:spacing w:before="120" w:after="0"/>
        <w:jc w:val="left"/>
        <w:rPr>
          <w:rFonts w:ascii="Times New Roman" w:hAnsi="Times New Roman"/>
          <w:sz w:val="20"/>
        </w:rPr>
      </w:pPr>
      <w:r>
        <w:rPr>
          <w:rFonts w:ascii="Times New Roman" w:hAnsi="Times New Roman"/>
          <w:b/>
          <w:sz w:val="20"/>
        </w:rPr>
        <w:t>9.1</w:t>
      </w:r>
      <w:r>
        <w:rPr>
          <w:rFonts w:ascii="Times New Roman" w:hAnsi="Times New Roman"/>
          <w:sz w:val="20"/>
        </w:rPr>
        <w:t xml:space="preserve"> </w:t>
      </w:r>
      <w:r>
        <w:rPr>
          <w:rFonts w:ascii="Times New Roman" w:hAnsi="Times New Roman"/>
          <w:b/>
          <w:sz w:val="20"/>
          <w:u w:val="single"/>
        </w:rPr>
        <w:t>By the Executive</w:t>
      </w:r>
      <w:r>
        <w:rPr>
          <w:rFonts w:ascii="Times New Roman" w:hAnsi="Times New Roman"/>
          <w:sz w:val="20"/>
        </w:rPr>
        <w:t xml:space="preserve">. This Agreement and any and all rights, duties, obligations or interests hereunder shall not be assignable or delegable by the Executive. </w:t>
      </w:r>
    </w:p>
    <w:p>
      <w:pPr>
        <w:pStyle w:val="TextBody"/>
        <w:spacing w:before="240" w:after="0"/>
        <w:jc w:val="left"/>
        <w:rPr>
          <w:rFonts w:ascii="Times New Roman" w:hAnsi="Times New Roman"/>
          <w:sz w:val="20"/>
        </w:rPr>
      </w:pPr>
      <w:r>
        <w:rPr>
          <w:rFonts w:ascii="Times New Roman" w:hAnsi="Times New Roman"/>
          <w:b/>
          <w:sz w:val="20"/>
        </w:rPr>
        <w:t>9.2</w:t>
      </w:r>
      <w:r>
        <w:rPr>
          <w:rFonts w:ascii="Times New Roman" w:hAnsi="Times New Roman"/>
          <w:sz w:val="20"/>
        </w:rPr>
        <w:t xml:space="preserve"> </w:t>
      </w:r>
      <w:r>
        <w:rPr>
          <w:rFonts w:ascii="Times New Roman" w:hAnsi="Times New Roman"/>
          <w:b/>
          <w:sz w:val="20"/>
          <w:u w:val="single"/>
        </w:rPr>
        <w:t>By the Corporation</w:t>
      </w:r>
      <w:r>
        <w:rPr>
          <w:rFonts w:ascii="Times New Roman" w:hAnsi="Times New Roman"/>
          <w:sz w:val="20"/>
        </w:rPr>
        <w:t xml:space="preserve">. This Agreement and all of the Corporations rights and obligations hereunder shall not be assignable by the Corporation except as incident to a reorganization, merger or consolidation, or transfer of all or substantially all of the Corporations assets; provided that the assignee in such reorganization, merger, consolidation or transfer assumes all of the Corporations obligations hereunder. </w:t>
      </w:r>
    </w:p>
    <w:p>
      <w:pPr>
        <w:pStyle w:val="TextBody"/>
        <w:spacing w:before="240" w:after="0"/>
        <w:jc w:val="left"/>
        <w:rPr>
          <w:rFonts w:ascii="Times New Roman" w:hAnsi="Times New Roman"/>
          <w:sz w:val="20"/>
        </w:rPr>
      </w:pPr>
      <w:r>
        <w:rPr>
          <w:rFonts w:ascii="Times New Roman" w:hAnsi="Times New Roman"/>
          <w:b/>
          <w:sz w:val="20"/>
        </w:rPr>
        <w:t>9.3</w:t>
      </w:r>
      <w:r>
        <w:rPr>
          <w:rFonts w:ascii="Times New Roman" w:hAnsi="Times New Roman"/>
          <w:sz w:val="20"/>
        </w:rPr>
        <w:t xml:space="preserve"> </w:t>
      </w:r>
      <w:r>
        <w:rPr>
          <w:rFonts w:ascii="Times New Roman" w:hAnsi="Times New Roman"/>
          <w:b/>
          <w:sz w:val="20"/>
          <w:u w:val="single"/>
        </w:rPr>
        <w:t>Binding Effect</w:t>
      </w:r>
      <w:r>
        <w:rPr>
          <w:rFonts w:ascii="Times New Roman" w:hAnsi="Times New Roman"/>
          <w:sz w:val="20"/>
        </w:rPr>
        <w:t xml:space="preserve">. This Agreement shall be binding upon, and inure to the benefit of, the parties hereto, any successors to or assigns of the Corporation and the Executives heirs and the personal representatives of the Executives estate.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b/>
          <w:sz w:val="20"/>
        </w:rPr>
        <w:t>10.</w:t>
      </w:r>
      <w:r>
        <w:rPr>
          <w:rFonts w:ascii="Times New Roman" w:hAnsi="Times New Roman"/>
          <w:sz w:val="20"/>
        </w:rPr>
        <w:t xml:space="preserve"> </w:t>
      </w:r>
      <w:r>
        <w:rPr>
          <w:rFonts w:ascii="Times New Roman" w:hAnsi="Times New Roman"/>
          <w:b/>
          <w:sz w:val="20"/>
          <w:u w:val="single"/>
        </w:rPr>
        <w:t>Number and Gender</w:t>
      </w:r>
      <w:r>
        <w:rPr>
          <w:rFonts w:ascii="Times New Roman" w:hAnsi="Times New Roman"/>
          <w:sz w:val="20"/>
        </w:rPr>
        <w:t xml:space="preserve">. Where the context requires, the singular shall include the plural, the plural shall include the singular, and any gender shall include all other genders. </w:t>
      </w:r>
    </w:p>
    <w:p>
      <w:pPr>
        <w:pStyle w:val="TextBody"/>
        <w:spacing w:before="240" w:after="0"/>
        <w:jc w:val="left"/>
        <w:rPr>
          <w:rFonts w:ascii="Times New Roman" w:hAnsi="Times New Roman"/>
          <w:sz w:val="20"/>
        </w:rPr>
      </w:pPr>
      <w:r>
        <w:rPr>
          <w:rFonts w:ascii="Times New Roman" w:hAnsi="Times New Roman"/>
          <w:b/>
          <w:sz w:val="20"/>
        </w:rPr>
        <w:t>11.</w:t>
      </w:r>
      <w:r>
        <w:rPr>
          <w:rFonts w:ascii="Times New Roman" w:hAnsi="Times New Roman"/>
          <w:sz w:val="20"/>
        </w:rPr>
        <w:t xml:space="preserve"> </w:t>
      </w:r>
      <w:r>
        <w:rPr>
          <w:rFonts w:ascii="Times New Roman" w:hAnsi="Times New Roman"/>
          <w:b/>
          <w:sz w:val="20"/>
          <w:u w:val="single"/>
        </w:rPr>
        <w:t>Section</w:t>
      </w:r>
      <w:r>
        <w:rPr>
          <w:rFonts w:ascii="Times New Roman" w:hAnsi="Times New Roman"/>
          <w:sz w:val="20"/>
          <w:u w:val="single"/>
        </w:rPr>
        <w:t> </w:t>
      </w:r>
      <w:r>
        <w:rPr>
          <w:rFonts w:ascii="Times New Roman" w:hAnsi="Times New Roman"/>
          <w:b/>
          <w:sz w:val="20"/>
          <w:u w:val="single"/>
        </w:rPr>
        <w:t>Headings</w:t>
      </w:r>
      <w:r>
        <w:rPr>
          <w:rFonts w:ascii="Times New Roman" w:hAnsi="Times New Roman"/>
          <w:sz w:val="20"/>
        </w:rPr>
        <w:t xml:space="preserve">. The section headings of, and titles of paragraphs and subparagraphs contained in, this Agreement are for the purpose of convenience only, and they neither form a part of this Agreement nor are they to be used in the construction or interpretation thereof. </w:t>
      </w:r>
    </w:p>
    <w:p>
      <w:pPr>
        <w:pStyle w:val="TextBody"/>
        <w:spacing w:before="240" w:after="0"/>
        <w:jc w:val="left"/>
        <w:rPr>
          <w:rFonts w:ascii="Times New Roman" w:hAnsi="Times New Roman"/>
          <w:sz w:val="20"/>
        </w:rPr>
      </w:pPr>
      <w:r>
        <w:rPr>
          <w:rFonts w:ascii="Times New Roman" w:hAnsi="Times New Roman"/>
          <w:b/>
          <w:sz w:val="20"/>
        </w:rPr>
        <w:t>12.</w:t>
      </w:r>
      <w:r>
        <w:rPr>
          <w:rFonts w:ascii="Times New Roman" w:hAnsi="Times New Roman"/>
          <w:sz w:val="20"/>
        </w:rPr>
        <w:t xml:space="preserve"> </w:t>
      </w:r>
      <w:r>
        <w:rPr>
          <w:rFonts w:ascii="Times New Roman" w:hAnsi="Times New Roman"/>
          <w:b/>
          <w:sz w:val="20"/>
          <w:u w:val="single"/>
        </w:rPr>
        <w:t>Governing Law</w:t>
      </w:r>
      <w:r>
        <w:rPr>
          <w:rFonts w:ascii="Times New Roman" w:hAnsi="Times New Roman"/>
          <w:sz w:val="20"/>
        </w:rPr>
        <w:t xml:space="preserve">. This Agreement, and all questions relating to its validity, interpretation, performance and enforcement, as well as the legal relations hereby created between the parties hereto, shall be governed by and construed under, and interpreted and enforced in accordance with, the laws of the State of California and adjudicated within Los Angeles, California. </w:t>
      </w:r>
    </w:p>
    <w:p>
      <w:pPr>
        <w:pStyle w:val="TextBody"/>
        <w:spacing w:before="240" w:after="0"/>
        <w:jc w:val="left"/>
        <w:rPr>
          <w:rFonts w:ascii="Times New Roman" w:hAnsi="Times New Roman"/>
          <w:sz w:val="20"/>
        </w:rPr>
      </w:pPr>
      <w:r>
        <w:rPr>
          <w:rFonts w:ascii="Times New Roman" w:hAnsi="Times New Roman"/>
          <w:b/>
          <w:sz w:val="20"/>
        </w:rPr>
        <w:t>13.</w:t>
      </w:r>
      <w:r>
        <w:rPr>
          <w:rFonts w:ascii="Times New Roman" w:hAnsi="Times New Roman"/>
          <w:sz w:val="20"/>
        </w:rPr>
        <w:t xml:space="preserve"> </w:t>
      </w:r>
      <w:r>
        <w:rPr>
          <w:rFonts w:ascii="Times New Roman" w:hAnsi="Times New Roman"/>
          <w:b/>
          <w:sz w:val="20"/>
          <w:u w:val="single"/>
        </w:rPr>
        <w:t>Survival of Certain Provisions</w:t>
      </w:r>
      <w:r>
        <w:rPr>
          <w:rFonts w:ascii="Times New Roman" w:hAnsi="Times New Roman"/>
          <w:sz w:val="20"/>
        </w:rPr>
        <w:t xml:space="preserve">. Sections 1.3, 1.4, 3.2, 5, 6.1, 6.3, 8, 9, 12, 14, 15, 16, 17, 18, 20 and 23 shall survive any termination of this Agreement. Sections 1.3, 1.4, 3.2, 5.3(a), 6.1, 8, 9, 12, 14, 15, 16, 17, 18, 20 and 23 of this Agreement shall survive the expiration of this Agreement. </w:t>
      </w:r>
    </w:p>
    <w:p>
      <w:pPr>
        <w:pStyle w:val="TextBody"/>
        <w:spacing w:before="240" w:after="0"/>
        <w:jc w:val="left"/>
        <w:rPr>
          <w:rFonts w:ascii="Times New Roman" w:hAnsi="Times New Roman"/>
          <w:sz w:val="20"/>
        </w:rPr>
      </w:pPr>
      <w:r>
        <w:rPr>
          <w:rFonts w:ascii="Times New Roman" w:hAnsi="Times New Roman"/>
          <w:b/>
          <w:sz w:val="20"/>
        </w:rPr>
        <w:t>14.</w:t>
      </w:r>
      <w:r>
        <w:rPr>
          <w:rFonts w:ascii="Times New Roman" w:hAnsi="Times New Roman"/>
          <w:sz w:val="20"/>
        </w:rPr>
        <w:t xml:space="preserve"> </w:t>
      </w:r>
      <w:r>
        <w:rPr>
          <w:rFonts w:ascii="Times New Roman" w:hAnsi="Times New Roman"/>
          <w:b/>
          <w:sz w:val="20"/>
          <w:u w:val="single"/>
        </w:rPr>
        <w:t>Entire Agreement</w:t>
      </w:r>
      <w:r>
        <w:rPr>
          <w:rFonts w:ascii="Times New Roman" w:hAnsi="Times New Roman"/>
          <w:sz w:val="20"/>
        </w:rPr>
        <w:t xml:space="preserve">. This Agreement (together with the exhibits attached hereto and the PIIA) embodies the entire agreement of the parties hereto respecting the matters within its scope. As of the Effective Date, this Agreement (together with the exhibits attached hereto) supersedes all prior and contemporaneous agreements of the parties hereto that directly or indirectly bear upon the subject matter hereof (including the Prior Employment Agreement), and any prior negotiations, correspondence, agreements, proposals or understandings relating to the subject matter hereof shall be deemed to be of no force or effect, and the parties to any such other negotiations, commitments, agreements or writings shall have no further rights or obligations thereunder. As of the Effective Date, the Prior Employment Agreement shall terminate and be of no further force or effect. There are no representations, warranties, or agreements, whether express or implied, or oral or written, with respect to the subject matter hereof, except as expressly set forth herein. </w:t>
      </w:r>
    </w:p>
    <w:p>
      <w:pPr>
        <w:pStyle w:val="TextBody"/>
        <w:spacing w:before="240" w:after="0"/>
        <w:jc w:val="left"/>
        <w:rPr>
          <w:rFonts w:ascii="Times New Roman" w:hAnsi="Times New Roman"/>
          <w:sz w:val="20"/>
        </w:rPr>
      </w:pPr>
      <w:r>
        <w:rPr>
          <w:rFonts w:ascii="Times New Roman" w:hAnsi="Times New Roman"/>
          <w:b/>
          <w:sz w:val="20"/>
        </w:rPr>
        <w:t>15.</w:t>
      </w:r>
      <w:r>
        <w:rPr>
          <w:rFonts w:ascii="Times New Roman" w:hAnsi="Times New Roman"/>
          <w:sz w:val="20"/>
        </w:rPr>
        <w:t xml:space="preserve"> </w:t>
      </w:r>
      <w:r>
        <w:rPr>
          <w:rFonts w:ascii="Times New Roman" w:hAnsi="Times New Roman"/>
          <w:b/>
          <w:sz w:val="20"/>
          <w:u w:val="single"/>
        </w:rPr>
        <w:t>Modifications, Waivers</w:t>
      </w:r>
      <w:r>
        <w:rPr>
          <w:rFonts w:ascii="Times New Roman" w:hAnsi="Times New Roman"/>
          <w:sz w:val="20"/>
        </w:rPr>
        <w:t xml:space="preserve">. This Agreement may not be waived, amended, modified or changed (in whole or in part), except by an instrument in writing signed by both parties hereto. The waiver by either party of compliance with any provision of this Agreement by the other party shall not operate or be construed as a waiver of any other provision of this Agreement, or of any subsequent breach by such party of a provision of this Agreement. </w:t>
      </w:r>
    </w:p>
    <w:p>
      <w:pPr>
        <w:pStyle w:val="TextBody"/>
        <w:spacing w:before="240" w:after="0"/>
        <w:jc w:val="left"/>
        <w:rPr>
          <w:rFonts w:ascii="Times New Roman" w:hAnsi="Times New Roman"/>
          <w:sz w:val="20"/>
        </w:rPr>
      </w:pPr>
      <w:r>
        <w:rPr>
          <w:rFonts w:ascii="Times New Roman" w:hAnsi="Times New Roman"/>
          <w:b/>
          <w:sz w:val="20"/>
        </w:rPr>
        <w:t>16.</w:t>
      </w:r>
      <w:r>
        <w:rPr>
          <w:rFonts w:ascii="Times New Roman" w:hAnsi="Times New Roman"/>
          <w:sz w:val="20"/>
        </w:rPr>
        <w:t xml:space="preserve"> </w:t>
      </w:r>
      <w:r>
        <w:rPr>
          <w:rFonts w:ascii="Times New Roman" w:hAnsi="Times New Roman"/>
          <w:b/>
          <w:sz w:val="20"/>
          <w:u w:val="single"/>
        </w:rPr>
        <w:t>Arbitration</w:t>
      </w:r>
      <w:r>
        <w:rPr>
          <w:rFonts w:ascii="Times New Roman" w:hAnsi="Times New Roman"/>
          <w:sz w:val="20"/>
        </w:rPr>
        <w:t>. The parties hereto agree that to the extent permitted by law, any dispute or controversy arising out of, relating to, or in connection with this Agreement, or the interpretation, validity, construction, performance, breach, or termination thereof, or the Executives employment by the Corporation or any termination thereof, will be settled by arbitration to be held at a location in Los Angeles, California in accordance with then applicable rules of the American Arbitration Association specifically designed for the resolution of employment disputes, which are available at</w:t>
      </w:r>
      <w:r>
        <w:rPr>
          <w:rFonts w:ascii="Times New Roman" w:hAnsi="Times New Roman"/>
          <w:sz w:val="20"/>
          <w:u w:val="single"/>
        </w:rPr>
        <w:t xml:space="preserve"> https://www.adr.org/sites/default/filesemployment_arbitration_rules_and_mediation_procedures_0.pdf</w:t>
      </w:r>
      <w:r>
        <w:rPr>
          <w:rFonts w:ascii="Times New Roman" w:hAnsi="Times New Roman"/>
          <w:sz w:val="20"/>
        </w:rPr>
        <w:t xml:space="preserve">. The arbitrator may grant injunctions or other relief in such dispute or controversy. The decision of the arbitrator will be final, conclusive and binding on the parties to the arbitration. Judgment may be entered on the arbitrators decision in any court having jurisdiction. The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Corporation shall pay the costs associated with arbitration (arbitration fee and location fee, if any);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each party shall bear its own legal fees and expenses. THE EXECUTIVE AND THE CORPORATION UNDERSTAND THAT BY AGREEING TO ARBITRATE ANY ARBITRATION CLAIM, THEY WILL NOT HAVE THE RIGHT TO HAVE ANY ARBITRATION CLAIM DECIDED BY A JURY OR A COURT, BUT SHALL INSTEAD HAVE ANY ARBITRATION CLAIM DECIDED THROUGH ARBITRATION. THE EXECUTIVE AND THE CORPORATION WAIVE ANY CONSTITUTIONAL OR OTHER RIGHT TO BRING CLAIMS COVERED BY THIS AGREEMENT OTHER THAN IN THEIR INDIVIDUAL CAPACITIES. EXCEPT AS MAY BE PROHIBITED BY LAW, THIS WAIVER INCLUDES THE ABILITY TO ASSERT CLAIMS AS A PLAINTIFF OR CLASS MEMBER IN ANY PURPORTED CLASS OR REPRESENTATIVE PROCEEDING. </w:t>
      </w:r>
    </w:p>
    <w:p>
      <w:pPr>
        <w:pStyle w:val="TextBody"/>
        <w:spacing w:before="240" w:after="0"/>
        <w:jc w:val="left"/>
        <w:rPr>
          <w:rFonts w:ascii="Times New Roman" w:hAnsi="Times New Roman"/>
          <w:sz w:val="20"/>
        </w:rPr>
      </w:pPr>
      <w:r>
        <w:rPr>
          <w:rFonts w:ascii="Times New Roman" w:hAnsi="Times New Roman"/>
          <w:b/>
          <w:sz w:val="20"/>
        </w:rPr>
        <w:t>17.</w:t>
      </w:r>
      <w:r>
        <w:rPr>
          <w:rFonts w:ascii="Times New Roman" w:hAnsi="Times New Roman"/>
          <w:sz w:val="20"/>
        </w:rPr>
        <w:t xml:space="preserve"> </w:t>
      </w:r>
      <w:r>
        <w:rPr>
          <w:rFonts w:ascii="Times New Roman" w:hAnsi="Times New Roman"/>
          <w:b/>
          <w:sz w:val="20"/>
          <w:u w:val="single"/>
        </w:rPr>
        <w:t>Notices</w:t>
      </w:r>
      <w:r>
        <w:rPr>
          <w:rFonts w:ascii="Times New Roman" w:hAnsi="Times New Roman"/>
          <w:sz w:val="20"/>
        </w:rPr>
        <w:t xml:space="preserve">. All notices, requests, demands and other communications required or permitted under this Agreement shall be in writing (including in electronic formats) and shall be deemed to have been duly given and made if (i) on delivery if delivered by hand, (ii) one (1) business day after if sent to an email address of record </w:t>
      </w:r>
      <w:r>
        <w:rPr>
          <w:rFonts w:ascii="Times New Roman" w:hAnsi="Times New Roman"/>
          <w:sz w:val="20"/>
          <w:u w:val="single"/>
        </w:rPr>
        <w:t>provided</w:t>
      </w:r>
      <w:r>
        <w:rPr>
          <w:rFonts w:ascii="Times New Roman" w:hAnsi="Times New Roman"/>
          <w:sz w:val="20"/>
        </w:rPr>
        <w:t xml:space="preserve"> receipt is confirmed, or (iii) three business days after sent by registered or certified mail, postage prepaid, return receipt requested. Any notice shall be duly addressed to the parties as follows: </w:t>
      </w:r>
    </w:p>
    <w:p>
      <w:pPr>
        <w:pStyle w:val="TextBody"/>
        <w:spacing w:before="240" w:after="0"/>
        <w:jc w:val="left"/>
        <w:rPr>
          <w:rFonts w:ascii="Times New Roman" w:hAnsi="Times New Roman"/>
          <w:sz w:val="20"/>
        </w:rPr>
      </w:pPr>
      <w:r>
        <w:rPr>
          <w:rFonts w:ascii="Times New Roman" w:hAnsi="Times New Roman"/>
          <w:sz w:val="20"/>
        </w:rPr>
        <w:t xml:space="preserve">if to the Corporation: </w:t>
      </w:r>
    </w:p>
    <w:p>
      <w:pPr>
        <w:pStyle w:val="TextBody"/>
        <w:spacing w:before="240" w:after="0"/>
        <w:jc w:val="left"/>
        <w:rPr>
          <w:rFonts w:ascii="Times New Roman" w:hAnsi="Times New Roman"/>
          <w:sz w:val="20"/>
        </w:rPr>
      </w:pPr>
      <w:r>
        <w:rPr>
          <w:rFonts w:ascii="Times New Roman" w:hAnsi="Times New Roman"/>
          <w:sz w:val="20"/>
        </w:rPr>
        <w:t xml:space="preserve">GoodRx, Inc. </w:t>
      </w:r>
    </w:p>
    <w:p>
      <w:pPr>
        <w:pStyle w:val="TextBody"/>
        <w:spacing w:before="0" w:after="0"/>
        <w:jc w:val="left"/>
        <w:rPr>
          <w:rFonts w:ascii="Times New Roman" w:hAnsi="Times New Roman"/>
          <w:sz w:val="20"/>
        </w:rPr>
      </w:pPr>
      <w:r>
        <w:rPr>
          <w:rFonts w:ascii="Times New Roman" w:hAnsi="Times New Roman"/>
          <w:sz w:val="20"/>
        </w:rPr>
        <w:t xml:space="preserve">2701 Olympic Boulevard </w:t>
      </w:r>
    </w:p>
    <w:p>
      <w:pPr>
        <w:pStyle w:val="TextBody"/>
        <w:spacing w:before="0" w:after="0"/>
        <w:jc w:val="left"/>
        <w:rPr>
          <w:rFonts w:ascii="Times New Roman" w:hAnsi="Times New Roman"/>
          <w:sz w:val="20"/>
        </w:rPr>
      </w:pPr>
      <w:r>
        <w:rPr>
          <w:rFonts w:ascii="Times New Roman" w:hAnsi="Times New Roman"/>
          <w:sz w:val="20"/>
        </w:rPr>
        <w:t xml:space="preserve">Santa Monica, CA 90404 </w:t>
      </w:r>
    </w:p>
    <w:p>
      <w:pPr>
        <w:pStyle w:val="TextBody"/>
        <w:spacing w:before="0" w:after="0"/>
        <w:jc w:val="left"/>
        <w:rPr>
          <w:rFonts w:ascii="Times New Roman" w:hAnsi="Times New Roman"/>
          <w:sz w:val="20"/>
        </w:rPr>
      </w:pPr>
      <w:r>
        <w:rPr>
          <w:rFonts w:ascii="Times New Roman" w:hAnsi="Times New Roman"/>
          <w:sz w:val="20"/>
        </w:rPr>
        <w:t xml:space="preserve">Attention: Chief Financial Officer or General Counsel </w:t>
      </w:r>
    </w:p>
    <w:p>
      <w:pPr>
        <w:pStyle w:val="TextBody"/>
        <w:spacing w:before="240" w:after="0"/>
        <w:jc w:val="left"/>
        <w:rPr>
          <w:rFonts w:ascii="Times New Roman" w:hAnsi="Times New Roman"/>
          <w:sz w:val="20"/>
        </w:rPr>
      </w:pPr>
      <w:r>
        <w:rPr>
          <w:rFonts w:ascii="Times New Roman" w:hAnsi="Times New Roman"/>
          <w:sz w:val="20"/>
        </w:rPr>
        <w:t xml:space="preserve">if to the Executive, to the address (or e-mail address) most recently on file in the personnel records of the Corporation. </w:t>
      </w:r>
    </w:p>
    <w:p>
      <w:pPr>
        <w:pStyle w:val="TextBody"/>
        <w:spacing w:before="360" w:after="0"/>
        <w:jc w:val="left"/>
        <w:rPr>
          <w:rFonts w:ascii="Times New Roman" w:hAnsi="Times New Roman"/>
          <w:b/>
          <w:sz w:val="20"/>
        </w:rPr>
      </w:pPr>
      <w:r>
        <w:rPr>
          <w:rFonts w:ascii="Times New Roman" w:hAnsi="Times New Roman"/>
          <w:b/>
          <w:sz w:val="20"/>
        </w:rPr>
        <w:t xml:space="preserve">18. </w:t>
      </w:r>
      <w:r>
        <w:rPr>
          <w:rFonts w:ascii="Times New Roman" w:hAnsi="Times New Roman"/>
          <w:b/>
          <w:sz w:val="20"/>
          <w:u w:val="single"/>
        </w:rPr>
        <w:t>Code Section 409A</w:t>
      </w:r>
      <w:r>
        <w:rPr>
          <w:rFonts w:ascii="Times New Roman" w:hAnsi="Times New Roman"/>
          <w:b/>
          <w:sz w:val="20"/>
        </w:rPr>
        <w:t xml:space="preserve">. </w:t>
      </w:r>
    </w:p>
    <w:p>
      <w:pPr>
        <w:pStyle w:val="TextBody"/>
        <w:spacing w:before="120" w:after="0"/>
        <w:jc w:val="left"/>
        <w:rPr>
          <w:rFonts w:ascii="Times New Roman" w:hAnsi="Times New Roman"/>
          <w:sz w:val="20"/>
        </w:rPr>
      </w:pPr>
      <w:r>
        <w:rPr>
          <w:rFonts w:ascii="Times New Roman" w:hAnsi="Times New Roman"/>
          <w:sz w:val="20"/>
        </w:rPr>
        <w:t>This Agreement is intended to meet the requirements of Section 409A of the Code, and shall be interpreted and construed consistent with that intent. Each payment provided hereunder, whether part of the Severance Benefit or otherwise, is intended to be a separate payment for purposes of Section 409A of the Code, including Treasury Regulation 1.409A-2(b)(2). All payments of nonqualified deferred compensation subject to Section 409A to be made upon a termination of employment under this Agreement may only be made upon the Executives separation from service (within the meaning of Section 409A of the Code) (a </w:t>
      </w:r>
      <w:r>
        <w:rPr>
          <w:rFonts w:ascii="Times New Roman" w:hAnsi="Times New Roman"/>
          <w:sz w:val="20"/>
          <w:u w:val="single"/>
        </w:rPr>
        <w:t>Separation from Service</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Notwithstanding anything to the contrary in this Agreement, no compensation or benefits, including without limitation any severance payments or benefits payable under Section 5.3, shall be paid to the Executive during the six-month period following the Executives Separation from Service if the Corporation determines that paying such amounts at the time or times indicated in this Agreement would be a prohibited distribution under Section 409A(a)(2)(B)(i) of the Code. If the payment of any such amounts is delayed as a result of the previous sentence, then on the first day of the seventh month following the date of Separation from Service (or such earlier date upon which such amount can be paid under Section 409A without resulting in a prohibited distribution, including as a result of the Executives death), the Corporation shall pay the Executive a lump-sum amount equal to the cumulative amount that would have otherwise been payable to the Executive during such period.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To the extent that any payments or reimbursements provided to the Executive under this Agreement are deemed to constitute compensation to the Executive to which Treasury Regulation Section 1.409A-3(i)(1)(iv) would apply, such amounts shall be made on or before the last day of the calendar year following the calendar year in which the relevant expense or benefit is incurred. The amount of expenses or benefits eligible for reimbursement, payment or provision during a calendar year shall not affect the expenses or benefits eligible for reimbursement, payment or provision in any other calendar year. </w:t>
      </w:r>
    </w:p>
    <w:p>
      <w:pPr>
        <w:pStyle w:val="TextBody"/>
        <w:spacing w:before="240" w:after="0"/>
        <w:jc w:val="left"/>
        <w:rPr>
          <w:rFonts w:ascii="Times New Roman" w:hAnsi="Times New Roman"/>
          <w:sz w:val="20"/>
        </w:rPr>
      </w:pPr>
      <w:r>
        <w:rPr>
          <w:rFonts w:ascii="Times New Roman" w:hAnsi="Times New Roman"/>
          <w:b/>
          <w:sz w:val="20"/>
        </w:rPr>
        <w:t>19.</w:t>
      </w:r>
      <w:r>
        <w:rPr>
          <w:rFonts w:ascii="Times New Roman" w:hAnsi="Times New Roman"/>
          <w:sz w:val="20"/>
        </w:rPr>
        <w:t xml:space="preserve"> </w:t>
      </w:r>
      <w:r>
        <w:rPr>
          <w:rFonts w:ascii="Times New Roman" w:hAnsi="Times New Roman"/>
          <w:b/>
          <w:sz w:val="20"/>
          <w:u w:val="single"/>
        </w:rPr>
        <w:t>Sarbanes-Oxley Act of 2002</w:t>
      </w:r>
      <w:r>
        <w:rPr>
          <w:rFonts w:ascii="Times New Roman" w:hAnsi="Times New Roman"/>
          <w:sz w:val="20"/>
        </w:rPr>
        <w:t>. Notwithstanding anything herein to the contrary, if the Corporation determines, in its good faith judgment, that any transfer or deemed transfer of funds hereunder is likely to be construed as a personal loan prohibited by Section 13(k) of the Securities Exchange Act of 1934, as amended, and the rules and regulations promulgated thereunder (the </w:t>
      </w:r>
      <w:r>
        <w:rPr>
          <w:rFonts w:ascii="Times New Roman" w:hAnsi="Times New Roman"/>
          <w:sz w:val="20"/>
          <w:u w:val="single"/>
        </w:rPr>
        <w:t>Exchange Act</w:t>
      </w:r>
      <w:r>
        <w:rPr>
          <w:rFonts w:ascii="Times New Roman" w:hAnsi="Times New Roman"/>
          <w:sz w:val="20"/>
        </w:rPr>
        <w:t xml:space="preserve">), then such transfer or deemed transfer shall be provided to the Executive as compensation (and not as a loan) to the Executive (and as such shall be subject to tax withholding obligations). </w:t>
      </w:r>
    </w:p>
    <w:p>
      <w:pPr>
        <w:pStyle w:val="TextBody"/>
        <w:spacing w:before="240" w:after="0"/>
        <w:jc w:val="left"/>
        <w:rPr>
          <w:rFonts w:ascii="Times New Roman" w:hAnsi="Times New Roman"/>
          <w:sz w:val="20"/>
        </w:rPr>
      </w:pPr>
      <w:r>
        <w:rPr>
          <w:rFonts w:ascii="Times New Roman" w:hAnsi="Times New Roman"/>
          <w:b/>
          <w:sz w:val="20"/>
        </w:rPr>
        <w:t>20.</w:t>
      </w:r>
      <w:r>
        <w:rPr>
          <w:rFonts w:ascii="Times New Roman" w:hAnsi="Times New Roman"/>
          <w:sz w:val="20"/>
        </w:rPr>
        <w:t xml:space="preserve"> </w:t>
      </w:r>
      <w:r>
        <w:rPr>
          <w:rFonts w:ascii="Times New Roman" w:hAnsi="Times New Roman"/>
          <w:b/>
          <w:sz w:val="20"/>
          <w:u w:val="single"/>
        </w:rPr>
        <w:t>Exceptions</w:t>
      </w:r>
      <w:r>
        <w:rPr>
          <w:rFonts w:ascii="Times New Roman" w:hAnsi="Times New Roman"/>
          <w:sz w:val="20"/>
        </w:rPr>
        <w:t>. Notwithstanding anything in this Agreement to the contrary, nothing contained in this Agreement shall prohibit either party (or either partys attorney(s)) from (i) filing a charge with, reporting possible violations of federal law or regulation to, participating in any investigation by, or cooperating with the U.S. Securities and Exchange Commission, the Financial Industry Regulatory Authority, the Equal Employment Opportunity Commission, the National Labor Relations Board, the Occupational Safety and Health Administration, the U.S. Commodity Futures Trading Commission, the U.S. Department of Justice or any other securities regulatory agency, self-regulatory authority or federal, state or local regulatory authority (collectively, </w:t>
      </w:r>
      <w:r>
        <w:rPr>
          <w:rFonts w:ascii="Times New Roman" w:hAnsi="Times New Roman"/>
          <w:sz w:val="20"/>
          <w:u w:val="single"/>
        </w:rPr>
        <w:t>Government Agencies</w:t>
      </w:r>
      <w:r>
        <w:rPr>
          <w:rFonts w:ascii="Times New Roman" w:hAnsi="Times New Roman"/>
          <w:sz w:val="20"/>
        </w:rPr>
        <w:t xml:space="preserve">), or making other disclosures that are protected under the whistleblower provisions of applicable law or regulation, (ii) communicating directly with, cooperating with, or providing information (including trade secrets) in confidence to any Government Agencies for the purpose of reporting or investigating a suspected violation of law, or from providing such information to such partys attorney(s) or in a sealed complaint or other document filed in a lawsuit or other governmental proceeding, (iii) exercising any rights the Executive may have under Section 7 of the U.S. National Labor Relations Act, such as the right to engage in concerted activity, including collective action or discussion concerning wages or working conditions and/or (iv) receiving an award for information provided to any Government Agency. Pursuant to 18 USC Section 1833(b), the Executive will not be held criminally or civilly liable under any federal or state trade secret law for the disclosure of a trade secret that is made: (x) in confidence to a federal, state, or local government official, either directly or indirectly, or to an attorney, and solely for the purpose of reporting or investigating a suspected violation of law; or (y) in a complaint or other document filed in a lawsuit or other proceeding, if such filing is made under seal. Further, nothing in this Agreement is intended to or shall preclude either party from providing truthful testimony in response to a valid subpoena, court order, regulatory request or other judicial, administrative or legal process or otherwise as required by law. If the Executive is required to provide testimony, then unless otherwise directed or requested by a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Government Agency or law enforcement, the Executive shall notify the Corporation as soon as reasonably practicable after receiving any such request of the anticipated testimony. Nothing in this Agreement prevents the Executive from discussing or disclosing information about unlawful acts in the workplace, such as harassment or discrimination or any other conduct that the Executive has reason to believe is unlawful. </w:t>
      </w:r>
    </w:p>
    <w:p>
      <w:pPr>
        <w:pStyle w:val="TextBody"/>
        <w:spacing w:before="240" w:after="0"/>
        <w:jc w:val="left"/>
        <w:rPr>
          <w:rFonts w:ascii="Times New Roman" w:hAnsi="Times New Roman"/>
          <w:sz w:val="20"/>
        </w:rPr>
      </w:pPr>
      <w:r>
        <w:rPr>
          <w:rFonts w:ascii="Times New Roman" w:hAnsi="Times New Roman"/>
          <w:b/>
          <w:sz w:val="20"/>
        </w:rPr>
        <w:t>21.</w:t>
      </w:r>
      <w:r>
        <w:rPr>
          <w:rFonts w:ascii="Times New Roman" w:hAnsi="Times New Roman"/>
          <w:sz w:val="20"/>
        </w:rPr>
        <w:t xml:space="preserve"> </w:t>
      </w:r>
      <w:r>
        <w:rPr>
          <w:rFonts w:ascii="Times New Roman" w:hAnsi="Times New Roman"/>
          <w:b/>
          <w:sz w:val="20"/>
          <w:u w:val="single"/>
        </w:rPr>
        <w:t>Counterparts</w:t>
      </w:r>
      <w:r>
        <w:rPr>
          <w:rFonts w:ascii="Times New Roman" w:hAnsi="Times New Roman"/>
          <w:sz w:val="20"/>
        </w:rPr>
        <w:t xml:space="preserve">. This Agreement may be executed in any number of counterparts, each of which shall be deemed an original as against any party whose signature appears thereon, and all of which together shall constitute one and the same instrument. This Agreement shall become binding when one or more counterparts hereof, individually or taken together, shall bear the signatures of all of the parties reflected hereon as the signatories. </w:t>
      </w:r>
    </w:p>
    <w:p>
      <w:pPr>
        <w:pStyle w:val="TextBody"/>
        <w:spacing w:before="240" w:after="0"/>
        <w:jc w:val="left"/>
        <w:rPr>
          <w:rFonts w:ascii="Times New Roman" w:hAnsi="Times New Roman"/>
          <w:sz w:val="20"/>
        </w:rPr>
      </w:pPr>
      <w:r>
        <w:rPr>
          <w:rFonts w:ascii="Times New Roman" w:hAnsi="Times New Roman"/>
          <w:b/>
          <w:sz w:val="20"/>
        </w:rPr>
        <w:t>22.</w:t>
      </w:r>
      <w:r>
        <w:rPr>
          <w:rFonts w:ascii="Times New Roman" w:hAnsi="Times New Roman"/>
          <w:sz w:val="20"/>
        </w:rPr>
        <w:t xml:space="preserve"> </w:t>
      </w:r>
      <w:r>
        <w:rPr>
          <w:rFonts w:ascii="Times New Roman" w:hAnsi="Times New Roman"/>
          <w:b/>
          <w:sz w:val="20"/>
          <w:u w:val="single"/>
        </w:rPr>
        <w:t>Legal Counsel</w:t>
      </w:r>
      <w:r>
        <w:rPr>
          <w:rFonts w:ascii="Times New Roman" w:hAnsi="Times New Roman"/>
          <w:sz w:val="20"/>
        </w:rPr>
        <w:t xml:space="preserve">. Each party recognizes that this is a legally binding contract and acknowledges and agrees that they have had the opportunity to consult with legal counsel of their choice. The Executive agrees and acknowledges that he has read and understands this Agreement, is entering into it freely and voluntarily, and has been advised to seek counsel prior to entering into this Agreement and has had ample opportunity to do so. This Agreement has resulted from negotiations and discussions between the parties and no one party shall be treated as drafting this Agreement for purposes of interpreting any provision hereof. The Corporation shall reimburse the Executive for reasonable, documented legal fees incurred in drafting and negotiating the terms of this Agreement in an aggregate amount not to exceed $15,000. </w:t>
      </w:r>
    </w:p>
    <w:p>
      <w:pPr>
        <w:pStyle w:val="TextBody"/>
        <w:spacing w:before="240" w:after="0"/>
        <w:jc w:val="left"/>
        <w:rPr>
          <w:rFonts w:ascii="Times New Roman" w:hAnsi="Times New Roman"/>
          <w:sz w:val="20"/>
        </w:rPr>
      </w:pPr>
      <w:r>
        <w:rPr>
          <w:rFonts w:ascii="Times New Roman" w:hAnsi="Times New Roman"/>
          <w:b/>
          <w:sz w:val="20"/>
        </w:rPr>
        <w:t>23.</w:t>
      </w:r>
      <w:r>
        <w:rPr>
          <w:rFonts w:ascii="Times New Roman" w:hAnsi="Times New Roman"/>
          <w:sz w:val="20"/>
        </w:rPr>
        <w:t xml:space="preserve"> </w:t>
      </w:r>
      <w:r>
        <w:rPr>
          <w:rFonts w:ascii="Times New Roman" w:hAnsi="Times New Roman"/>
          <w:b/>
          <w:sz w:val="20"/>
          <w:u w:val="single"/>
        </w:rPr>
        <w:t>Clawback</w:t>
      </w:r>
      <w:r>
        <w:rPr>
          <w:rFonts w:ascii="Times New Roman" w:hAnsi="Times New Roman"/>
          <w:sz w:val="20"/>
        </w:rPr>
        <w:t xml:space="preserve">. The compensation payable hereunder may be subject to (i) any clawback or recoupment policy of the Corporation or Holdings required in order to comply with applicable law, including the Dodd-Frank Wall Street Reform and Consumer Protection Act and any rules or regulations promulgated thereunder and (ii) any clawback or recoupment policy of the Corporation or Holdings approved by the Board which applies to the senior executives of the Corporation. The Corporation and the Executive acknowledge that this Section 23 is not intended to limit any clawback and/or disgorgement of such compensation pursuant to Section 304 of the Sarbanes-Oxley Act of 2002. </w:t>
      </w:r>
    </w:p>
    <w:p>
      <w:pPr>
        <w:pStyle w:val="TextBody"/>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The remainder of this page has intentionally been left blank</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the Corporation and the Executive have executed this Agreement as of the date set forth above. </w:t>
      </w:r>
    </w:p>
    <w:p>
      <w:pPr>
        <w:pStyle w:val="TextBody"/>
        <w:spacing w:before="0" w:after="0"/>
        <w:jc w:val="left"/>
        <w:rPr/>
      </w:pPr>
      <w:r>
        <w:rPr/>
        <w:t> </w:t>
      </w:r>
    </w:p>
    <w:tbl>
      <w:tblPr>
        <w:tblW w:w="2000" w:type="pct"/>
        <w:jc w:val="right"/>
        <w:tblInd w:w="0" w:type="dxa"/>
        <w:tblCellMar>
          <w:top w:w="0" w:type="dxa"/>
          <w:left w:w="0" w:type="dxa"/>
          <w:bottom w:w="0" w:type="dxa"/>
          <w:right w:w="0" w:type="dxa"/>
        </w:tblCellMar>
      </w:tblPr>
      <w:tblGrid>
        <w:gridCol w:w="686"/>
        <w:gridCol w:w="60"/>
        <w:gridCol w:w="3336"/>
      </w:tblGrid>
      <w:tr>
        <w:trPr/>
        <w:tc>
          <w:tcPr>
            <w:tcW w:w="68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336"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pPr>
            <w:r>
              <w:rPr/>
              <w:t></w:t>
            </w:r>
            <w:r>
              <w:rPr>
                <w:b/>
              </w:rPr>
              <w:t>CORPORATION</w:t>
            </w:r>
            <w:r>
              <w:rPr/>
              <w:t></w:t>
            </w:r>
          </w:p>
        </w:tc>
      </w:tr>
      <w:tr>
        <w:trPr>
          <w:trHeight w:val="240" w:hRule="atLeast"/>
        </w:trPr>
        <w:tc>
          <w:tcPr>
            <w:tcW w:w="686" w:type="dxa"/>
            <w:tcBorders/>
            <w:shd w:fill="auto" w:val="clear"/>
            <w:vAlign w:val="center"/>
          </w:tcPr>
          <w:p>
            <w:pPr>
              <w:pStyle w:val="TableContents"/>
              <w:spacing w:before="0" w:after="283"/>
              <w:rPr>
                <w:sz w:val="4"/>
                <w:szCs w:val="4"/>
              </w:rPr>
            </w:pPr>
            <w:r>
              <w:rPr>
                <w:sz w:val="4"/>
                <w:szCs w:val="4"/>
              </w:rPr>
            </w:r>
          </w:p>
        </w:tc>
        <w:tc>
          <w:tcPr>
            <w:tcW w:w="3396" w:type="dxa"/>
            <w:gridSpan w:val="2"/>
            <w:tcBorders/>
            <w:shd w:fill="auto" w:val="clear"/>
            <w:vAlign w:val="center"/>
          </w:tcPr>
          <w:p>
            <w:pPr>
              <w:pStyle w:val="TableContents"/>
              <w:spacing w:before="0" w:after="283"/>
              <w:rPr>
                <w:sz w:val="4"/>
                <w:szCs w:val="4"/>
              </w:rPr>
            </w:pPr>
            <w:r>
              <w:rPr>
                <w:sz w:val="4"/>
                <w:szCs w:val="4"/>
              </w:rPr>
            </w:r>
          </w:p>
        </w:tc>
      </w:tr>
      <w:tr>
        <w:trPr/>
        <w:tc>
          <w:tcPr>
            <w:tcW w:w="686" w:type="dxa"/>
            <w:tcBorders/>
            <w:shd w:fill="auto" w:val="clear"/>
          </w:tcPr>
          <w:p>
            <w:pPr>
              <w:pStyle w:val="TableContents"/>
              <w:spacing w:before="0" w:after="283"/>
              <w:rPr/>
            </w:pPr>
            <w:r>
              <w:rPr/>
              <w:t>By:</w:t>
            </w:r>
          </w:p>
        </w:tc>
        <w:tc>
          <w:tcPr>
            <w:tcW w:w="60" w:type="dxa"/>
            <w:tcBorders/>
            <w:shd w:fill="auto" w:val="clear"/>
            <w:vAlign w:val="bottom"/>
          </w:tcPr>
          <w:p>
            <w:pPr>
              <w:pStyle w:val="TableContents"/>
              <w:spacing w:before="0" w:after="283"/>
              <w:rPr/>
            </w:pPr>
            <w:r>
              <w:rPr/>
              <w:t> </w:t>
            </w:r>
          </w:p>
        </w:tc>
        <w:tc>
          <w:tcPr>
            <w:tcW w:w="3336" w:type="dxa"/>
            <w:tcBorders/>
            <w:shd w:fill="auto" w:val="clear"/>
          </w:tcPr>
          <w:p>
            <w:pPr>
              <w:pStyle w:val="TableContents"/>
              <w:pBdr>
                <w:bottom w:val="single" w:sz="2" w:space="1" w:color="000000"/>
              </w:pBdr>
              <w:spacing w:before="0" w:after="20"/>
              <w:rPr>
                <w:rFonts w:ascii="Times New Roman" w:hAnsi="Times New Roman"/>
                <w:sz w:val="20"/>
              </w:rPr>
            </w:pPr>
            <w:r>
              <w:rPr>
                <w:rFonts w:ascii="Times New Roman" w:hAnsi="Times New Roman"/>
                <w:sz w:val="20"/>
              </w:rPr>
              <w:t>/s/ Gracye Cheng</w:t>
            </w:r>
          </w:p>
        </w:tc>
      </w:tr>
      <w:tr>
        <w:trPr/>
        <w:tc>
          <w:tcPr>
            <w:tcW w:w="686" w:type="dxa"/>
            <w:tcBorders/>
            <w:shd w:fill="auto" w:val="clear"/>
          </w:tcPr>
          <w:p>
            <w:pPr>
              <w:pStyle w:val="TableContents"/>
              <w:spacing w:before="0" w:after="283"/>
              <w:rPr/>
            </w:pPr>
            <w:r>
              <w:rPr/>
              <w:t>Name:</w:t>
            </w:r>
          </w:p>
        </w:tc>
        <w:tc>
          <w:tcPr>
            <w:tcW w:w="60" w:type="dxa"/>
            <w:tcBorders/>
            <w:shd w:fill="auto" w:val="clear"/>
            <w:vAlign w:val="bottom"/>
          </w:tcPr>
          <w:p>
            <w:pPr>
              <w:pStyle w:val="TableContents"/>
              <w:spacing w:before="0" w:after="283"/>
              <w:rPr/>
            </w:pPr>
            <w:r>
              <w:rPr/>
              <w:t> </w:t>
            </w:r>
          </w:p>
        </w:tc>
        <w:tc>
          <w:tcPr>
            <w:tcW w:w="3336" w:type="dxa"/>
            <w:tcBorders/>
            <w:shd w:fill="auto" w:val="clear"/>
          </w:tcPr>
          <w:p>
            <w:pPr>
              <w:pStyle w:val="TableContents"/>
              <w:pBdr>
                <w:bottom w:val="single" w:sz="2" w:space="1" w:color="000000"/>
              </w:pBdr>
              <w:spacing w:before="0" w:after="20"/>
              <w:rPr>
                <w:rFonts w:ascii="Times New Roman" w:hAnsi="Times New Roman"/>
                <w:sz w:val="20"/>
              </w:rPr>
            </w:pPr>
            <w:r>
              <w:rPr>
                <w:rFonts w:ascii="Times New Roman" w:hAnsi="Times New Roman"/>
                <w:sz w:val="20"/>
              </w:rPr>
              <w:t>Gracye Cheng</w:t>
            </w:r>
          </w:p>
        </w:tc>
      </w:tr>
      <w:tr>
        <w:trPr/>
        <w:tc>
          <w:tcPr>
            <w:tcW w:w="686" w:type="dxa"/>
            <w:tcBorders/>
            <w:shd w:fill="auto" w:val="clear"/>
          </w:tcPr>
          <w:p>
            <w:pPr>
              <w:pStyle w:val="TableContents"/>
              <w:spacing w:before="0" w:after="283"/>
              <w:rPr/>
            </w:pPr>
            <w:r>
              <w:rPr/>
              <w:t>Title:</w:t>
            </w:r>
          </w:p>
        </w:tc>
        <w:tc>
          <w:tcPr>
            <w:tcW w:w="60" w:type="dxa"/>
            <w:tcBorders/>
            <w:shd w:fill="auto" w:val="clear"/>
            <w:vAlign w:val="bottom"/>
          </w:tcPr>
          <w:p>
            <w:pPr>
              <w:pStyle w:val="TableContents"/>
              <w:spacing w:before="0" w:after="283"/>
              <w:rPr/>
            </w:pPr>
            <w:r>
              <w:rPr/>
              <w:t> </w:t>
            </w:r>
          </w:p>
        </w:tc>
        <w:tc>
          <w:tcPr>
            <w:tcW w:w="3336" w:type="dxa"/>
            <w:tcBorders/>
            <w:shd w:fill="auto" w:val="clear"/>
          </w:tcPr>
          <w:p>
            <w:pPr>
              <w:pStyle w:val="TableContents"/>
              <w:pBdr>
                <w:bottom w:val="single" w:sz="2" w:space="1" w:color="000000"/>
              </w:pBdr>
              <w:spacing w:before="0" w:after="20"/>
              <w:rPr>
                <w:rFonts w:ascii="Times New Roman" w:hAnsi="Times New Roman"/>
                <w:sz w:val="20"/>
              </w:rPr>
            </w:pPr>
            <w:r>
              <w:rPr>
                <w:rFonts w:ascii="Times New Roman" w:hAnsi="Times New Roman"/>
                <w:sz w:val="20"/>
              </w:rPr>
              <w:t>Secretary</w:t>
            </w:r>
          </w:p>
        </w:tc>
      </w:tr>
      <w:tr>
        <w:trPr>
          <w:trHeight w:val="240" w:hRule="atLeast"/>
        </w:trPr>
        <w:tc>
          <w:tcPr>
            <w:tcW w:w="4082" w:type="dxa"/>
            <w:gridSpan w:val="3"/>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pPr>
            <w:r>
              <w:rPr/>
              <w:t></w:t>
            </w:r>
            <w:r>
              <w:rPr>
                <w:b/>
              </w:rPr>
              <w:t>EXECUTIVE</w:t>
            </w:r>
            <w:r>
              <w:rPr/>
              <w:t></w:t>
            </w:r>
          </w:p>
        </w:tc>
      </w:tr>
      <w:tr>
        <w:trPr>
          <w:trHeight w:val="240" w:hRule="atLeast"/>
        </w:trPr>
        <w:tc>
          <w:tcPr>
            <w:tcW w:w="4082" w:type="dxa"/>
            <w:gridSpan w:val="3"/>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pBdr>
                <w:bottom w:val="single" w:sz="2" w:space="1" w:color="000000"/>
              </w:pBdr>
              <w:spacing w:before="0" w:after="20"/>
              <w:rPr>
                <w:rFonts w:ascii="Times New Roman" w:hAnsi="Times New Roman"/>
                <w:sz w:val="20"/>
              </w:rPr>
            </w:pPr>
            <w:r>
              <w:rPr>
                <w:rFonts w:ascii="Times New Roman" w:hAnsi="Times New Roman"/>
                <w:sz w:val="20"/>
              </w:rPr>
              <w:t>/s/ Douglas Hirsch</w:t>
            </w:r>
          </w:p>
        </w:tc>
      </w:tr>
      <w:tr>
        <w:trPr/>
        <w:tc>
          <w:tcPr>
            <w:tcW w:w="4082" w:type="dxa"/>
            <w:gridSpan w:val="3"/>
            <w:tcBorders/>
            <w:shd w:fill="auto" w:val="clear"/>
          </w:tcPr>
          <w:p>
            <w:pPr>
              <w:pStyle w:val="TableContents"/>
              <w:spacing w:before="0" w:after="283"/>
              <w:rPr/>
            </w:pPr>
            <w:r>
              <w:rPr/>
              <w:t>Douglas Hirsch</w:t>
            </w:r>
          </w:p>
        </w:tc>
      </w:tr>
    </w:tbl>
    <w:p>
      <w:pPr>
        <w:pStyle w:val="TextBody"/>
        <w:spacing w:before="240" w:after="0"/>
        <w:jc w:val="center"/>
        <w:rPr>
          <w:rFonts w:ascii="Times New Roman" w:hAnsi="Times New Roman"/>
          <w:sz w:val="20"/>
        </w:rPr>
      </w:pPr>
      <w:r>
        <w:rPr>
          <w:rFonts w:ascii="Times New Roman" w:hAnsi="Times New Roman"/>
          <w:sz w:val="20"/>
        </w:rPr>
        <w:t xml:space="preserve">[SIGNATURE PAGE TO SECOND AMENDED AND RESTATED EMPLOYMENT AGREEMENT] </w:t>
      </w:r>
    </w:p>
    <w:p>
      <w:pPr>
        <w:pStyle w:val="TextBody"/>
        <w:spacing w:before="0" w:after="0"/>
        <w:jc w:val="left"/>
        <w:rPr/>
      </w:pPr>
      <w:r>
        <w:rPr/>
        <w:t> </w:t>
      </w:r>
      <w:r>
        <w:br w:type="page"/>
      </w:r>
    </w:p>
    <w:p>
      <w:pPr>
        <w:pStyle w:val="HorizontalLine"/>
        <w:pBdr>
          <w:bottom w:val="double" w:sz="6" w:space="0" w:color="808080"/>
        </w:pBdr>
        <w:rPr/>
      </w:pPr>
      <w:r>
        <w:rPr/>
      </w:r>
    </w:p>
    <w:p>
      <w:pPr>
        <w:pStyle w:val="TextBody"/>
        <w:spacing w:before="0" w:after="0"/>
        <w:jc w:val="right"/>
        <w:rPr>
          <w:rFonts w:ascii="Times New Roman" w:hAnsi="Times New Roman"/>
          <w:b/>
          <w:sz w:val="20"/>
        </w:rPr>
      </w:pPr>
      <w:r>
        <w:rPr>
          <w:rFonts w:ascii="Times New Roman" w:hAnsi="Times New Roman"/>
          <w:b/>
          <w:sz w:val="20"/>
        </w:rPr>
        <w:t xml:space="preserve">Exhibit A </w:t>
      </w:r>
    </w:p>
    <w:p>
      <w:pPr>
        <w:pStyle w:val="TextBody"/>
        <w:spacing w:before="480" w:after="0"/>
        <w:jc w:val="center"/>
        <w:rPr>
          <w:rFonts w:ascii="Times New Roman" w:hAnsi="Times New Roman"/>
          <w:b/>
          <w:sz w:val="20"/>
        </w:rPr>
      </w:pPr>
      <w:r>
        <w:rPr>
          <w:rFonts w:ascii="Times New Roman" w:hAnsi="Times New Roman"/>
          <w:b/>
          <w:sz w:val="20"/>
        </w:rPr>
        <w:t xml:space="preserve">GENERAL RELEASE OF ALL CLAIMS </w:t>
      </w:r>
    </w:p>
    <w:p>
      <w:pPr>
        <w:pStyle w:val="TextBody"/>
        <w:spacing w:before="240" w:after="0"/>
        <w:jc w:val="left"/>
        <w:rPr>
          <w:rFonts w:ascii="Times New Roman" w:hAnsi="Times New Roman"/>
          <w:sz w:val="20"/>
        </w:rPr>
      </w:pPr>
      <w:r>
        <w:rPr>
          <w:rFonts w:ascii="Times New Roman" w:hAnsi="Times New Roman"/>
          <w:sz w:val="20"/>
        </w:rPr>
        <w:t>This General Release of all Claims (this </w:t>
      </w:r>
      <w:r>
        <w:rPr>
          <w:rFonts w:ascii="Times New Roman" w:hAnsi="Times New Roman"/>
          <w:sz w:val="20"/>
          <w:u w:val="single"/>
        </w:rPr>
        <w:t>Agreement</w:t>
      </w:r>
      <w:r>
        <w:rPr>
          <w:rFonts w:ascii="Times New Roman" w:hAnsi="Times New Roman"/>
          <w:sz w:val="20"/>
        </w:rPr>
        <w:t>) is entered into by Douglas Hirsch (the </w:t>
      </w:r>
      <w:r>
        <w:rPr>
          <w:rFonts w:ascii="Times New Roman" w:hAnsi="Times New Roman"/>
          <w:sz w:val="20"/>
          <w:u w:val="single"/>
        </w:rPr>
        <w:t>Executive</w:t>
      </w:r>
      <w:r>
        <w:rPr>
          <w:rFonts w:ascii="Times New Roman" w:hAnsi="Times New Roman"/>
          <w:sz w:val="20"/>
        </w:rPr>
        <w:t>) and GoodRx, Inc., a Delaware corporation (the </w:t>
      </w:r>
      <w:r>
        <w:rPr>
          <w:rFonts w:ascii="Times New Roman" w:hAnsi="Times New Roman"/>
          <w:sz w:val="20"/>
          <w:u w:val="single"/>
        </w:rPr>
        <w:t>Corporation</w:t>
      </w:r>
      <w:r>
        <w:rPr>
          <w:rFonts w:ascii="Times New Roman" w:hAnsi="Times New Roman"/>
          <w:sz w:val="20"/>
        </w:rPr>
        <w:t xml:space="preserve">), effective as of [__________], but subject to the Executives right to revoke as set forth in Paragraph 3(c). In consideration of the promises set forth herein, the Executive and the Corporation agree as follows: </w:t>
      </w:r>
    </w:p>
    <w:p>
      <w:pPr>
        <w:pStyle w:val="TextBody"/>
        <w:spacing w:before="240" w:after="0"/>
        <w:jc w:val="left"/>
        <w:rPr>
          <w:rFonts w:ascii="Times New Roman" w:hAnsi="Times New Roman"/>
          <w:sz w:val="20"/>
        </w:rPr>
      </w:pPr>
      <w:r>
        <w:rPr>
          <w:rFonts w:ascii="Times New Roman" w:hAnsi="Times New Roman"/>
          <w:b/>
          <w:sz w:val="20"/>
        </w:rPr>
        <w:t>1.</w:t>
      </w:r>
      <w:r>
        <w:rPr>
          <w:rFonts w:ascii="Times New Roman" w:hAnsi="Times New Roman"/>
          <w:sz w:val="20"/>
        </w:rPr>
        <w:t xml:space="preserve"> </w:t>
      </w:r>
      <w:r>
        <w:rPr>
          <w:rFonts w:ascii="Times New Roman" w:hAnsi="Times New Roman"/>
          <w:b/>
          <w:sz w:val="20"/>
          <w:u w:val="single"/>
        </w:rPr>
        <w:t>Termination and Return of Property</w:t>
      </w:r>
      <w:r>
        <w:rPr>
          <w:rFonts w:ascii="Times New Roman" w:hAnsi="Times New Roman"/>
          <w:sz w:val="20"/>
        </w:rPr>
        <w:t xml:space="preserve">. The Executives employment with the Corporation in any capacity has terminated effective [Separation Date]. All files, access keys and codes, desk keys, ID badges, computers, records, manuals, electronic devices, computer programs, papers, electronically stored information or documents, telephones and credit cards, and any other property of the Corporation or any affiliate thereof previously in the Executives possession or control has been returned to the Corporation [or will be returned on or before the Separation Date]. </w:t>
      </w:r>
    </w:p>
    <w:p>
      <w:pPr>
        <w:pStyle w:val="TextBody"/>
        <w:spacing w:before="240" w:after="0"/>
        <w:jc w:val="left"/>
        <w:rPr>
          <w:rFonts w:ascii="Times New Roman" w:hAnsi="Times New Roman"/>
          <w:sz w:val="20"/>
        </w:rPr>
      </w:pPr>
      <w:r>
        <w:rPr>
          <w:rFonts w:ascii="Times New Roman" w:hAnsi="Times New Roman"/>
          <w:b/>
          <w:sz w:val="20"/>
        </w:rPr>
        <w:t>2.</w:t>
      </w:r>
      <w:r>
        <w:rPr>
          <w:rFonts w:ascii="Times New Roman" w:hAnsi="Times New Roman"/>
          <w:sz w:val="20"/>
        </w:rPr>
        <w:t xml:space="preserve"> </w:t>
      </w:r>
      <w:r>
        <w:rPr>
          <w:rFonts w:ascii="Times New Roman" w:hAnsi="Times New Roman"/>
          <w:b/>
          <w:sz w:val="20"/>
          <w:u w:val="single"/>
        </w:rPr>
        <w:t>Severance</w:t>
      </w:r>
      <w:r>
        <w:rPr>
          <w:rFonts w:ascii="Times New Roman" w:hAnsi="Times New Roman"/>
          <w:sz w:val="20"/>
        </w:rPr>
        <w:t>. The Corporation shall pay to the Executive the Severance Benefit (as defined in that certain Second Amended and Restated Employment Agreement between the Corporation and the Executive dated as of [__________], 2023 (the </w:t>
      </w:r>
      <w:r>
        <w:rPr>
          <w:rFonts w:ascii="Times New Roman" w:hAnsi="Times New Roman"/>
          <w:sz w:val="20"/>
          <w:u w:val="single"/>
        </w:rPr>
        <w:t>Employment Agreement</w:t>
      </w:r>
      <w:r>
        <w:rPr>
          <w:rFonts w:ascii="Times New Roman" w:hAnsi="Times New Roman"/>
          <w:sz w:val="20"/>
        </w:rPr>
        <w:t xml:space="preserve">)) in accordance with, and subject to, the provisions of the Employment Agreement. </w:t>
      </w:r>
    </w:p>
    <w:p>
      <w:pPr>
        <w:pStyle w:val="TextBody"/>
        <w:spacing w:before="240" w:after="0"/>
        <w:jc w:val="left"/>
        <w:rPr>
          <w:rFonts w:ascii="Times New Roman" w:hAnsi="Times New Roman"/>
          <w:sz w:val="20"/>
        </w:rPr>
      </w:pPr>
      <w:r>
        <w:rPr>
          <w:rFonts w:ascii="Times New Roman" w:hAnsi="Times New Roman"/>
          <w:b/>
          <w:sz w:val="20"/>
        </w:rPr>
        <w:t>3.</w:t>
      </w:r>
      <w:r>
        <w:rPr>
          <w:rFonts w:ascii="Times New Roman" w:hAnsi="Times New Roman"/>
          <w:sz w:val="20"/>
        </w:rPr>
        <w:t xml:space="preserve"> </w:t>
      </w:r>
      <w:r>
        <w:rPr>
          <w:rFonts w:ascii="Times New Roman" w:hAnsi="Times New Roman"/>
          <w:b/>
          <w:sz w:val="20"/>
          <w:u w:val="single"/>
        </w:rPr>
        <w:t>General Release and Waiver of Claims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b/>
          <w:sz w:val="20"/>
          <w:u w:val="single"/>
        </w:rPr>
        <w:t>Release By Executive</w:t>
      </w:r>
      <w:r>
        <w:rPr>
          <w:rFonts w:ascii="Times New Roman" w:hAnsi="Times New Roman"/>
          <w:sz w:val="20"/>
        </w:rPr>
        <w:t>. Having consulted with counsel, the Executive, on behalf of himself and each of his respective heirs, executors, administrators, representatives, agents, insurers, successors and assigns (collectively, and including the Executive, the </w:t>
      </w:r>
      <w:r>
        <w:rPr>
          <w:rFonts w:ascii="Times New Roman" w:hAnsi="Times New Roman"/>
          <w:sz w:val="20"/>
          <w:u w:val="single"/>
        </w:rPr>
        <w:t>Releasors</w:t>
      </w:r>
      <w:r>
        <w:rPr>
          <w:rFonts w:ascii="Times New Roman" w:hAnsi="Times New Roman"/>
          <w:sz w:val="20"/>
        </w:rPr>
        <w:t>) hereby irrevocably and unconditionally releases and forever discharges the Corporation, its parents (including GoodRx Holdings, Inc. (</w:t>
      </w:r>
      <w:r>
        <w:rPr>
          <w:rFonts w:ascii="Times New Roman" w:hAnsi="Times New Roman"/>
          <w:sz w:val="20"/>
          <w:u w:val="single"/>
        </w:rPr>
        <w:t>Holdings</w:t>
      </w:r>
      <w:r>
        <w:rPr>
          <w:rFonts w:ascii="Times New Roman" w:hAnsi="Times New Roman"/>
          <w:sz w:val="20"/>
        </w:rPr>
        <w:t>)), subsidiaries and affiliates and each of their respective officers, employees, directors, members, shareholders, parents, subsidiaries and agents (collectively, the </w:t>
      </w:r>
      <w:r>
        <w:rPr>
          <w:rFonts w:ascii="Times New Roman" w:hAnsi="Times New Roman"/>
          <w:sz w:val="20"/>
          <w:u w:val="single"/>
        </w:rPr>
        <w:t>Releasees</w:t>
      </w:r>
      <w:r>
        <w:rPr>
          <w:rFonts w:ascii="Times New Roman" w:hAnsi="Times New Roman"/>
          <w:sz w:val="20"/>
        </w:rPr>
        <w:t>) from any and all claims, actions, causes of action, rights, judgments, obligations, damages, demands, accountings or liabilities of whatever kind or character (collectively, </w:t>
      </w:r>
      <w:r>
        <w:rPr>
          <w:rFonts w:ascii="Times New Roman" w:hAnsi="Times New Roman"/>
          <w:sz w:val="20"/>
          <w:u w:val="single"/>
        </w:rPr>
        <w:t>Claims</w:t>
      </w:r>
      <w:r>
        <w:rPr>
          <w:rFonts w:ascii="Times New Roman" w:hAnsi="Times New Roman"/>
          <w:sz w:val="20"/>
        </w:rPr>
        <w:t xml:space="preserve">), which the Executive now has or may hereafter have against the Releasees, or any of them, by reason of any matter, cause, or thing whatsoever from the beginning of time to the date hereof (including, without limitation, any Claims under any federal, state, local or foreign law that they may have, or in the future may possess, arising out of the Executives employment relationship with and service as an employee, officer or director of the Corporation, its parent entity (including Holdings) or any other subsidiaries of such parent entity, and the termination of such relationship or service);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Executive does not release, discharge or waive any rights to (i) payments and benefits provided under this Agreement or under any other agreement between Executive and any of the Releasees that would, by their nature, survive the termination of employment, (ii) equity and other securities of Holdings or rights under agreements with any of the Releasees related to the Executives equity securities of Holdings, (iii) benefit claims under any employee benefit plans in which Executive is a participant by virtue of his employment with the Corporation arising after the execution of this Agreement by Executive, (iv) any indemnification,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advance or reimbursement rights the Executive may have in accordance with applicable law, indemnification agreements, certificate of incorporation or bylaws of Corporation, or under any director and officer liability insurance or other insurance maintained by the Corporation or a parent entity with respect to liabilities arising as a result of the Executives service as an officer and employee of such entities, and (v) claims that cannot be waived by an employee under applicable law. This Paragraph 3(a) does not apply to any Claims that the Executive may have as of the date the Executive signs this Agreement arising under the Federal Age Discrimination in Employment Act of 1967, as amended, and the applicable rules and regulations promulgated thereunder (</w:t>
      </w:r>
      <w:r>
        <w:rPr>
          <w:rFonts w:ascii="Times New Roman" w:hAnsi="Times New Roman"/>
          <w:sz w:val="20"/>
          <w:u w:val="single"/>
        </w:rPr>
        <w:t>ADEA</w:t>
      </w:r>
      <w:r>
        <w:rPr>
          <w:rFonts w:ascii="Times New Roman" w:hAnsi="Times New Roman"/>
          <w:sz w:val="20"/>
        </w:rPr>
        <w:t xml:space="preserve">) or any other claims that may not be released as a matter of law. Claims arising under ADEA are addressed in Paragraph 3(c) of this Agreement. </w:t>
      </w:r>
    </w:p>
    <w:p>
      <w:pPr>
        <w:pStyle w:val="TextBody"/>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b/>
          <w:sz w:val="20"/>
          <w:u w:val="single"/>
        </w:rPr>
        <w:t>Unknown Claim</w:t>
      </w:r>
      <w:r>
        <w:rPr>
          <w:rFonts w:ascii="Times New Roman" w:hAnsi="Times New Roman"/>
          <w:b/>
          <w:sz w:val="20"/>
        </w:rPr>
        <w:t>s</w:t>
      </w:r>
      <w:r>
        <w:rPr>
          <w:rFonts w:ascii="Times New Roman" w:hAnsi="Times New Roman"/>
          <w:sz w:val="20"/>
        </w:rPr>
        <w:t xml:space="preserve">. The Executive acknowledges that he may hereafter discover Claims or facts in addition to or different from those which the Executive now knows or believes to exist with respect to the subject matter of this release and which, if known or suspected at the time of executing this release, may have materially affected this release or the Executives decision to enter into it. Nevertheless, the Executive hereby waives any right or Claim that might arise as a result of such different or additional Claims or facts. In addition, the Executive, on behalf of himself and the other Releasors, hereby waives any and all rights and benefits conferred upon him and the other Releasors by the provisions of Section 1542 of the Civil Code of the State of California, which provides as follows: </w:t>
      </w:r>
    </w:p>
    <w:p>
      <w:pPr>
        <w:pStyle w:val="TextBody"/>
        <w:spacing w:before="240" w:after="0"/>
        <w:jc w:val="left"/>
        <w:rPr>
          <w:rFonts w:ascii="Times New Roman" w:hAnsi="Times New Roman"/>
          <w:sz w:val="20"/>
        </w:rPr>
      </w:pPr>
      <w:r>
        <w:rPr>
          <w:rFonts w:ascii="Times New Roman" w:hAnsi="Times New Roman"/>
          <w:sz w:val="20"/>
        </w:rPr>
        <w:t xml:space="preserve">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 </w:t>
      </w:r>
    </w:p>
    <w:p>
      <w:pPr>
        <w:pStyle w:val="TextBody"/>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b/>
          <w:sz w:val="20"/>
          <w:u w:val="single"/>
        </w:rPr>
        <w:t>Specific Release of ADEA Claims</w:t>
      </w:r>
      <w:r>
        <w:rPr>
          <w:rFonts w:ascii="Times New Roman" w:hAnsi="Times New Roman"/>
          <w:sz w:val="20"/>
        </w:rPr>
        <w:t>. In further consideration of the payments and benefits provided to the Executive under this Agreement, the Executive, on behalf of himself and the other Releasors, hereby unconditionally releases and forever discharges the Releasees from any and all Claims arising under ADEA that the Releasors may have as of the date the Executive signs this Agreement. By signing this Agreement, the Executive hereby acknowledges and confirms the following: (i) the Executive was advised by the Corporation in connection with his termination to consult with an attorney of his choice prior to signing this Agreement and to have such attorney explain to the Executive the terms of this Agreement, including, without limitation, the terms relating to the Executives release of claims arising under ADEA; (ii) the Executive was given a period of not fewer than [twenty-one (21)] days to consider the terms of this Agreement and to consult with an attorney of his/her choosing with respect thereto; (iii) having read the terms of this Agreement, the Executive understands its terms and effects, and the Executive knowingly and voluntarily accepts the terms of this Agreement; and (iv) the Executive is providing this release and discharge only in exchange for consideration in addition to anything of value to which the Executive is already entitled, and acknowledges such consideration is adequate and satisfactory to the Executive. The Executive also understands that he has seven days following the date on which he signs this Agreement within which to revoke the release contained in this paragraph, by providing the Corporation with a written notice of his revocation of the release and waiver contained in this paragraph. Any revocation must be in writing and sent to [</w:t>
      </w:r>
      <w:r>
        <w:rPr>
          <w:rFonts w:ascii="Times New Roman" w:hAnsi="Times New Roman"/>
          <w:i/>
          <w:sz w:val="20"/>
        </w:rPr>
        <w:t>name</w:t>
      </w:r>
      <w:r>
        <w:rPr>
          <w:rFonts w:ascii="Times New Roman" w:hAnsi="Times New Roman"/>
          <w:sz w:val="20"/>
        </w:rPr>
        <w:t>], via electronic mail at [</w:t>
      </w:r>
      <w:r>
        <w:rPr>
          <w:rFonts w:ascii="Times New Roman" w:hAnsi="Times New Roman"/>
          <w:i/>
          <w:sz w:val="20"/>
        </w:rPr>
        <w:t>email address</w:t>
      </w:r>
      <w:r>
        <w:rPr>
          <w:rFonts w:ascii="Times New Roman" w:hAnsi="Times New Roman"/>
          <w:sz w:val="20"/>
        </w:rPr>
        <w:t xml:space="preserve">], on or before [5:00 p.m. Pacific time] on the seventh day after this Agreement is executed by the Executive.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(d) </w:t>
      </w:r>
      <w:r>
        <w:rPr>
          <w:rFonts w:ascii="Times New Roman" w:hAnsi="Times New Roman"/>
          <w:b/>
          <w:sz w:val="20"/>
          <w:u w:val="single"/>
        </w:rPr>
        <w:t>No Assignment</w:t>
      </w:r>
      <w:r>
        <w:rPr>
          <w:rFonts w:ascii="Times New Roman" w:hAnsi="Times New Roman"/>
          <w:sz w:val="20"/>
        </w:rPr>
        <w:t xml:space="preserve">. The Executive represents and warrants that he has not assigned or otherwise transferred any of the Claims being released under this Agreement. The Corporation may assign this Agreement, in whole or in part, to any affiliated entity, including subsidiaries of the Corporation, or any successor in interest to the Corporation. </w:t>
      </w:r>
    </w:p>
    <w:p>
      <w:pPr>
        <w:pStyle w:val="TextBody"/>
        <w:spacing w:before="240" w:after="0"/>
        <w:jc w:val="left"/>
        <w:rPr>
          <w:rFonts w:ascii="Times New Roman" w:hAnsi="Times New Roman"/>
          <w:sz w:val="20"/>
        </w:rPr>
      </w:pPr>
      <w:r>
        <w:rPr>
          <w:rFonts w:ascii="Times New Roman" w:hAnsi="Times New Roman"/>
          <w:b/>
          <w:sz w:val="20"/>
        </w:rPr>
        <w:t>4.</w:t>
      </w:r>
      <w:r>
        <w:rPr>
          <w:rFonts w:ascii="Times New Roman" w:hAnsi="Times New Roman"/>
          <w:sz w:val="20"/>
        </w:rPr>
        <w:t xml:space="preserve"> </w:t>
      </w:r>
      <w:r>
        <w:rPr>
          <w:rFonts w:ascii="Times New Roman" w:hAnsi="Times New Roman"/>
          <w:b/>
          <w:sz w:val="20"/>
          <w:u w:val="single"/>
        </w:rPr>
        <w:t>Proceedings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b/>
          <w:sz w:val="20"/>
          <w:u w:val="single"/>
        </w:rPr>
        <w:t>General Agreement Relating to Proceedings</w:t>
      </w:r>
      <w:r>
        <w:rPr>
          <w:rFonts w:ascii="Times New Roman" w:hAnsi="Times New Roman"/>
          <w:sz w:val="20"/>
        </w:rPr>
        <w:t>. The Executive has not filed, and except as provided in Paragraphs 4(b) and 4(c), the Executive agrees not to initiate or cause to be initiated on his behalf, any complaint, charge, claim or proceeding that is released hereunder against any party released herein before any local, state or federal agency, court or other body, other than with respect to the obligations of the Corporation or any other party released herein to the Executive under this Agreement or any indemnification or other rights the Executive may have as listed in Paragraph 3(a) (each, individually, a </w:t>
      </w:r>
      <w:r>
        <w:rPr>
          <w:rFonts w:ascii="Times New Roman" w:hAnsi="Times New Roman"/>
          <w:sz w:val="20"/>
          <w:u w:val="single"/>
        </w:rPr>
        <w:t>Proceeding</w:t>
      </w:r>
      <w:r>
        <w:rPr>
          <w:rFonts w:ascii="Times New Roman" w:hAnsi="Times New Roman"/>
          <w:sz w:val="20"/>
        </w:rPr>
        <w:t xml:space="preserve">), and agrees not to participate voluntarily in any Proceeding. The Executive waives any right he may have to benefit in any manner from any relief (whether monetary or otherwise) arising out of any Proceeding. </w:t>
      </w:r>
    </w:p>
    <w:p>
      <w:pPr>
        <w:pStyle w:val="TextBody"/>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b/>
          <w:sz w:val="20"/>
          <w:u w:val="single"/>
        </w:rPr>
        <w:t>Proceedings Under ADEA</w:t>
      </w:r>
      <w:r>
        <w:rPr>
          <w:rFonts w:ascii="Times New Roman" w:hAnsi="Times New Roman"/>
          <w:sz w:val="20"/>
        </w:rPr>
        <w:t xml:space="preserve">. Paragraph 4(a) shall not preclude the Executive from filing any complaint, charge, claim or proceeding challenging the validity of the Executive waiver of Claims arising under ADEA (which is set forth in Paragraph 3(c) of this Agreement). However, both the Executive and the Corporation confirm their belief that the Executives waiver of claims under ADEA is valid and enforceable, and that their intention is that all claims under ADEA will be waived. </w:t>
      </w:r>
    </w:p>
    <w:p>
      <w:pPr>
        <w:pStyle w:val="TextBody"/>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b/>
          <w:sz w:val="20"/>
          <w:u w:val="single"/>
        </w:rPr>
        <w:t>Certain Administrative Proceedings</w:t>
      </w:r>
      <w:r>
        <w:rPr>
          <w:rFonts w:ascii="Times New Roman" w:hAnsi="Times New Roman"/>
          <w:sz w:val="20"/>
        </w:rPr>
        <w:t xml:space="preserve">. In addition, Paragraph 4(a) shall not preclude the Executive from filing a charge with, or participating in any administrative investigation or proceeding by, the Equal Employment Opportunity Commission or another fair employment practices agency. The Executive is, however, waiving his right to recover money in connection with any such charge or investigation to the extent released hereunder. The Executive is also waiving his right to recover money in connection with a charge filed by any other entity or individual, or by any federal, state or local agency to the extent released hereunder. </w:t>
      </w:r>
    </w:p>
    <w:p>
      <w:pPr>
        <w:pStyle w:val="TextBody"/>
        <w:spacing w:before="240" w:after="0"/>
        <w:jc w:val="left"/>
        <w:rPr>
          <w:rFonts w:ascii="Times New Roman" w:hAnsi="Times New Roman"/>
          <w:sz w:val="20"/>
        </w:rPr>
      </w:pPr>
      <w:r>
        <w:rPr>
          <w:rFonts w:ascii="Times New Roman" w:hAnsi="Times New Roman"/>
          <w:b/>
          <w:sz w:val="20"/>
        </w:rPr>
        <w:t>5.</w:t>
      </w:r>
      <w:r>
        <w:rPr>
          <w:rFonts w:ascii="Times New Roman" w:hAnsi="Times New Roman"/>
          <w:sz w:val="20"/>
        </w:rPr>
        <w:t xml:space="preserve"> </w:t>
      </w:r>
      <w:r>
        <w:rPr>
          <w:rFonts w:ascii="Times New Roman" w:hAnsi="Times New Roman"/>
          <w:b/>
          <w:sz w:val="20"/>
          <w:u w:val="single"/>
        </w:rPr>
        <w:t>Exceptions</w:t>
      </w:r>
      <w:r>
        <w:rPr>
          <w:rFonts w:ascii="Times New Roman" w:hAnsi="Times New Roman"/>
          <w:sz w:val="20"/>
        </w:rPr>
        <w:t xml:space="preserve">. Notwithstanding anything in this Agreement to the contrary, nothing contained in this Agreement shall prohibit the Executive from (i) filing a charge with, reporting possible violations of federal law or regulation to, participating in any investigation by, or cooperating with any governmental agency or entity or making other disclosures that are protected under the whistleblower provisions of applicable law or regulation and/or (ii) communicating directly with, cooperating with, or providing information (including trade secrets) in confidence to, any federal, state or local government regulator (including, but not limited to, the U.S. Securities and Exchange Commission, the U.S. Commodity Futures Trading Commission, or the U.S. Department of Justice) for the purpose of reporting or investigating a suspected violation of law, or from providing such information to the Executives attorney or in a sealed complaint or other document filed in a lawsuit or other governmental proceeding.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Pursuant to 18 USC Section 1833(b), the Executive will not be held criminally or civilly liable under any federal or state trade secret law for the disclosure of a trade secret that is made: (x) in confidence to a federal, state, or local government official, either directly or indirectly, or to an attorney, and solely for the purpose of reporting or investigating a suspected violation of law; or (y) in a complaint or other document filed in a lawsuit or other proceeding, if such filing is made under seal. Nothing in this Agreement prevents the Executive from discussing or disclosing information about unlawful acts in the workplace, such as harassment or discrimination or any other conduct that the Executive has reason to believe is unlawful. </w:t>
      </w:r>
    </w:p>
    <w:p>
      <w:pPr>
        <w:pStyle w:val="TextBody"/>
        <w:spacing w:before="240" w:after="0"/>
        <w:jc w:val="left"/>
        <w:rPr>
          <w:rFonts w:ascii="Times New Roman" w:hAnsi="Times New Roman"/>
          <w:sz w:val="20"/>
        </w:rPr>
      </w:pPr>
      <w:r>
        <w:rPr>
          <w:rFonts w:ascii="Times New Roman" w:hAnsi="Times New Roman"/>
          <w:b/>
          <w:sz w:val="20"/>
        </w:rPr>
        <w:t>6.</w:t>
      </w:r>
      <w:r>
        <w:rPr>
          <w:rFonts w:ascii="Times New Roman" w:hAnsi="Times New Roman"/>
          <w:sz w:val="20"/>
        </w:rPr>
        <w:t xml:space="preserve"> </w:t>
      </w:r>
      <w:r>
        <w:rPr>
          <w:rFonts w:ascii="Times New Roman" w:hAnsi="Times New Roman"/>
          <w:b/>
          <w:sz w:val="20"/>
          <w:u w:val="single"/>
        </w:rPr>
        <w:t>Severability Clause</w:t>
      </w:r>
      <w:r>
        <w:rPr>
          <w:rFonts w:ascii="Times New Roman" w:hAnsi="Times New Roman"/>
          <w:sz w:val="20"/>
        </w:rPr>
        <w:t xml:space="preserve">. In the event that any provision or part of this Agreement is found to be invalid or unenforceable, only that particular provision or part so found, and not the entire Agreement, shall be inoperative. </w:t>
      </w:r>
    </w:p>
    <w:p>
      <w:pPr>
        <w:pStyle w:val="TextBody"/>
        <w:spacing w:before="240" w:after="0"/>
        <w:jc w:val="left"/>
        <w:rPr>
          <w:rFonts w:ascii="Times New Roman" w:hAnsi="Times New Roman"/>
          <w:sz w:val="20"/>
        </w:rPr>
      </w:pPr>
      <w:r>
        <w:rPr>
          <w:rFonts w:ascii="Times New Roman" w:hAnsi="Times New Roman"/>
          <w:b/>
          <w:sz w:val="20"/>
        </w:rPr>
        <w:t>7.</w:t>
      </w:r>
      <w:r>
        <w:rPr>
          <w:rFonts w:ascii="Times New Roman" w:hAnsi="Times New Roman"/>
          <w:sz w:val="20"/>
        </w:rPr>
        <w:t xml:space="preserve"> </w:t>
      </w:r>
      <w:r>
        <w:rPr>
          <w:rFonts w:ascii="Times New Roman" w:hAnsi="Times New Roman"/>
          <w:b/>
          <w:sz w:val="20"/>
          <w:u w:val="single"/>
        </w:rPr>
        <w:t>Nonadmission</w:t>
      </w:r>
      <w:r>
        <w:rPr>
          <w:rFonts w:ascii="Times New Roman" w:hAnsi="Times New Roman"/>
          <w:sz w:val="20"/>
        </w:rPr>
        <w:t xml:space="preserve">. Nothing contained in this Agreement shall be deemed or construed as an admission of wrongdoing or liability on the part of the Corporation or Executive. </w:t>
      </w:r>
    </w:p>
    <w:p>
      <w:pPr>
        <w:pStyle w:val="TextBody"/>
        <w:spacing w:before="240" w:after="0"/>
        <w:jc w:val="left"/>
        <w:rPr>
          <w:rFonts w:ascii="Times New Roman" w:hAnsi="Times New Roman"/>
          <w:sz w:val="20"/>
        </w:rPr>
      </w:pPr>
      <w:r>
        <w:rPr>
          <w:rFonts w:ascii="Times New Roman" w:hAnsi="Times New Roman"/>
          <w:b/>
          <w:sz w:val="20"/>
        </w:rPr>
        <w:t>8.</w:t>
      </w:r>
      <w:r>
        <w:rPr>
          <w:rFonts w:ascii="Times New Roman" w:hAnsi="Times New Roman"/>
          <w:sz w:val="20"/>
        </w:rPr>
        <w:t xml:space="preserve"> </w:t>
      </w:r>
      <w:r>
        <w:rPr>
          <w:rFonts w:ascii="Times New Roman" w:hAnsi="Times New Roman"/>
          <w:b/>
          <w:sz w:val="20"/>
          <w:u w:val="single"/>
        </w:rPr>
        <w:t>Governing Law and Forum</w:t>
      </w:r>
      <w:r>
        <w:rPr>
          <w:rFonts w:ascii="Times New Roman" w:hAnsi="Times New Roman"/>
          <w:sz w:val="20"/>
        </w:rPr>
        <w:t xml:space="preserve">. This Agreement and all matters or issues arising out of or relating to this Agreement shall be governed by the laws of the State of California applicable to contracts entered into and performed entirely therein. Any action to enforce this Agreement shall be brought solely Los Angeles, California. </w:t>
      </w:r>
    </w:p>
    <w:p>
      <w:pPr>
        <w:pStyle w:val="TextBody"/>
        <w:spacing w:before="240" w:after="0"/>
        <w:jc w:val="left"/>
        <w:rPr>
          <w:rFonts w:ascii="Times New Roman" w:hAnsi="Times New Roman"/>
          <w:sz w:val="20"/>
        </w:rPr>
      </w:pPr>
      <w:r>
        <w:rPr>
          <w:rFonts w:ascii="Times New Roman" w:hAnsi="Times New Roman"/>
          <w:b/>
          <w:sz w:val="20"/>
        </w:rPr>
        <w:t>9.</w:t>
      </w:r>
      <w:r>
        <w:rPr>
          <w:rFonts w:ascii="Times New Roman" w:hAnsi="Times New Roman"/>
          <w:sz w:val="20"/>
        </w:rPr>
        <w:t xml:space="preserve"> </w:t>
      </w:r>
      <w:r>
        <w:rPr>
          <w:rFonts w:ascii="Times New Roman" w:hAnsi="Times New Roman"/>
          <w:b/>
          <w:sz w:val="20"/>
          <w:u w:val="single"/>
        </w:rPr>
        <w:t>Arbitration</w:t>
      </w:r>
      <w:r>
        <w:rPr>
          <w:rFonts w:ascii="Times New Roman" w:hAnsi="Times New Roman"/>
          <w:sz w:val="20"/>
        </w:rPr>
        <w:t xml:space="preserve">. Any dispute or controversy arising under or in connection with this Agreement or otherwise in connection with the Executives employment by the Corporation that cannot be mutually resolved by the parties to this Agreement and their respective advisors and representatives shall be settled exclusively by arbitration in accordance with the provisions of Section 16 of the Employment Agreement. </w:t>
      </w:r>
    </w:p>
    <w:p>
      <w:pPr>
        <w:pStyle w:val="TextBody"/>
        <w:spacing w:before="240" w:after="0"/>
        <w:jc w:val="left"/>
        <w:rPr>
          <w:rFonts w:ascii="Times New Roman" w:hAnsi="Times New Roman"/>
          <w:sz w:val="20"/>
        </w:rPr>
      </w:pPr>
      <w:r>
        <w:rPr>
          <w:rFonts w:ascii="Times New Roman" w:hAnsi="Times New Roman"/>
          <w:b/>
          <w:sz w:val="20"/>
        </w:rPr>
        <w:t>10.</w:t>
      </w:r>
      <w:r>
        <w:rPr>
          <w:rFonts w:ascii="Times New Roman" w:hAnsi="Times New Roman"/>
          <w:sz w:val="20"/>
        </w:rPr>
        <w:t xml:space="preserve"> </w:t>
      </w:r>
      <w:r>
        <w:rPr>
          <w:rFonts w:ascii="Times New Roman" w:hAnsi="Times New Roman"/>
          <w:b/>
          <w:sz w:val="20"/>
          <w:u w:val="single"/>
        </w:rPr>
        <w:t>Notices</w:t>
      </w:r>
      <w:r>
        <w:rPr>
          <w:rFonts w:ascii="Times New Roman" w:hAnsi="Times New Roman"/>
          <w:sz w:val="20"/>
        </w:rPr>
        <w:t xml:space="preserve">. Notices under this Agreement must be given as is specified in Section 17 of the Employment Agreement. </w:t>
      </w:r>
    </w:p>
    <w:p>
      <w:pPr>
        <w:pStyle w:val="TextBody"/>
        <w:spacing w:before="240" w:after="0"/>
        <w:jc w:val="left"/>
        <w:rPr>
          <w:rFonts w:ascii="Times New Roman" w:hAnsi="Times New Roman"/>
          <w:sz w:val="20"/>
        </w:rPr>
      </w:pPr>
      <w:r>
        <w:rPr>
          <w:rFonts w:ascii="Times New Roman" w:hAnsi="Times New Roman"/>
          <w:sz w:val="20"/>
        </w:rPr>
        <w:t xml:space="preserve">THE EXECUTIVE ACKNOWLEDGES THAT HE HAS READ THIS AGREEMENT AND THAT HE FULLY KNOWS, UNDERSTANDS AND APPRECIATES ITS CONTENTS, AND THAT HE HEREBY EXECUTES THE SAME AND MAKES THIS AGREEMENT AND THE RELEASE AND AGREEMENTS PROVIDED FOR HEREIN VOLUNTARILY AND OF HIS OWN FREE WILL. </w:t>
      </w:r>
    </w:p>
    <w:p>
      <w:pPr>
        <w:pStyle w:val="TextBody"/>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The remainder of this page has intentionally been left blank</w:t>
      </w:r>
      <w:r>
        <w:rPr>
          <w:rFonts w:ascii="Times New Roman" w:hAnsi="Times New Roman"/>
          <w:sz w:val="20"/>
        </w:rPr>
        <w:t xml:space="preserv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the parties have executed this Agreement as of the dates set forth below. </w:t>
      </w:r>
    </w:p>
    <w:p>
      <w:pPr>
        <w:pStyle w:val="TextBody"/>
        <w:spacing w:before="0" w:after="0"/>
        <w:jc w:val="left"/>
        <w:rPr/>
      </w:pPr>
      <w:r>
        <w:rPr/>
        <w:t> </w:t>
      </w:r>
    </w:p>
    <w:tbl>
      <w:tblPr>
        <w:tblW w:w="2000" w:type="pct"/>
        <w:jc w:val="right"/>
        <w:tblInd w:w="0" w:type="dxa"/>
        <w:tblCellMar>
          <w:top w:w="0" w:type="dxa"/>
          <w:left w:w="0" w:type="dxa"/>
          <w:bottom w:w="0" w:type="dxa"/>
          <w:right w:w="0" w:type="dxa"/>
        </w:tblCellMar>
      </w:tblPr>
      <w:tblGrid>
        <w:gridCol w:w="665"/>
        <w:gridCol w:w="60"/>
        <w:gridCol w:w="3357"/>
      </w:tblGrid>
      <w:tr>
        <w:trPr/>
        <w:tc>
          <w:tcPr>
            <w:tcW w:w="66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357"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pPr>
            <w:r>
              <w:rPr/>
              <w:t></w:t>
            </w:r>
            <w:r>
              <w:rPr>
                <w:b/>
              </w:rPr>
              <w:t>CORPORATION</w:t>
            </w:r>
            <w:r>
              <w:rPr/>
              <w:t></w:t>
            </w:r>
          </w:p>
        </w:tc>
      </w:tr>
      <w:tr>
        <w:trPr>
          <w:trHeight w:val="240" w:hRule="atLeast"/>
        </w:trPr>
        <w:tc>
          <w:tcPr>
            <w:tcW w:w="665" w:type="dxa"/>
            <w:tcBorders/>
            <w:shd w:fill="auto" w:val="clear"/>
            <w:vAlign w:val="center"/>
          </w:tcPr>
          <w:p>
            <w:pPr>
              <w:pStyle w:val="TableContents"/>
              <w:spacing w:before="0" w:after="283"/>
              <w:rPr>
                <w:sz w:val="4"/>
                <w:szCs w:val="4"/>
              </w:rPr>
            </w:pPr>
            <w:r>
              <w:rPr>
                <w:sz w:val="4"/>
                <w:szCs w:val="4"/>
              </w:rPr>
            </w:r>
          </w:p>
        </w:tc>
        <w:tc>
          <w:tcPr>
            <w:tcW w:w="3417" w:type="dxa"/>
            <w:gridSpan w:val="2"/>
            <w:tcBorders/>
            <w:shd w:fill="auto" w:val="clear"/>
            <w:vAlign w:val="center"/>
          </w:tcPr>
          <w:p>
            <w:pPr>
              <w:pStyle w:val="TableContents"/>
              <w:spacing w:before="0" w:after="283"/>
              <w:rPr>
                <w:sz w:val="4"/>
                <w:szCs w:val="4"/>
              </w:rPr>
            </w:pPr>
            <w:r>
              <w:rPr>
                <w:sz w:val="4"/>
                <w:szCs w:val="4"/>
              </w:rPr>
            </w:r>
          </w:p>
        </w:tc>
      </w:tr>
      <w:tr>
        <w:trPr/>
        <w:tc>
          <w:tcPr>
            <w:tcW w:w="665" w:type="dxa"/>
            <w:tcBorders/>
            <w:shd w:fill="auto" w:val="clear"/>
          </w:tcPr>
          <w:p>
            <w:pPr>
              <w:pStyle w:val="TableContents"/>
              <w:spacing w:before="0" w:after="283"/>
              <w:rPr/>
            </w:pPr>
            <w:r>
              <w:rPr/>
              <w:t>By:</w:t>
            </w:r>
          </w:p>
        </w:tc>
        <w:tc>
          <w:tcPr>
            <w:tcW w:w="60" w:type="dxa"/>
            <w:tcBorders/>
            <w:shd w:fill="auto" w:val="clear"/>
            <w:vAlign w:val="bottom"/>
          </w:tcPr>
          <w:p>
            <w:pPr>
              <w:pStyle w:val="TableContents"/>
              <w:spacing w:before="0" w:after="283"/>
              <w:rPr/>
            </w:pPr>
            <w:r>
              <w:rPr/>
              <w:t> </w:t>
            </w:r>
          </w:p>
        </w:tc>
        <w:tc>
          <w:tcPr>
            <w:tcW w:w="3357" w:type="dxa"/>
            <w:tcBorders/>
            <w:shd w:fill="auto" w:val="clear"/>
          </w:tcPr>
          <w:p>
            <w:pPr>
              <w:pStyle w:val="TableContents"/>
              <w:pBdr>
                <w:bottom w:val="single" w:sz="2" w:space="1" w:color="000000"/>
              </w:pBdr>
              <w:spacing w:before="0" w:after="20"/>
              <w:rPr/>
            </w:pPr>
            <w:r>
              <w:rPr/>
              <w:t>                                      </w:t>
            </w:r>
          </w:p>
        </w:tc>
      </w:tr>
      <w:tr>
        <w:trPr/>
        <w:tc>
          <w:tcPr>
            <w:tcW w:w="665" w:type="dxa"/>
            <w:tcBorders/>
            <w:shd w:fill="auto" w:val="clear"/>
          </w:tcPr>
          <w:p>
            <w:pPr>
              <w:pStyle w:val="TableContents"/>
              <w:spacing w:before="0" w:after="283"/>
              <w:rPr/>
            </w:pPr>
            <w:r>
              <w:rPr/>
              <w:t>Its:</w:t>
            </w:r>
          </w:p>
        </w:tc>
        <w:tc>
          <w:tcPr>
            <w:tcW w:w="60" w:type="dxa"/>
            <w:tcBorders/>
            <w:shd w:fill="auto" w:val="clear"/>
            <w:vAlign w:val="bottom"/>
          </w:tcPr>
          <w:p>
            <w:pPr>
              <w:pStyle w:val="TableContents"/>
              <w:spacing w:before="0" w:after="283"/>
              <w:rPr/>
            </w:pPr>
            <w:r>
              <w:rPr/>
              <w:t> </w:t>
            </w:r>
          </w:p>
        </w:tc>
        <w:tc>
          <w:tcPr>
            <w:tcW w:w="3357" w:type="dxa"/>
            <w:tcBorders/>
            <w:shd w:fill="auto" w:val="clear"/>
          </w:tcPr>
          <w:p>
            <w:pPr>
              <w:pStyle w:val="TableContents"/>
              <w:pBdr>
                <w:bottom w:val="single" w:sz="2" w:space="1" w:color="000000"/>
              </w:pBdr>
              <w:spacing w:before="0" w:after="20"/>
              <w:rPr/>
            </w:pPr>
            <w:r>
              <w:rPr/>
              <w:t> </w:t>
            </w:r>
          </w:p>
        </w:tc>
      </w:tr>
      <w:tr>
        <w:trPr/>
        <w:tc>
          <w:tcPr>
            <w:tcW w:w="665" w:type="dxa"/>
            <w:tcBorders/>
            <w:shd w:fill="auto" w:val="clear"/>
          </w:tcPr>
          <w:p>
            <w:pPr>
              <w:pStyle w:val="TableContents"/>
              <w:spacing w:before="0" w:after="283"/>
              <w:rPr/>
            </w:pPr>
            <w:r>
              <w:rPr/>
              <w:t>Dated:</w:t>
            </w:r>
          </w:p>
        </w:tc>
        <w:tc>
          <w:tcPr>
            <w:tcW w:w="60" w:type="dxa"/>
            <w:tcBorders/>
            <w:shd w:fill="auto" w:val="clear"/>
            <w:vAlign w:val="bottom"/>
          </w:tcPr>
          <w:p>
            <w:pPr>
              <w:pStyle w:val="TableContents"/>
              <w:spacing w:before="0" w:after="283"/>
              <w:rPr/>
            </w:pPr>
            <w:r>
              <w:rPr/>
              <w:t> </w:t>
            </w:r>
          </w:p>
        </w:tc>
        <w:tc>
          <w:tcPr>
            <w:tcW w:w="3357" w:type="dxa"/>
            <w:tcBorders/>
            <w:shd w:fill="auto" w:val="clear"/>
          </w:tcPr>
          <w:p>
            <w:pPr>
              <w:pStyle w:val="TableContents"/>
              <w:pBdr>
                <w:bottom w:val="single" w:sz="2" w:space="1" w:color="000000"/>
              </w:pBdr>
              <w:spacing w:before="0" w:after="20"/>
              <w:rPr/>
            </w:pPr>
            <w:r>
              <w:rPr/>
              <w:t> </w:t>
            </w:r>
          </w:p>
        </w:tc>
      </w:tr>
      <w:tr>
        <w:trPr>
          <w:trHeight w:val="240" w:hRule="atLeast"/>
        </w:trPr>
        <w:tc>
          <w:tcPr>
            <w:tcW w:w="4082" w:type="dxa"/>
            <w:gridSpan w:val="3"/>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pPr>
            <w:r>
              <w:rPr/>
              <w:t></w:t>
            </w:r>
            <w:r>
              <w:rPr>
                <w:b/>
              </w:rPr>
              <w:t>EXECUTIVE</w:t>
            </w:r>
            <w:r>
              <w:rPr/>
              <w:t></w:t>
            </w:r>
          </w:p>
        </w:tc>
      </w:tr>
      <w:tr>
        <w:trPr>
          <w:trHeight w:val="240" w:hRule="atLeast"/>
        </w:trPr>
        <w:tc>
          <w:tcPr>
            <w:tcW w:w="4082" w:type="dxa"/>
            <w:gridSpan w:val="3"/>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pBdr>
                <w:bottom w:val="single" w:sz="2" w:space="1" w:color="000000"/>
              </w:pBdr>
              <w:spacing w:lineRule="atLeast" w:line="141" w:before="0" w:after="40"/>
              <w:rPr/>
            </w:pPr>
            <w:r>
              <w:rPr/>
              <w:t> </w:t>
            </w:r>
          </w:p>
          <w:p>
            <w:pPr>
              <w:pStyle w:val="TableContents"/>
              <w:spacing w:before="0" w:after="20"/>
              <w:rPr>
                <w:rFonts w:ascii="Times New Roman" w:hAnsi="Times New Roman"/>
                <w:sz w:val="20"/>
              </w:rPr>
            </w:pPr>
            <w:r>
              <w:rPr>
                <w:rFonts w:ascii="Times New Roman" w:hAnsi="Times New Roman"/>
                <w:sz w:val="20"/>
              </w:rPr>
              <w:t>Douglas Hirsch</w:t>
            </w:r>
          </w:p>
        </w:tc>
      </w:tr>
      <w:tr>
        <w:trPr/>
        <w:tc>
          <w:tcPr>
            <w:tcW w:w="665" w:type="dxa"/>
            <w:tcBorders/>
            <w:shd w:fill="auto" w:val="clear"/>
          </w:tcPr>
          <w:p>
            <w:pPr>
              <w:pStyle w:val="TableContents"/>
              <w:spacing w:before="0" w:after="283"/>
              <w:rPr/>
            </w:pPr>
            <w:r>
              <w:rPr/>
              <w:t>Dated:</w:t>
            </w:r>
          </w:p>
        </w:tc>
        <w:tc>
          <w:tcPr>
            <w:tcW w:w="60" w:type="dxa"/>
            <w:tcBorders/>
            <w:shd w:fill="auto" w:val="clear"/>
            <w:vAlign w:val="bottom"/>
          </w:tcPr>
          <w:p>
            <w:pPr>
              <w:pStyle w:val="TableContents"/>
              <w:spacing w:before="0" w:after="283"/>
              <w:rPr/>
            </w:pPr>
            <w:r>
              <w:rPr/>
              <w:t> </w:t>
            </w:r>
          </w:p>
        </w:tc>
        <w:tc>
          <w:tcPr>
            <w:tcW w:w="3357" w:type="dxa"/>
            <w:tcBorders/>
            <w:shd w:fill="auto" w:val="clear"/>
          </w:tcPr>
          <w:p>
            <w:pPr>
              <w:pStyle w:val="TableContents"/>
              <w:pBdr>
                <w:bottom w:val="single" w:sz="2" w:space="1" w:color="000000"/>
              </w:pBdr>
              <w:spacing w:before="0" w:after="20"/>
              <w:rPr/>
            </w:pPr>
            <w:r>
              <w:rPr/>
              <w:t>                 </w:t>
            </w:r>
          </w:p>
        </w:tc>
      </w:tr>
    </w:tbl>
    <w:p>
      <w:pPr>
        <w:pStyle w:val="TextBody"/>
        <w:spacing w:before="480" w:after="0"/>
        <w:jc w:val="center"/>
        <w:rPr>
          <w:rFonts w:ascii="Times New Roman" w:hAnsi="Times New Roman"/>
          <w:sz w:val="20"/>
        </w:rPr>
      </w:pPr>
      <w:r>
        <w:rPr>
          <w:rFonts w:ascii="Times New Roman" w:hAnsi="Times New Roman"/>
          <w:sz w:val="20"/>
        </w:rPr>
        <w:t xml:space="preserve">[SIGNATURE PAGE TO GENERAL RELEASE OF ALL CLAIMS] </w:t>
      </w:r>
      <w:r>
        <w:br w:type="page"/>
      </w:r>
    </w:p>
    <w:p>
      <w:pPr>
        <w:pStyle w:val="TextBody"/>
        <w:spacing w:before="0" w:after="0"/>
        <w:jc w:val="right"/>
        <w:rPr>
          <w:rFonts w:ascii="Times New Roman" w:hAnsi="Times New Roman"/>
          <w:b/>
          <w:sz w:val="20"/>
        </w:rPr>
      </w:pPr>
      <w:bookmarkStart w:id="8" w:name="d436463dex991.htm"/>
      <w:bookmarkStart w:id="9" w:name="ksd436463dex991"/>
      <w:bookmarkEnd w:id="8"/>
      <w:bookmarkEnd w:id="9"/>
      <w:r>
        <w:rPr>
          <w:rFonts w:ascii="Times New Roman" w:hAnsi="Times New Roman"/>
          <w:b/>
          <w:sz w:val="20"/>
        </w:rPr>
        <w:t xml:space="preserve">Exhibit 99.1 </w:t>
      </w:r>
    </w:p>
    <w:p>
      <w:pPr>
        <w:pStyle w:val="TextBody"/>
        <w:spacing w:before="480" w:after="0"/>
        <w:jc w:val="center"/>
        <w:rPr>
          <w:rFonts w:ascii="Times New Roman" w:hAnsi="Times New Roman"/>
          <w:b/>
          <w:sz w:val="20"/>
        </w:rPr>
      </w:pPr>
      <w:r>
        <w:rPr>
          <w:rFonts w:ascii="Times New Roman" w:hAnsi="Times New Roman"/>
          <w:b/>
          <w:sz w:val="20"/>
        </w:rPr>
        <w:t xml:space="preserve">GoodRx Expands Executive Team With New Interim CEO </w:t>
      </w:r>
    </w:p>
    <w:p>
      <w:pPr>
        <w:pStyle w:val="TextBody"/>
        <w:spacing w:before="240" w:after="0"/>
        <w:jc w:val="center"/>
        <w:rPr>
          <w:rFonts w:ascii="Times New Roman" w:hAnsi="Times New Roman"/>
          <w:i/>
          <w:sz w:val="20"/>
        </w:rPr>
      </w:pPr>
      <w:r>
        <w:rPr>
          <w:rFonts w:ascii="Times New Roman" w:hAnsi="Times New Roman"/>
          <w:i/>
          <w:sz w:val="20"/>
        </w:rPr>
        <w:t>Scott Wagner, Former CEO of GoDaddy, Appointed Interim CEO</w:t>
      </w:r>
    </w:p>
    <w:p>
      <w:pPr>
        <w:pStyle w:val="TextBody"/>
        <w:spacing w:before="240" w:after="0"/>
        <w:jc w:val="center"/>
        <w:rPr>
          <w:rFonts w:ascii="Times New Roman" w:hAnsi="Times New Roman"/>
          <w:i/>
          <w:sz w:val="20"/>
        </w:rPr>
      </w:pPr>
      <w:r>
        <w:rPr>
          <w:rFonts w:ascii="Times New Roman" w:hAnsi="Times New Roman"/>
          <w:i/>
          <w:sz w:val="20"/>
        </w:rPr>
        <w:t xml:space="preserve">GoodRx Co-Founders Doug Hirsch and Trevor Bezdek to Serve as </w:t>
      </w:r>
    </w:p>
    <w:p>
      <w:pPr>
        <w:pStyle w:val="TextBody"/>
        <w:spacing w:before="0" w:after="0"/>
        <w:jc w:val="center"/>
        <w:rPr>
          <w:rFonts w:ascii="Times New Roman" w:hAnsi="Times New Roman"/>
          <w:i/>
          <w:sz w:val="20"/>
        </w:rPr>
      </w:pPr>
      <w:r>
        <w:rPr>
          <w:rFonts w:ascii="Times New Roman" w:hAnsi="Times New Roman"/>
          <w:i/>
          <w:sz w:val="20"/>
        </w:rPr>
        <w:t>Chief Mission Officer and Chairman, Respectively</w:t>
      </w:r>
    </w:p>
    <w:p>
      <w:pPr>
        <w:pStyle w:val="TextBody"/>
        <w:spacing w:before="240" w:after="0"/>
        <w:jc w:val="left"/>
        <w:rPr>
          <w:rFonts w:ascii="Times New Roman" w:hAnsi="Times New Roman"/>
          <w:sz w:val="20"/>
        </w:rPr>
      </w:pPr>
      <w:r>
        <w:rPr>
          <w:rFonts w:ascii="Times New Roman" w:hAnsi="Times New Roman"/>
          <w:sz w:val="20"/>
        </w:rPr>
        <w:t>SANTA MONICA, Calif., (April 25, 2023) </w:t>
      </w:r>
      <w:r>
        <w:rPr>
          <w:rFonts w:ascii="Times New Roman" w:hAnsi="Times New Roman"/>
          <w:sz w:val="20"/>
          <w:u w:val="single"/>
        </w:rPr>
        <w:t xml:space="preserve"> GoodRx</w:t>
      </w:r>
      <w:r>
        <w:rPr>
          <w:rFonts w:ascii="Times New Roman" w:hAnsi="Times New Roman"/>
          <w:sz w:val="20"/>
        </w:rPr>
        <w:t xml:space="preserve"> Holdings, Inc. (NASDAQ: GDRX), a leading digital healthcare platform, today announced that Scott Wagner has been appointed Interim Chief Executive Officer, effective April 25, 2023. Co-founders Doug Hirsch and Trevor Bezdek have transitioned into new roles as Chief Mission Officer and Chairman, respectively. Wagner will work closely with Hirsch and Bezdek, who remain part of the GoodRx leadership team, to accelerate product innovation, strengthen the Companys ecosystem of industry partners, and grow its customer base.</w:t>
      </w:r>
    </w:p>
    <w:p>
      <w:pPr>
        <w:pStyle w:val="TextBody"/>
        <w:spacing w:before="240" w:after="0"/>
        <w:jc w:val="left"/>
        <w:rPr>
          <w:rFonts w:ascii="Times New Roman" w:hAnsi="Times New Roman"/>
          <w:sz w:val="20"/>
        </w:rPr>
      </w:pPr>
      <w:r>
        <w:rPr>
          <w:rFonts w:ascii="Times New Roman" w:hAnsi="Times New Roman"/>
          <w:sz w:val="20"/>
        </w:rPr>
        <w:t>Wagner joins GoodRx with more than 25 years of experience helping companies deliver growth at scale, while building exceptional customer experiences. He spent eight years at GoDaddy Inc., as Chief Executive Officer and President/Chief Operating Officer/Chief Financial Officer, tripling revenue to approximately $3 billion by expanding the companys product suite, growing its customer base, and increasing customer engagement. Wagner also sits on the board of several high-growth tech companies, including GoFundMe, Kajabi, DoubleVerify and BILL. With a deep passion for mission-driven consumer tech brands, Wagner is expected to evolve the GoodRx value proposition by delivering new experiences that provide exceptional value to consumers, healthcare providers, and manufacturers.</w:t>
      </w:r>
    </w:p>
    <w:p>
      <w:pPr>
        <w:pStyle w:val="TextBody"/>
        <w:spacing w:before="240" w:after="0"/>
        <w:jc w:val="left"/>
        <w:rPr>
          <w:rFonts w:ascii="Times New Roman" w:hAnsi="Times New Roman"/>
          <w:sz w:val="20"/>
        </w:rPr>
      </w:pPr>
      <w:r>
        <w:rPr>
          <w:rFonts w:ascii="Times New Roman" w:hAnsi="Times New Roman"/>
          <w:sz w:val="20"/>
        </w:rPr>
        <w:t xml:space="preserve">GoodRx has an incredible mission  making healthcare more affordable and accessible. It serves a huge number of Americans and its platform is loved by consumers and healthcare professionals alike, said Scott Wagner, Interim CEO of GoodRx. I look forward to helping the company expand its core consumer marketplace to serve more people with a richer, engaging experience for their healthcare needs. GoodRx has a number of exciting opportunities to add value across the ecosystem of healthcare professionals, pharmacies, insurers and manufacturers  all in service of getting the consumer the right medication affordably and easily. </w:t>
      </w:r>
    </w:p>
    <w:p>
      <w:pPr>
        <w:pStyle w:val="TextBody"/>
        <w:spacing w:before="240" w:after="0"/>
        <w:jc w:val="left"/>
        <w:rPr>
          <w:rFonts w:ascii="Times New Roman" w:hAnsi="Times New Roman"/>
          <w:sz w:val="20"/>
        </w:rPr>
      </w:pPr>
      <w:r>
        <w:rPr>
          <w:rFonts w:ascii="Times New Roman" w:hAnsi="Times New Roman"/>
          <w:sz w:val="20"/>
        </w:rPr>
        <w:t>Every American deserves affordable and accessible healthcare, and that belief has guided us for 12 years, said Doug Hirsch, co-founder and Chief Mission Officer of GoodRx. We have helped Americans save over $55 billion on their medications to date, and weve become a service that millions of consumers rely on. The more we help, the more we find new ways we can make an impact. Scott has an incredible track record of growing and evolving public companies, and I am eager to support him as we enter the next phase of the companys growth.</w:t>
      </w:r>
    </w:p>
    <w:p>
      <w:pPr>
        <w:pStyle w:val="TextBody"/>
        <w:spacing w:before="240" w:after="0"/>
        <w:jc w:val="left"/>
        <w:rPr>
          <w:rFonts w:ascii="Times New Roman" w:hAnsi="Times New Roman"/>
          <w:sz w:val="20"/>
        </w:rPr>
      </w:pPr>
      <w:r>
        <w:rPr>
          <w:rFonts w:ascii="Times New Roman" w:hAnsi="Times New Roman"/>
          <w:sz w:val="20"/>
        </w:rPr>
        <w:t>In his new role as Chief Mission Officer, Hirsch will continue to operationalize GoodRxs mission of making healthcare more affordable and accessible. He is expected to work closely with the healthcare industry, including GoodRxs network of healthcare providers and pharma partners, to help GoodRx deliver the tools and resources they need to help patients navigate the opaque, complex American healthcare system.</w:t>
      </w:r>
    </w:p>
    <w:p>
      <w:pPr>
        <w:pStyle w:val="TextBody"/>
        <w:spacing w:before="240" w:after="0"/>
        <w:jc w:val="left"/>
        <w:rPr>
          <w:rFonts w:ascii="Times New Roman" w:hAnsi="Times New Roman"/>
          <w:sz w:val="20"/>
        </w:rPr>
      </w:pPr>
      <w:r>
        <w:rPr>
          <w:rFonts w:ascii="Times New Roman" w:hAnsi="Times New Roman"/>
          <w:sz w:val="20"/>
        </w:rPr>
        <w:t xml:space="preserve">In his role as Chairman, Bezdek is expected to provide direction on healthcare strategy, foster relationships with strategic industry partners, support the CEO and executive team, and help drive innovation by identifying new product and growth opportunities.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Its incredible to think about how far we have come. Millions of Americans rely on GoodRx to access life-saving care, said Trevor Bezdek, co-founder and Chairman of GoodRx. We had a good start to the year in relation to our overall plan and focus on driving efficiency and margin, and our Monthly Active Consumers1 count was in the range we expected. I am confident that Scotts fresh perspective and business acumen will build on our legacy and take us to new heights. We look forward to updating investors further on our May 10 earnings call. </w:t>
      </w:r>
    </w:p>
    <w:p>
      <w:pPr>
        <w:pStyle w:val="TextBody"/>
        <w:spacing w:before="360" w:after="0"/>
        <w:jc w:val="left"/>
        <w:rPr>
          <w:rFonts w:ascii="Times New Roman" w:hAnsi="Times New Roman"/>
          <w:b/>
          <w:sz w:val="20"/>
        </w:rPr>
      </w:pPr>
      <w:r>
        <w:rPr>
          <w:rFonts w:ascii="Times New Roman" w:hAnsi="Times New Roman"/>
          <w:b/>
          <w:sz w:val="20"/>
        </w:rPr>
        <w:t xml:space="preserve">About GoodRx </w:t>
      </w:r>
    </w:p>
    <w:p>
      <w:pPr>
        <w:pStyle w:val="TextBody"/>
        <w:spacing w:before="120" w:after="0"/>
        <w:jc w:val="left"/>
        <w:rPr>
          <w:rFonts w:ascii="Times New Roman" w:hAnsi="Times New Roman"/>
          <w:sz w:val="20"/>
        </w:rPr>
      </w:pPr>
      <w:r>
        <w:rPr>
          <w:rFonts w:ascii="Times New Roman" w:hAnsi="Times New Roman"/>
          <w:sz w:val="20"/>
        </w:rPr>
        <w:t xml:space="preserve">GoodRx is a leading digital healthcare platform that makes healthcare affordable and convenient for all Americans. We offer consumers free access to transparent and lower prices for brand and generic medications, affordable and convenient medical provider consultations via telehealth, and comprehensive healthcare research and information. Since 2011, we have helped consumers save over $55 billion and are one of the most downloaded medical apps over the past decade. </w:t>
      </w:r>
    </w:p>
    <w:p>
      <w:pPr>
        <w:pStyle w:val="TextBody"/>
        <w:spacing w:before="360" w:after="0"/>
        <w:jc w:val="left"/>
        <w:rPr>
          <w:rFonts w:ascii="Times New Roman" w:hAnsi="Times New Roman"/>
          <w:i/>
          <w:sz w:val="20"/>
        </w:rPr>
      </w:pPr>
      <w:r>
        <w:rPr>
          <w:rFonts w:ascii="Times New Roman" w:hAnsi="Times New Roman"/>
          <w:i/>
          <w:sz w:val="20"/>
        </w:rPr>
        <w:t xml:space="preserve">GoodRx periodically posts information that may be important to investors on its investor relations website at https://investors.goodrx.com. We intend to use our website as a means of disclosing material nonpublic information and for complying with our disclosure obligations under Regulation FD. Accordingly, investors and potential investors are encouraged to consult GoodRxs website regularly for important information, in addition to following GoodRxs press releases, filings with the Securities and Exchange Commission and public conference calls and webcasts. The information contained on, or that may be accessed through, GoodRxs website is not incorporated by reference into, and is not a part of, this press release. </w:t>
      </w:r>
    </w:p>
    <w:p>
      <w:pPr>
        <w:pStyle w:val="TextBody"/>
        <w:spacing w:before="240" w:after="0"/>
        <w:jc w:val="left"/>
        <w:rPr>
          <w:rFonts w:ascii="Times New Roman" w:hAnsi="Times New Roman"/>
          <w:sz w:val="20"/>
          <w:u w:val="single"/>
        </w:rPr>
      </w:pPr>
      <w:r>
        <w:rPr>
          <w:rFonts w:ascii="Times New Roman" w:hAnsi="Times New Roman"/>
          <w:sz w:val="20"/>
          <w:u w:val="single"/>
        </w:rPr>
        <w:t xml:space="preserve">Forward-Looking Statements </w:t>
      </w:r>
    </w:p>
    <w:p>
      <w:pPr>
        <w:pStyle w:val="TextBody"/>
        <w:spacing w:before="120" w:after="0"/>
        <w:jc w:val="left"/>
        <w:rPr>
          <w:rFonts w:ascii="Times New Roman" w:hAnsi="Times New Roman"/>
          <w:sz w:val="20"/>
        </w:rPr>
      </w:pPr>
      <w:r>
        <w:rPr>
          <w:rFonts w:ascii="Times New Roman" w:hAnsi="Times New Roman"/>
          <w:sz w:val="20"/>
        </w:rPr>
        <w:t xml:space="preserve">This press release contains forward-looking statements within the meaning of the Private Securities Litigation Reform Act of 1995. All statements contained in this press release that do not relate to matters of historical fact should be considered forward-looking statements, including without limitation statements regarding our future operations, growth and financial results, our potential for growth, our relationship with industry participants and partners and other third parties, demand for our offerings, benefits to consumers from our offerings, underlying trends in our business and the benefits of new hires and anticipated contributions from Messrs. Wagner, Hirsch and Bezdek in their new roles. These statements are neither promises nor guarantees, but involve known and unknown risks, uncertainties and other important factors that may cause our actual results, performance or achievements to be materially different from any future results, performance or achievements expressed or implied by the forward-looking statements, including, but not limited to, risks relating to our ability to attract and retain talent and the important factors discussed under the caption Risk Factors in GoodRxs Annual Report on Form 10-K for the year ended December 31, 2022, and our other filings with the SEC. These factors could cause actual results to differ materially from those indicated by the forward-looking statements made in this press release. Any such forward-looking statements represent managements estimates as of the date of this press release. While we may elect to update such forward-looking statements at some point in the future, we disclaim any obligation to do so, even if subsequent events cause our views to change. </w:t>
      </w:r>
    </w:p>
    <w:p>
      <w:pPr>
        <w:pStyle w:val="TextBody"/>
        <w:spacing w:before="240" w:after="0"/>
        <w:jc w:val="left"/>
        <w:rPr>
          <w:rFonts w:ascii="Times New Roman" w:hAnsi="Times New Roman"/>
          <w:b/>
          <w:sz w:val="20"/>
        </w:rPr>
      </w:pPr>
      <w:r>
        <w:rPr>
          <w:rFonts w:ascii="Times New Roman" w:hAnsi="Times New Roman"/>
          <w:b/>
          <w:sz w:val="20"/>
        </w:rPr>
        <w:t xml:space="preserve">Press Contact </w:t>
      </w:r>
    </w:p>
    <w:p>
      <w:pPr>
        <w:pStyle w:val="TextBody"/>
        <w:spacing w:before="0" w:after="0"/>
        <w:jc w:val="left"/>
        <w:rPr>
          <w:rFonts w:ascii="Times New Roman" w:hAnsi="Times New Roman"/>
          <w:sz w:val="20"/>
        </w:rPr>
      </w:pPr>
      <w:r>
        <w:rPr>
          <w:rFonts w:ascii="Times New Roman" w:hAnsi="Times New Roman"/>
          <w:sz w:val="20"/>
        </w:rPr>
        <w:t xml:space="preserve">press@goodrx.com </w:t>
      </w:r>
    </w:p>
    <w:p>
      <w:pPr>
        <w:pStyle w:val="TextBody"/>
        <w:spacing w:before="240" w:after="0"/>
        <w:jc w:val="left"/>
        <w:rPr>
          <w:rFonts w:ascii="Times New Roman" w:hAnsi="Times New Roman"/>
          <w:b/>
          <w:sz w:val="20"/>
        </w:rPr>
      </w:pPr>
      <w:r>
        <w:rPr>
          <w:rFonts w:ascii="Times New Roman" w:hAnsi="Times New Roman"/>
          <w:b/>
          <w:sz w:val="20"/>
        </w:rPr>
        <w:t xml:space="preserve">Investor Relations Contact </w:t>
      </w:r>
    </w:p>
    <w:p>
      <w:pPr>
        <w:pStyle w:val="TextBody"/>
        <w:spacing w:before="0" w:after="0"/>
        <w:jc w:val="left"/>
        <w:rPr>
          <w:rFonts w:ascii="Times New Roman" w:hAnsi="Times New Roman"/>
          <w:sz w:val="20"/>
          <w:u w:val="single"/>
        </w:rPr>
      </w:pPr>
      <w:r>
        <w:rPr>
          <w:rFonts w:ascii="Times New Roman" w:hAnsi="Times New Roman"/>
          <w:sz w:val="20"/>
          <w:u w:val="single"/>
        </w:rPr>
        <w:t>ir@goodrx.com</w:t>
      </w:r>
    </w:p>
    <w:p>
      <w:pPr>
        <w:pStyle w:val="TextBody"/>
        <w:spacing w:before="0" w:after="0"/>
        <w:jc w:val="left"/>
        <w:rPr/>
      </w:pPr>
      <w:r>
        <w:rPr/>
        <w:t>  </w:t>
      </w:r>
    </w:p>
    <w:p>
      <w:pPr>
        <w:pStyle w:val="TextBody"/>
        <w:pBdr>
          <w:bottom w:val="single" w:sz="2" w:space="1" w:color="000000"/>
        </w:pBdr>
        <w:spacing w:lineRule="atLeast" w:line="160" w:before="0" w:after="4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1 </w:t>
            </w:r>
          </w:p>
        </w:tc>
        <w:tc>
          <w:tcPr>
            <w:tcW w:w="979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Refer to Glossary of Selected Terminology and Key Financial and Operating Metrics sections included in the forepart and Part II, Item 7, respectively, of our Annual Report on Form 10-K for the fiscal year ended December 31, 2022 for definition of, and additional information on, Monthly Active Consumers. </w:t>
            </w:r>
          </w:p>
        </w:tc>
      </w:tr>
    </w:tbl>
    <w:p>
      <w:pPr>
        <w:pStyle w:val="TextBody"/>
        <w:spacing w:before="0" w:after="283"/>
        <w:rPr/>
      </w:pPr>
      <w:r>
        <w:br w:type="page"/>
      </w: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66</Pages>
  <Words>31778</Words>
  <CharactersWithSpaces>197372</CharactersWithSpaces>
  <Paragraphs>727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