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GoodRx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38246G108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38246G108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2,186,869.00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2,186,869.00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2,186,869.00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38246G108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2,186,869.00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2,186,869.00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2,186,869.00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38246G108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2,186,869.00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2,186,869.00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2,186,869.00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GoodRx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099"/>
        <w:spacing w:after="0"/>
        <w:rPr>
          <w:sz w:val="20"/>
          <w:szCs w:val="20"/>
          <w:color w:val="auto"/>
        </w:rPr>
      </w:pPr>
      <w:r>
        <w:rPr>
          <w:rFonts w:ascii="Times New Roman" w:cs="Times New Roman" w:eastAsia="Times New Roman" w:hAnsi="Times New Roman"/>
          <w:sz w:val="22"/>
          <w:szCs w:val="22"/>
          <w:color w:val="auto"/>
        </w:rPr>
        <w:t>2701 Olympic Boulevard, Santa Monica, California 90404</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340"/>
        <w:spacing w:after="0" w:line="286"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56" w:lineRule="exact"/>
        <w:rPr>
          <w:sz w:val="20"/>
          <w:szCs w:val="20"/>
          <w:color w:val="auto"/>
        </w:rPr>
      </w:pPr>
    </w:p>
    <w:p>
      <w:pPr>
        <w:ind w:left="920" w:right="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838" w:orient="portrait"/>
          <w:cols w:equalWidth="0" w:num="1">
            <w:col w:w="11000"/>
          </w:cols>
          <w:pgMar w:left="360" w:top="112" w:right="53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38246G108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080"/>
          </w:cols>
          <w:pgMar w:left="360" w:top="112" w:right="539" w:bottom="0" w:gutter="0" w:footer="0" w:header="0"/>
          <w:type w:val="continuous"/>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100" w:firstLine="6"/>
        <w:spacing w:after="0" w:line="509" w:lineRule="auto"/>
        <w:tabs>
          <w:tab w:leader="none" w:pos="123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18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55"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w:t>
      </w:r>
    </w:p>
    <w:p>
      <w:pPr>
        <w:sectPr>
          <w:pgSz w:w="11900" w:h="16838" w:orient="portrait"/>
          <w:cols w:equalWidth="0" w:num="1">
            <w:col w:w="11000"/>
          </w:cols>
          <w:pgMar w:left="360" w:top="112" w:right="5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January 23, 2025, by and among Millennium Management LLC, Millennium Group Management LLC and Israel A. Englander.</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22"/>
          <w:szCs w:val="22"/>
          <w:color w:val="auto"/>
        </w:rPr>
        <w:t>EXHIBIT I</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$0.0001 per share, of GoodRx Holdings,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23, 2025</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17551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5514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17551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5514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1913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1325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3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2025-01-24T15:03:52Z</dcterms:created>
  <dcterms:modified xsi:type="dcterms:W3CDTF">2025-01-24T15:03:52Z</dcterms:modified>
</cp:coreProperties>
</file>