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jc w:val="left"/>
        <w:rPr/>
      </w:pPr>
      <w:r>
        <w:rPr/>
      </w:r>
    </w:p>
    <w:p>
      <w:pPr>
        <w:sectPr>
          <w:type w:val="nextPage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tbl>
      <w:tblPr>
        <w:tblW w:w="169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69"/>
      </w:tblGrid>
      <w:tr>
        <w:trPr/>
        <w:tc>
          <w:tcPr>
            <w:tcW w:w="16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69" w:type="dxa"/>
            <w:tcBorders>
              <w:bottom w:val="doub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lineRule="atLeast" w:line="36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z w:val="36"/>
        </w:rPr>
      </w:pPr>
      <w:r>
        <w:rPr>
          <w:rFonts w:ascii="Arial;sans-serif" w:hAnsi="Arial;sans-serif"/>
          <w:b/>
          <w:i w:val="false"/>
          <w:caps w:val="false"/>
          <w:smallCaps w:val="false"/>
          <w:sz w:val="36"/>
        </w:rPr>
        <w:t>UNITED STATES</w:t>
      </w:r>
    </w:p>
    <w:p>
      <w:pPr>
        <w:pStyle w:val="TextBody"/>
        <w:bidi w:val="0"/>
        <w:spacing w:lineRule="atLeast" w:line="36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z w:val="36"/>
        </w:rPr>
      </w:pPr>
      <w:r>
        <w:rPr>
          <w:rFonts w:ascii="Arial;sans-serif" w:hAnsi="Arial;sans-serif"/>
          <w:b/>
          <w:i w:val="false"/>
          <w:caps w:val="false"/>
          <w:smallCaps w:val="false"/>
          <w:sz w:val="36"/>
        </w:rPr>
        <w:t>SECURITIES AND EXCHANGE COMMISSION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z w:val="18"/>
        </w:rPr>
      </w:pPr>
      <w:r>
        <w:rPr>
          <w:rFonts w:ascii="Arial;sans-serif" w:hAnsi="Arial;sans-serif"/>
          <w:b/>
          <w:i w:val="false"/>
          <w:caps w:val="false"/>
          <w:smallCaps w:val="false"/>
          <w:sz w:val="18"/>
        </w:rPr>
        <w:t>WASHINGTON, D.C. 20549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________________________________________</w:t>
      </w:r>
    </w:p>
    <w:p>
      <w:pPr>
        <w:pStyle w:val="TextBody"/>
        <w:bidi w:val="0"/>
        <w:spacing w:lineRule="atLeast" w:line="360" w:before="0" w:after="0"/>
        <w:jc w:val="left"/>
        <w:rPr>
          <w:sz w:val="36"/>
        </w:rPr>
      </w:pPr>
      <w:r>
        <w:rPr>
          <w:rFonts w:ascii="Arial;sans-serif" w:hAnsi="Arial;sans-serif"/>
          <w:b/>
          <w:i w:val="false"/>
          <w:caps w:val="false"/>
          <w:smallCaps w:val="false"/>
          <w:sz w:val="36"/>
        </w:rPr>
        <w:t xml:space="preserve">FORM </w:t>
      </w: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sz w:val="36"/>
          <w:u w:val="none"/>
          <w:effect w:val="none"/>
        </w:rPr>
        <w:t>8-K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________________________________________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z w:val="18"/>
        </w:rPr>
      </w:pPr>
      <w:r>
        <w:rPr>
          <w:rFonts w:ascii="Arial;sans-serif" w:hAnsi="Arial;sans-serif"/>
          <w:b/>
          <w:i w:val="false"/>
          <w:caps w:val="false"/>
          <w:smallCaps w:val="false"/>
          <w:sz w:val="18"/>
        </w:rPr>
        <w:t>CURRENT REPORT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z w:val="18"/>
        </w:rPr>
      </w:pPr>
      <w:r>
        <w:rPr>
          <w:rFonts w:ascii="Arial;sans-serif" w:hAnsi="Arial;sans-serif"/>
          <w:b/>
          <w:i w:val="false"/>
          <w:caps w:val="false"/>
          <w:smallCaps w:val="false"/>
          <w:sz w:val="18"/>
        </w:rPr>
        <w:t>PURSUANT TO SECTION 13 OR 15(d)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z w:val="18"/>
        </w:rPr>
      </w:pPr>
      <w:r>
        <w:rPr>
          <w:rFonts w:ascii="Arial;sans-serif" w:hAnsi="Arial;sans-serif"/>
          <w:b/>
          <w:i w:val="false"/>
          <w:caps w:val="false"/>
          <w:smallCaps w:val="false"/>
          <w:sz w:val="18"/>
        </w:rPr>
        <w:t>OF THE SECURITIES EXCHANGE ACT OF 1934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Arial;sans-serif" w:hAnsi="Arial;sans-serif"/>
          <w:b/>
          <w:i w:val="false"/>
          <w:caps w:val="false"/>
          <w:smallCaps w:val="false"/>
          <w:sz w:val="20"/>
        </w:rPr>
        <w:t xml:space="preserve">Date of Report (Date of earliest event reported): </w:t>
      </w: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July 31, 2026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________________________________________</w:t>
      </w:r>
    </w:p>
    <w:p>
      <w:pPr>
        <w:pStyle w:val="TextBody"/>
        <w:bidi w:val="0"/>
        <w:spacing w:lineRule="atLeast" w:line="48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sz w:val="48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sz w:val="48"/>
          <w:u w:val="none"/>
          <w:effect w:val="none"/>
        </w:rPr>
        <w:t>GoodRx Holdings, Inc.</w:t>
      </w:r>
    </w:p>
    <w:p>
      <w:pPr>
        <w:pStyle w:val="TextBody"/>
        <w:bidi w:val="0"/>
        <w:spacing w:lineRule="atLeast" w:line="15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z w:val="15"/>
        </w:rPr>
      </w:pPr>
      <w:r>
        <w:rPr>
          <w:rFonts w:ascii="Arial;sans-serif" w:hAnsi="Arial;sans-serif"/>
          <w:b/>
          <w:i w:val="false"/>
          <w:caps w:val="false"/>
          <w:smallCaps w:val="false"/>
          <w:sz w:val="15"/>
        </w:rPr>
        <w:t>(Exact Name of Registrant as Specified in its Charter)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________________________________________</w:t>
      </w:r>
    </w:p>
    <w:tbl>
      <w:tblPr>
        <w:tblW w:w="6888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866"/>
        <w:gridCol w:w="2386"/>
        <w:gridCol w:w="1636"/>
      </w:tblGrid>
      <w:tr>
        <w:trPr/>
        <w:tc>
          <w:tcPr>
            <w:tcW w:w="286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38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3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86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Delaware</w:t>
            </w:r>
          </w:p>
        </w:tc>
        <w:tc>
          <w:tcPr>
            <w:tcW w:w="238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001-39549</w:t>
            </w:r>
          </w:p>
        </w:tc>
        <w:tc>
          <w:tcPr>
            <w:tcW w:w="163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47-5104396</w:t>
            </w:r>
          </w:p>
        </w:tc>
      </w:tr>
      <w:tr>
        <w:trPr/>
        <w:tc>
          <w:tcPr>
            <w:tcW w:w="286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(State or Other Jurisdiction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of Incorporation)</w:t>
            </w:r>
          </w:p>
        </w:tc>
        <w:tc>
          <w:tcPr>
            <w:tcW w:w="238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(Commission File Number)</w:t>
            </w:r>
          </w:p>
        </w:tc>
        <w:tc>
          <w:tcPr>
            <w:tcW w:w="163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(IRS Employer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Identification No.)</w:t>
            </w:r>
          </w:p>
        </w:tc>
      </w:tr>
      <w:tr>
        <w:trPr/>
        <w:tc>
          <w:tcPr>
            <w:tcW w:w="286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38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3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86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2701 Olympic Boulevard</w:t>
            </w:r>
          </w:p>
        </w:tc>
        <w:tc>
          <w:tcPr>
            <w:tcW w:w="238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3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86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Santa Monica, California</w:t>
            </w:r>
          </w:p>
        </w:tc>
        <w:tc>
          <w:tcPr>
            <w:tcW w:w="238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3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90404</w:t>
            </w:r>
          </w:p>
        </w:tc>
      </w:tr>
      <w:tr>
        <w:trPr/>
        <w:tc>
          <w:tcPr>
            <w:tcW w:w="286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 xml:space="preserve">(Address of Principal Executive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Offices)</w:t>
            </w:r>
          </w:p>
        </w:tc>
        <w:tc>
          <w:tcPr>
            <w:tcW w:w="238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3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(Zip Code)</w:t>
            </w:r>
          </w:p>
        </w:tc>
      </w:tr>
    </w:tbl>
    <w:p>
      <w:pPr>
        <w:pStyle w:val="TextBody"/>
        <w:bidi w:val="0"/>
        <w:spacing w:lineRule="atLeast" w:line="180" w:before="0" w:after="0"/>
        <w:jc w:val="left"/>
        <w:rPr>
          <w:sz w:val="24"/>
        </w:rPr>
      </w:pPr>
      <w:r>
        <w:rPr>
          <w:rFonts w:ascii="Arial;sans-serif" w:hAnsi="Arial;sans-serif"/>
          <w:b/>
          <w:i w:val="false"/>
          <w:caps w:val="false"/>
          <w:smallCaps w:val="false"/>
          <w:sz w:val="18"/>
        </w:rPr>
        <w:t>Registrant’s Telephone Number, Including Area Code: (</w:t>
      </w: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855</w:t>
      </w:r>
      <w:r>
        <w:rPr>
          <w:rFonts w:ascii="Arial;sans-serif" w:hAnsi="Arial;sans-serif"/>
          <w:b/>
          <w:i w:val="false"/>
          <w:caps w:val="false"/>
          <w:smallCaps w:val="false"/>
          <w:sz w:val="18"/>
        </w:rPr>
        <w:t xml:space="preserve">) </w:t>
      </w: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268-2822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z w:val="18"/>
        </w:rPr>
      </w:pPr>
      <w:r>
        <w:rPr>
          <w:rFonts w:ascii="Arial;sans-serif" w:hAnsi="Arial;sans-serif"/>
          <w:b/>
          <w:i w:val="false"/>
          <w:caps w:val="false"/>
          <w:smallCaps w:val="false"/>
          <w:sz w:val="18"/>
        </w:rPr>
        <w:t>Not applicable</w:t>
      </w:r>
    </w:p>
    <w:p>
      <w:pPr>
        <w:pStyle w:val="TextBody"/>
        <w:bidi w:val="0"/>
        <w:spacing w:lineRule="atLeast" w:line="15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z w:val="15"/>
        </w:rPr>
      </w:pPr>
      <w:r>
        <w:rPr>
          <w:rFonts w:ascii="Arial;sans-serif" w:hAnsi="Arial;sans-serif"/>
          <w:b/>
          <w:i w:val="false"/>
          <w:caps w:val="false"/>
          <w:smallCaps w:val="false"/>
          <w:sz w:val="15"/>
        </w:rPr>
        <w:t>(Former Name or Former Address, if Changed Since Last Report)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________________________________________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 xml:space="preserve">Check the appropriate box below if the Form 8-K filing is intended to simultaneously satisfy the filing obligation of the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 xml:space="preserve">registrant under any of the following provisions: </w:t>
      </w:r>
    </w:p>
    <w:tbl>
      <w:tblPr>
        <w:tblW w:w="9557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331"/>
        <w:gridCol w:w="9226"/>
      </w:tblGrid>
      <w:tr>
        <w:trPr/>
        <w:tc>
          <w:tcPr>
            <w:tcW w:w="3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3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☐</w:t>
            </w:r>
          </w:p>
        </w:tc>
        <w:tc>
          <w:tcPr>
            <w:tcW w:w="922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Written communications pursuant to Rule 425 under the Securities Act (17 CFR 230.425)</w:t>
            </w:r>
          </w:p>
        </w:tc>
      </w:tr>
      <w:tr>
        <w:trPr/>
        <w:tc>
          <w:tcPr>
            <w:tcW w:w="3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3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☐</w:t>
            </w:r>
          </w:p>
        </w:tc>
        <w:tc>
          <w:tcPr>
            <w:tcW w:w="922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Soliciting material pursuant to Rule 14a-12 under the Exchange Act (17 CFR 240.14a-12)</w:t>
            </w:r>
          </w:p>
        </w:tc>
      </w:tr>
      <w:tr>
        <w:trPr/>
        <w:tc>
          <w:tcPr>
            <w:tcW w:w="3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3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☐</w:t>
            </w:r>
          </w:p>
        </w:tc>
        <w:tc>
          <w:tcPr>
            <w:tcW w:w="922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Pre-commencement communications pursuant to Rule 14d-2(b) under the Exchange Act (17 CFR 240.14d-2(b))</w:t>
            </w:r>
          </w:p>
        </w:tc>
      </w:tr>
      <w:tr>
        <w:trPr/>
        <w:tc>
          <w:tcPr>
            <w:tcW w:w="3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3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☐</w:t>
            </w:r>
          </w:p>
        </w:tc>
        <w:tc>
          <w:tcPr>
            <w:tcW w:w="922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Pre-commencement communications pursuant to Rule 13e-4(c) under the Exchange Act (17 CFR 240.13e-4(c))</w:t>
            </w:r>
          </w:p>
        </w:tc>
      </w:tr>
    </w:tbl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z w:val="18"/>
        </w:rPr>
      </w:pPr>
      <w:r>
        <w:rPr>
          <w:rFonts w:ascii="Arial;sans-serif" w:hAnsi="Arial;sans-serif"/>
          <w:b/>
          <w:i w:val="false"/>
          <w:caps w:val="false"/>
          <w:smallCaps w:val="false"/>
          <w:sz w:val="18"/>
        </w:rPr>
        <w:t>Securities registered pursuant to Section 12(b) of the Act:</w:t>
      </w:r>
    </w:p>
    <w:tbl>
      <w:tblPr>
        <w:tblW w:w="9116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3976"/>
        <w:gridCol w:w="109"/>
        <w:gridCol w:w="976"/>
        <w:gridCol w:w="109"/>
        <w:gridCol w:w="3946"/>
      </w:tblGrid>
      <w:tr>
        <w:trPr/>
        <w:tc>
          <w:tcPr>
            <w:tcW w:w="39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9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976" w:type="dxa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z w:val="18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z w:val="18"/>
              </w:rPr>
              <w:t>Title of each class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6" w:type="dxa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z w:val="18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z w:val="18"/>
              </w:rPr>
              <w:t>Trading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z w:val="18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z w:val="18"/>
              </w:rPr>
              <w:t>Symbol(s)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946" w:type="dxa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z w:val="18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z w:val="18"/>
              </w:rPr>
              <w:t>Name of each exchange on which registered</w:t>
            </w:r>
          </w:p>
        </w:tc>
      </w:tr>
      <w:tr>
        <w:trPr/>
        <w:tc>
          <w:tcPr>
            <w:tcW w:w="3976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 xml:space="preserve">Class A Common Stock, $0.0001 par value per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share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6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GDRX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946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The Nasdaq Stock Market LLC</w:t>
            </w:r>
          </w:p>
        </w:tc>
      </w:tr>
    </w:tbl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Indicate by check mark whether the registrant is an emerging growth company as defined in Rule 405 of the Securities Act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of 1933 (§ 230.405 of this chapter) or Rule 12b-2 of the Securities Exchange Act of 1934 (§ 240.12b-2 of this chapter).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 xml:space="preserve">Emerging growth company 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>☐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If an emerging growth company, indicate by check mark if the registrant has elected not to use the extended transition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period for complying with any new or revised financial accounting standards provided pursuant to Section 13(a) of the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 xml:space="preserve">Exchange Act. 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>☐</w:t>
      </w:r>
    </w:p>
    <w:tbl>
      <w:tblPr>
        <w:tblW w:w="169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69"/>
      </w:tblGrid>
      <w:tr>
        <w:trPr/>
        <w:tc>
          <w:tcPr>
            <w:tcW w:w="16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69" w:type="dxa"/>
            <w:tcBorders>
              <w:bottom w:val="doub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180" w:before="0" w:after="0"/>
        <w:jc w:val="left"/>
        <w:rPr>
          <w:sz w:val="24"/>
        </w:rPr>
      </w:pPr>
      <w:r>
        <w:rPr>
          <w:rFonts w:ascii="Arial;sans-serif" w:hAnsi="Arial;sans-serif"/>
          <w:b/>
          <w:i w:val="false"/>
          <w:caps w:val="false"/>
          <w:smallCaps w:val="false"/>
          <w:sz w:val="18"/>
        </w:rPr>
        <w:t>I</w:t>
      </w: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 xml:space="preserve">tem 5.02 Departure of Directors or Certain Officers; Election of Directors; Appointment of Certain Officers;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Compensatory Arrangements of Certain Officers.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/>
          <w:sz w:val="18"/>
          <w:u w:val="single"/>
        </w:rPr>
      </w:pPr>
      <w:r>
        <w:rPr>
          <w:rFonts w:ascii="Arial;sans-serif" w:hAnsi="Arial;sans-serif"/>
          <w:b w:val="false"/>
          <w:i/>
          <w:sz w:val="18"/>
          <w:u w:val="single"/>
        </w:rPr>
        <w:t>Chief Financial Officer &amp; Treasurer Transition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On July 31, 2026, GoodRx Holdings, Inc. (the “Company”) determined that Christopher McGinnis will transition from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his role of Chief Financial Officer &amp; Treasurer, effective as of 11:59 p.m. Eastern Time on August 5, 2026. Mr. McGinnis’s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departure is not a result of any disagreement with the Company on any matter relating to the Company’s operating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performance, financial reporting, accounting, internal controls, operations, policies, or practices. The Company thanks Mr.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McGinnis for his contribution and service to the Company.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On August 2, 2026, the Board of Directors (the “Board”) of the Company appointed Justin Fengler, the Company’s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current Chief Strategy &amp; Operations Officer, to also serve as Chief Financial Officer &amp; Treasurer of the Company, effective as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of August 6, 2026 (the “Effective Date”). The Board designated Mr. Fengler as principal financial officer, effective as of the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Effective Date. Mr. Fengler will continue to oversee the Company’s strategy and operations.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Mr. Fengler, 38, has served as the Company’s Chief Strategy &amp; Operations Officer since September 2025. Mr. Fengler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has been with the Company since 2016. Prior to his current role, Mr. Fengler most recently served as the Company’s Senior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Vice President of Corporate Strategy &amp; Business Operations, where he oversaw the Company’s strategic initiatives, mergers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and acquisitions, and executive operations, since 2018. Prior to joining the Company, Mr. Fengler was a healthcare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investment banker with TripleTree from 2013 to 2016 and was a consultant with Oliver Wyman prior to that. Mr. Fengler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holds degrees in business and international relations from the University of Arkansas.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In connection with his appointment as Chief Financial Officer &amp; Treasurer, Mr. Fengler will be granted (i) a restricted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 xml:space="preserve">stock unit award having an aggregate value of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$600,000 (the “RSU Award”) and (ii) a performance stock unit award having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an aggregate value of $600,000 (the “PSU Award”)</w:t>
      </w:r>
      <w:r>
        <w:rPr>
          <w:caps w:val="false"/>
          <w:smallCaps w:val="false"/>
          <w:sz w:val="24"/>
          <w:u w:val="singl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under the Company’s 2020 Incentive Award Plan. Each award is</w:t>
      </w:r>
      <w:r>
        <w:rPr>
          <w:caps w:val="false"/>
          <w:smallCaps w:val="false"/>
          <w:sz w:val="24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expected to be granted on the first trading day of the first “open window” that occurs following the Effective Date. The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number of shares of the Company’s Class A common stock subject to the RSU Award and PSU Award will be determined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based on the closing share price over the last 30 calendar days preceding the applicable grant date. The RSU Award will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vest ratably on a quarterly basis over 12 quarters, with the first quarterly vesting to occur on November 15, 2026, subject to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Mr. Fengler’s continued employment through the applicable vesting date. The PSU Award will vest ratably in three equal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installments, with one-third eligible to vest on March 3, 2027 and the two anniversaries thereafter, subject to the Company’s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achievement of certain fiscal 2026 financial performance goals certified by the Board and Mr. Fengler’s continued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 xml:space="preserve">employment through the applicable vesting dates.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In addition, Mr. Fengler will receive a one-time cash payment of $100,000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in connection with his appointment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, and was designated as a Tier 1 participant in the Company’s Executive Severance Plan.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There are no transactions in which the Company is a party and in which Mr. Fengler has a material interest subject to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disclosure under Item 404(a) of Regulation S-K. There are no family relationships between Mr. Fengler and any of the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Company’s current or former directors or executive officers.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Mr. Fengler has also entered into the Company’s standard indemnification agreement for directors and officers, the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form of which was previously filed by the Company as Exhibit 10.1 to the Registration Statement on Form S-1/A (File No.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333-248465) initially filed by the Company with the Securities and Exchange Commission on September 14, 2020.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/>
          <w:sz w:val="18"/>
          <w:u w:val="single"/>
        </w:rPr>
      </w:pPr>
      <w:r>
        <w:rPr>
          <w:rFonts w:ascii="Arial;sans-serif" w:hAnsi="Arial;sans-serif"/>
          <w:b w:val="false"/>
          <w:i/>
          <w:sz w:val="18"/>
          <w:u w:val="single"/>
        </w:rPr>
        <w:t>McGinnis Separation Agreement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In connection with Mr. McGinnis’s departure from the Company, the Company expects to enter into a Separation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Agreement &amp; Release with Mr. McGinnis (the “Separation Agreement”). Pursuant to the Separation Agreement, Mr.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McGinnis will be eligible to receive the severance payments and benefits provided to Tier I participants in the Company’s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Executive Severance Plan.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In exchange for the consideration provided in the Separation Agreement, Mr. McGinnis will agree to release and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discharge the Company and related parties from any and all claims and causes of action arising out of, or in any way related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to, agreements, events, acts or conduct at any time prior to and including the Effective Date, except for certain claims such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as such claims that by law cannot be waived as a matter of law. The Separation Agreement also contains a non-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disparagement clause and certain other customary provisions.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Following the Effective Date, Mr. McGinnis will continue to be subject to a proprietary information and invention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assignment agreement containing confidentiality, intellectual property assignment and other covenants.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z w:val="18"/>
        </w:rPr>
      </w:pPr>
      <w:r>
        <w:rPr>
          <w:rFonts w:ascii="Arial;sans-serif" w:hAnsi="Arial;sans-serif"/>
          <w:b/>
          <w:i w:val="false"/>
          <w:caps w:val="false"/>
          <w:smallCaps w:val="false"/>
          <w:sz w:val="18"/>
        </w:rPr>
        <w:t>SIGNATURE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 xml:space="preserve">Pursuant to the requirements of the Securities Exchange Act of 1934, as amended, the registrant has duly caused this report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>to be signed on its behalf by the undersigned hereunto duly authorized.</w:t>
      </w:r>
    </w:p>
    <w:tbl>
      <w:tblPr>
        <w:tblW w:w="5674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556"/>
        <w:gridCol w:w="1336"/>
        <w:gridCol w:w="361"/>
        <w:gridCol w:w="3421"/>
      </w:tblGrid>
      <w:tr>
        <w:trPr/>
        <w:tc>
          <w:tcPr>
            <w:tcW w:w="55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3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6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2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55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3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6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2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GOODRX HOLDINGS, INC.</w:t>
            </w:r>
          </w:p>
        </w:tc>
      </w:tr>
      <w:tr>
        <w:trPr/>
        <w:tc>
          <w:tcPr>
            <w:tcW w:w="55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3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6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2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55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Date:</w:t>
            </w:r>
          </w:p>
        </w:tc>
        <w:tc>
          <w:tcPr>
            <w:tcW w:w="133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  <w:t>August 5, 2026</w:t>
            </w:r>
          </w:p>
        </w:tc>
        <w:tc>
          <w:tcPr>
            <w:tcW w:w="36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By:</w:t>
            </w:r>
          </w:p>
        </w:tc>
        <w:tc>
          <w:tcPr>
            <w:tcW w:w="3421" w:type="dxa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/s/ Wendy Barnes</w:t>
            </w:r>
          </w:p>
        </w:tc>
      </w:tr>
      <w:tr>
        <w:trPr/>
        <w:tc>
          <w:tcPr>
            <w:tcW w:w="55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3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6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21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Name: Wendy Barnes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Title: Chief Executive Officer &amp; President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  <w:r>
        <w:br w:type="page"/>
      </w:r>
    </w:p>
    <w:sectPr>
      <w:type w:val="continuous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sans-serif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1152</Words>
  <Characters>6476</Characters>
  <CharactersWithSpaces>7558</CharactersWithSpaces>
  <Paragraphs>115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