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6" w:lineRule="exact"/>
        <w:rPr>
          <w:sz w:val="24"/>
          <w:szCs w:val="24"/>
          <w:color w:val="auto"/>
        </w:rPr>
      </w:pPr>
    </w:p>
    <w:p>
      <w:pPr>
        <w:ind w:left="2500"/>
        <w:spacing w:after="0"/>
        <w:rPr>
          <w:sz w:val="20"/>
          <w:szCs w:val="20"/>
          <w:color w:val="auto"/>
        </w:rPr>
      </w:pPr>
      <w:r>
        <w:rPr>
          <w:rFonts w:ascii="Arial" w:cs="Arial" w:eastAsia="Arial" w:hAnsi="Arial"/>
          <w:sz w:val="18"/>
          <w:szCs w:val="18"/>
          <w:color w:val="auto"/>
        </w:rPr>
        <w:t>________________________________________</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53" w:lineRule="exact"/>
        <w:rPr>
          <w:sz w:val="24"/>
          <w:szCs w:val="24"/>
          <w:color w:val="auto"/>
        </w:rPr>
      </w:pPr>
    </w:p>
    <w:p>
      <w:pPr>
        <w:ind w:left="2500"/>
        <w:spacing w:after="0"/>
        <w:rPr>
          <w:sz w:val="20"/>
          <w:szCs w:val="20"/>
          <w:color w:val="auto"/>
        </w:rPr>
      </w:pPr>
      <w:r>
        <w:rPr>
          <w:rFonts w:ascii="Arial" w:cs="Arial" w:eastAsia="Arial" w:hAnsi="Arial"/>
          <w:sz w:val="18"/>
          <w:szCs w:val="18"/>
          <w:color w:val="auto"/>
        </w:rPr>
        <w:t>________________________________________</w:t>
      </w:r>
    </w:p>
    <w:p>
      <w:pPr>
        <w:spacing w:after="0" w:line="104" w:lineRule="exact"/>
        <w:rPr>
          <w:sz w:val="24"/>
          <w:szCs w:val="24"/>
          <w:color w:val="auto"/>
        </w:rPr>
      </w:pPr>
    </w:p>
    <w:p>
      <w:pPr>
        <w:ind w:left="3740"/>
        <w:spacing w:after="0"/>
        <w:rPr>
          <w:sz w:val="20"/>
          <w:szCs w:val="20"/>
          <w:color w:val="auto"/>
        </w:rPr>
      </w:pPr>
      <w:r>
        <w:rPr>
          <w:rFonts w:ascii="Arial" w:cs="Arial" w:eastAsia="Arial" w:hAnsi="Arial"/>
          <w:sz w:val="16"/>
          <w:szCs w:val="16"/>
          <w:b w:val="1"/>
          <w:bCs w:val="1"/>
          <w:color w:val="auto"/>
        </w:rPr>
        <w:t>CURRENT REPORT</w:t>
      </w:r>
    </w:p>
    <w:p>
      <w:pPr>
        <w:spacing w:after="0" w:line="35" w:lineRule="exact"/>
        <w:rPr>
          <w:sz w:val="24"/>
          <w:szCs w:val="24"/>
          <w:color w:val="auto"/>
        </w:rPr>
      </w:pPr>
    </w:p>
    <w:p>
      <w:pPr>
        <w:ind w:left="3060"/>
        <w:spacing w:after="0"/>
        <w:rPr>
          <w:sz w:val="20"/>
          <w:szCs w:val="20"/>
          <w:color w:val="auto"/>
        </w:rPr>
      </w:pPr>
      <w:r>
        <w:rPr>
          <w:rFonts w:ascii="Arial" w:cs="Arial" w:eastAsia="Arial" w:hAnsi="Arial"/>
          <w:sz w:val="16"/>
          <w:szCs w:val="16"/>
          <w:b w:val="1"/>
          <w:bCs w:val="1"/>
          <w:color w:val="auto"/>
        </w:rPr>
        <w:t>PURSUANT TO SECTION 13 OR 15(d)</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June 16, 2026</w:t>
      </w:r>
    </w:p>
    <w:p>
      <w:pPr>
        <w:spacing w:after="0" w:line="99" w:lineRule="exact"/>
        <w:rPr>
          <w:sz w:val="24"/>
          <w:szCs w:val="24"/>
          <w:color w:val="auto"/>
        </w:rPr>
      </w:pPr>
    </w:p>
    <w:p>
      <w:pPr>
        <w:ind w:left="2500"/>
        <w:spacing w:after="0"/>
        <w:rPr>
          <w:sz w:val="20"/>
          <w:szCs w:val="20"/>
          <w:color w:val="auto"/>
        </w:rPr>
      </w:pPr>
      <w:r>
        <w:rPr>
          <w:rFonts w:ascii="Arial" w:cs="Arial" w:eastAsia="Arial" w:hAnsi="Arial"/>
          <w:sz w:val="18"/>
          <w:szCs w:val="18"/>
          <w:color w:val="auto"/>
        </w:rPr>
        <w:t>________________________________________</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GoodRx Holdings, Inc.</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48" w:lineRule="exact"/>
        <w:rPr>
          <w:sz w:val="24"/>
          <w:szCs w:val="24"/>
          <w:color w:val="auto"/>
        </w:rPr>
      </w:pPr>
    </w:p>
    <w:p>
      <w:pPr>
        <w:ind w:left="2500"/>
        <w:spacing w:after="0"/>
        <w:rPr>
          <w:sz w:val="20"/>
          <w:szCs w:val="20"/>
          <w:color w:val="auto"/>
        </w:rPr>
      </w:pPr>
      <w:r>
        <w:rPr>
          <w:rFonts w:ascii="Arial" w:cs="Arial" w:eastAsia="Arial" w:hAnsi="Arial"/>
          <w:sz w:val="18"/>
          <w:szCs w:val="18"/>
          <w:color w:val="auto"/>
        </w:rPr>
        <w:t>________________________________________</w:t>
      </w:r>
    </w:p>
    <w:p>
      <w:pPr>
        <w:spacing w:after="0" w:line="203" w:lineRule="exact"/>
        <w:rPr>
          <w:sz w:val="24"/>
          <w:szCs w:val="24"/>
          <w:color w:val="auto"/>
        </w:rPr>
      </w:pPr>
    </w:p>
    <w:tbl>
      <w:tblPr>
        <w:tblLayout w:type="fixed"/>
        <w:tblInd w:w="340" w:type="dxa"/>
        <w:tblCellMar>
          <w:top w:w="0" w:type="dxa"/>
          <w:left w:w="0" w:type="dxa"/>
          <w:bottom w:w="0" w:type="dxa"/>
          <w:right w:w="0" w:type="dxa"/>
        </w:tblCellMar>
      </w:tblPr>
      <w:tr>
        <w:trPr>
          <w:trHeight w:val="223"/>
        </w:trPr>
        <w:tc>
          <w:tcPr>
            <w:tcW w:w="2780" w:type="dxa"/>
            <w:vAlign w:val="bottom"/>
          </w:tcPr>
          <w:p>
            <w:pPr>
              <w:jc w:val="center"/>
              <w:ind w:right="279"/>
              <w:spacing w:after="0"/>
              <w:rPr>
                <w:sz w:val="20"/>
                <w:szCs w:val="20"/>
                <w:color w:val="auto"/>
              </w:rPr>
            </w:pPr>
            <w:r>
              <w:rPr>
                <w:rFonts w:ascii="Arial" w:cs="Arial" w:eastAsia="Arial" w:hAnsi="Arial"/>
                <w:sz w:val="16"/>
                <w:szCs w:val="16"/>
                <w:b w:val="1"/>
                <w:bCs w:val="1"/>
                <w:color w:val="auto"/>
                <w:w w:val="99"/>
              </w:rPr>
              <w:t>Delaware</w:t>
            </w:r>
          </w:p>
        </w:tc>
        <w:tc>
          <w:tcPr>
            <w:tcW w:w="3040" w:type="dxa"/>
            <w:vAlign w:val="bottom"/>
          </w:tcPr>
          <w:p>
            <w:pPr>
              <w:jc w:val="right"/>
              <w:ind w:right="1179"/>
              <w:spacing w:after="0"/>
              <w:rPr>
                <w:sz w:val="20"/>
                <w:szCs w:val="20"/>
                <w:color w:val="auto"/>
              </w:rPr>
            </w:pPr>
            <w:r>
              <w:rPr>
                <w:rFonts w:ascii="Arial" w:cs="Arial" w:eastAsia="Arial" w:hAnsi="Arial"/>
                <w:sz w:val="16"/>
                <w:szCs w:val="16"/>
                <w:b w:val="1"/>
                <w:bCs w:val="1"/>
                <w:color w:val="auto"/>
              </w:rPr>
              <w:t>001-39549</w:t>
            </w:r>
          </w:p>
        </w:tc>
        <w:tc>
          <w:tcPr>
            <w:tcW w:w="2000" w:type="dxa"/>
            <w:vAlign w:val="bottom"/>
          </w:tcPr>
          <w:p>
            <w:pPr>
              <w:jc w:val="right"/>
              <w:ind w:right="179"/>
              <w:spacing w:after="0"/>
              <w:rPr>
                <w:sz w:val="20"/>
                <w:szCs w:val="20"/>
                <w:color w:val="auto"/>
              </w:rPr>
            </w:pPr>
            <w:r>
              <w:rPr>
                <w:rFonts w:ascii="Arial" w:cs="Arial" w:eastAsia="Arial" w:hAnsi="Arial"/>
                <w:sz w:val="16"/>
                <w:szCs w:val="16"/>
                <w:b w:val="1"/>
                <w:bCs w:val="1"/>
                <w:color w:val="auto"/>
              </w:rPr>
              <w:t>47-5104396</w:t>
            </w:r>
          </w:p>
        </w:tc>
      </w:tr>
      <w:tr>
        <w:trPr>
          <w:trHeight w:val="209"/>
        </w:trPr>
        <w:tc>
          <w:tcPr>
            <w:tcW w:w="2780" w:type="dxa"/>
            <w:vAlign w:val="bottom"/>
          </w:tcPr>
          <w:p>
            <w:pPr>
              <w:jc w:val="center"/>
              <w:ind w:right="279"/>
              <w:spacing w:after="0"/>
              <w:rPr>
                <w:sz w:val="20"/>
                <w:szCs w:val="20"/>
                <w:color w:val="auto"/>
              </w:rPr>
            </w:pPr>
            <w:r>
              <w:rPr>
                <w:rFonts w:ascii="Arial" w:cs="Arial" w:eastAsia="Arial" w:hAnsi="Arial"/>
                <w:sz w:val="16"/>
                <w:szCs w:val="16"/>
                <w:b w:val="1"/>
                <w:bCs w:val="1"/>
                <w:color w:val="auto"/>
              </w:rPr>
              <w:t>(State or Other Jurisdiction</w:t>
            </w:r>
          </w:p>
        </w:tc>
        <w:tc>
          <w:tcPr>
            <w:tcW w:w="3040" w:type="dxa"/>
            <w:vAlign w:val="bottom"/>
          </w:tcPr>
          <w:p>
            <w:pPr>
              <w:jc w:val="center"/>
              <w:ind w:right="179"/>
              <w:spacing w:after="0"/>
              <w:rPr>
                <w:sz w:val="20"/>
                <w:szCs w:val="20"/>
                <w:color w:val="auto"/>
              </w:rPr>
            </w:pPr>
            <w:r>
              <w:rPr>
                <w:rFonts w:ascii="Arial" w:cs="Arial" w:eastAsia="Arial" w:hAnsi="Arial"/>
                <w:sz w:val="16"/>
                <w:szCs w:val="16"/>
                <w:b w:val="1"/>
                <w:bCs w:val="1"/>
                <w:color w:val="auto"/>
              </w:rPr>
              <w:t>(Commission File Number)</w:t>
            </w:r>
          </w:p>
        </w:tc>
        <w:tc>
          <w:tcPr>
            <w:tcW w:w="2000" w:type="dxa"/>
            <w:vAlign w:val="bottom"/>
          </w:tcPr>
          <w:p>
            <w:pPr>
              <w:jc w:val="center"/>
              <w:ind w:left="539"/>
              <w:spacing w:after="0"/>
              <w:rPr>
                <w:sz w:val="20"/>
                <w:szCs w:val="20"/>
                <w:color w:val="auto"/>
              </w:rPr>
            </w:pPr>
            <w:r>
              <w:rPr>
                <w:rFonts w:ascii="Arial" w:cs="Arial" w:eastAsia="Arial" w:hAnsi="Arial"/>
                <w:sz w:val="16"/>
                <w:szCs w:val="16"/>
                <w:b w:val="1"/>
                <w:bCs w:val="1"/>
                <w:color w:val="auto"/>
              </w:rPr>
              <w:t>(IRS Employer</w:t>
            </w:r>
          </w:p>
        </w:tc>
      </w:tr>
      <w:tr>
        <w:trPr>
          <w:trHeight w:val="223"/>
        </w:trPr>
        <w:tc>
          <w:tcPr>
            <w:tcW w:w="2780" w:type="dxa"/>
            <w:vAlign w:val="bottom"/>
          </w:tcPr>
          <w:p>
            <w:pPr>
              <w:jc w:val="center"/>
              <w:ind w:right="279"/>
              <w:spacing w:after="0"/>
              <w:rPr>
                <w:sz w:val="20"/>
                <w:szCs w:val="20"/>
                <w:color w:val="auto"/>
              </w:rPr>
            </w:pPr>
            <w:r>
              <w:rPr>
                <w:rFonts w:ascii="Arial" w:cs="Arial" w:eastAsia="Arial" w:hAnsi="Arial"/>
                <w:sz w:val="16"/>
                <w:szCs w:val="16"/>
                <w:b w:val="1"/>
                <w:bCs w:val="1"/>
                <w:color w:val="auto"/>
              </w:rPr>
              <w:t>of Incorporation)</w:t>
            </w:r>
          </w:p>
        </w:tc>
        <w:tc>
          <w:tcPr>
            <w:tcW w:w="3040" w:type="dxa"/>
            <w:vAlign w:val="bottom"/>
          </w:tcPr>
          <w:p>
            <w:pPr>
              <w:spacing w:after="0"/>
              <w:rPr>
                <w:sz w:val="19"/>
                <w:szCs w:val="19"/>
                <w:color w:val="auto"/>
              </w:rPr>
            </w:pPr>
          </w:p>
        </w:tc>
        <w:tc>
          <w:tcPr>
            <w:tcW w:w="2000" w:type="dxa"/>
            <w:vAlign w:val="bottom"/>
          </w:tcPr>
          <w:p>
            <w:pPr>
              <w:jc w:val="center"/>
              <w:ind w:left="559"/>
              <w:spacing w:after="0"/>
              <w:rPr>
                <w:sz w:val="20"/>
                <w:szCs w:val="20"/>
                <w:color w:val="auto"/>
              </w:rPr>
            </w:pPr>
            <w:r>
              <w:rPr>
                <w:rFonts w:ascii="Arial" w:cs="Arial" w:eastAsia="Arial" w:hAnsi="Arial"/>
                <w:sz w:val="16"/>
                <w:szCs w:val="16"/>
                <w:b w:val="1"/>
                <w:bCs w:val="1"/>
                <w:color w:val="auto"/>
              </w:rPr>
              <w:t>Identification No.)</w:t>
            </w:r>
          </w:p>
        </w:tc>
      </w:tr>
      <w:tr>
        <w:trPr>
          <w:trHeight w:val="432"/>
        </w:trPr>
        <w:tc>
          <w:tcPr>
            <w:tcW w:w="2780" w:type="dxa"/>
            <w:vAlign w:val="bottom"/>
          </w:tcPr>
          <w:p>
            <w:pPr>
              <w:jc w:val="center"/>
              <w:ind w:right="299"/>
              <w:spacing w:after="0"/>
              <w:rPr>
                <w:sz w:val="20"/>
                <w:szCs w:val="20"/>
                <w:color w:val="auto"/>
              </w:rPr>
            </w:pPr>
            <w:r>
              <w:rPr>
                <w:rFonts w:ascii="Arial" w:cs="Arial" w:eastAsia="Arial" w:hAnsi="Arial"/>
                <w:sz w:val="16"/>
                <w:szCs w:val="16"/>
                <w:b w:val="1"/>
                <w:bCs w:val="1"/>
                <w:color w:val="auto"/>
              </w:rPr>
              <w:t>2701 Olympic Boulevard</w:t>
            </w:r>
          </w:p>
        </w:tc>
        <w:tc>
          <w:tcPr>
            <w:tcW w:w="304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70"/>
        </w:trPr>
        <w:tc>
          <w:tcPr>
            <w:tcW w:w="2780" w:type="dxa"/>
            <w:vAlign w:val="bottom"/>
          </w:tcPr>
          <w:p>
            <w:pPr>
              <w:jc w:val="center"/>
              <w:ind w:right="299"/>
              <w:spacing w:after="0"/>
              <w:rPr>
                <w:sz w:val="20"/>
                <w:szCs w:val="20"/>
                <w:color w:val="auto"/>
              </w:rPr>
            </w:pPr>
            <w:r>
              <w:rPr>
                <w:rFonts w:ascii="Arial" w:cs="Arial" w:eastAsia="Arial" w:hAnsi="Arial"/>
                <w:sz w:val="16"/>
                <w:szCs w:val="16"/>
                <w:b w:val="1"/>
                <w:bCs w:val="1"/>
                <w:color w:val="auto"/>
              </w:rPr>
              <w:t>Santa Monica, California</w:t>
            </w:r>
          </w:p>
        </w:tc>
        <w:tc>
          <w:tcPr>
            <w:tcW w:w="3040" w:type="dxa"/>
            <w:vAlign w:val="bottom"/>
          </w:tcPr>
          <w:p>
            <w:pPr>
              <w:spacing w:after="0"/>
              <w:rPr>
                <w:sz w:val="23"/>
                <w:szCs w:val="23"/>
                <w:color w:val="auto"/>
              </w:rPr>
            </w:pPr>
          </w:p>
        </w:tc>
        <w:tc>
          <w:tcPr>
            <w:tcW w:w="2000" w:type="dxa"/>
            <w:vAlign w:val="bottom"/>
          </w:tcPr>
          <w:p>
            <w:pPr>
              <w:jc w:val="right"/>
              <w:ind w:right="379"/>
              <w:spacing w:after="0"/>
              <w:rPr>
                <w:sz w:val="20"/>
                <w:szCs w:val="20"/>
                <w:color w:val="auto"/>
              </w:rPr>
            </w:pPr>
            <w:r>
              <w:rPr>
                <w:rFonts w:ascii="Arial" w:cs="Arial" w:eastAsia="Arial" w:hAnsi="Arial"/>
                <w:sz w:val="16"/>
                <w:szCs w:val="16"/>
                <w:b w:val="1"/>
                <w:bCs w:val="1"/>
                <w:color w:val="auto"/>
              </w:rPr>
              <w:t>90404</w:t>
            </w:r>
          </w:p>
        </w:tc>
      </w:tr>
      <w:tr>
        <w:trPr>
          <w:trHeight w:val="209"/>
        </w:trPr>
        <w:tc>
          <w:tcPr>
            <w:tcW w:w="2780" w:type="dxa"/>
            <w:vAlign w:val="bottom"/>
          </w:tcPr>
          <w:p>
            <w:pPr>
              <w:jc w:val="center"/>
              <w:ind w:right="279"/>
              <w:spacing w:after="0"/>
              <w:rPr>
                <w:sz w:val="20"/>
                <w:szCs w:val="20"/>
                <w:color w:val="auto"/>
              </w:rPr>
            </w:pPr>
            <w:r>
              <w:rPr>
                <w:rFonts w:ascii="Arial" w:cs="Arial" w:eastAsia="Arial" w:hAnsi="Arial"/>
                <w:sz w:val="16"/>
                <w:szCs w:val="16"/>
                <w:b w:val="1"/>
                <w:bCs w:val="1"/>
                <w:color w:val="auto"/>
              </w:rPr>
              <w:t>(Address of Principal Executive</w:t>
            </w:r>
          </w:p>
        </w:tc>
        <w:tc>
          <w:tcPr>
            <w:tcW w:w="3040" w:type="dxa"/>
            <w:vAlign w:val="bottom"/>
          </w:tcPr>
          <w:p>
            <w:pPr>
              <w:spacing w:after="0"/>
              <w:rPr>
                <w:sz w:val="18"/>
                <w:szCs w:val="18"/>
                <w:color w:val="auto"/>
              </w:rPr>
            </w:pPr>
          </w:p>
        </w:tc>
        <w:tc>
          <w:tcPr>
            <w:tcW w:w="2000" w:type="dxa"/>
            <w:vAlign w:val="bottom"/>
          </w:tcPr>
          <w:p>
            <w:pPr>
              <w:jc w:val="center"/>
              <w:ind w:left="559"/>
              <w:spacing w:after="0"/>
              <w:rPr>
                <w:sz w:val="20"/>
                <w:szCs w:val="20"/>
                <w:color w:val="auto"/>
              </w:rPr>
            </w:pPr>
            <w:r>
              <w:rPr>
                <w:rFonts w:ascii="Arial" w:cs="Arial" w:eastAsia="Arial" w:hAnsi="Arial"/>
                <w:sz w:val="16"/>
                <w:szCs w:val="16"/>
                <w:b w:val="1"/>
                <w:bCs w:val="1"/>
                <w:color w:val="auto"/>
              </w:rPr>
              <w:t>(Zip Code)</w:t>
            </w:r>
          </w:p>
        </w:tc>
      </w:tr>
      <w:tr>
        <w:trPr>
          <w:trHeight w:val="223"/>
        </w:trPr>
        <w:tc>
          <w:tcPr>
            <w:tcW w:w="2780" w:type="dxa"/>
            <w:vAlign w:val="bottom"/>
          </w:tcPr>
          <w:p>
            <w:pPr>
              <w:jc w:val="center"/>
              <w:ind w:right="299"/>
              <w:spacing w:after="0"/>
              <w:rPr>
                <w:sz w:val="20"/>
                <w:szCs w:val="20"/>
                <w:color w:val="auto"/>
              </w:rPr>
            </w:pPr>
            <w:r>
              <w:rPr>
                <w:rFonts w:ascii="Arial" w:cs="Arial" w:eastAsia="Arial" w:hAnsi="Arial"/>
                <w:sz w:val="16"/>
                <w:szCs w:val="16"/>
                <w:b w:val="1"/>
                <w:bCs w:val="1"/>
                <w:color w:val="auto"/>
              </w:rPr>
              <w:t>Offices)</w:t>
            </w:r>
          </w:p>
        </w:tc>
        <w:tc>
          <w:tcPr>
            <w:tcW w:w="3040" w:type="dxa"/>
            <w:vAlign w:val="bottom"/>
          </w:tcPr>
          <w:p>
            <w:pPr>
              <w:spacing w:after="0"/>
              <w:rPr>
                <w:sz w:val="19"/>
                <w:szCs w:val="19"/>
                <w:color w:val="auto"/>
              </w:rPr>
            </w:pPr>
          </w:p>
        </w:tc>
        <w:tc>
          <w:tcPr>
            <w:tcW w:w="2000" w:type="dxa"/>
            <w:vAlign w:val="bottom"/>
          </w:tcPr>
          <w:p>
            <w:pPr>
              <w:spacing w:after="0"/>
              <w:rPr>
                <w:sz w:val="19"/>
                <w:szCs w:val="19"/>
                <w:color w:val="auto"/>
              </w:rPr>
            </w:pPr>
          </w:p>
        </w:tc>
      </w:tr>
    </w:tbl>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 (855) 268-2822</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48" w:lineRule="exact"/>
        <w:rPr>
          <w:sz w:val="24"/>
          <w:szCs w:val="24"/>
          <w:color w:val="auto"/>
        </w:rPr>
      </w:pPr>
    </w:p>
    <w:p>
      <w:pPr>
        <w:ind w:left="2500"/>
        <w:spacing w:after="0"/>
        <w:rPr>
          <w:sz w:val="20"/>
          <w:szCs w:val="20"/>
          <w:color w:val="auto"/>
        </w:rPr>
      </w:pPr>
      <w:r>
        <w:rPr>
          <w:rFonts w:ascii="Arial" w:cs="Arial" w:eastAsia="Arial" w:hAnsi="Arial"/>
          <w:sz w:val="18"/>
          <w:szCs w:val="18"/>
          <w:color w:val="auto"/>
        </w:rPr>
        <w:t>________________________________________</w:t>
      </w:r>
    </w:p>
    <w:p>
      <w:pPr>
        <w:spacing w:after="0" w:line="122" w:lineRule="exact"/>
        <w:rPr>
          <w:sz w:val="24"/>
          <w:szCs w:val="24"/>
          <w:color w:val="auto"/>
        </w:rPr>
      </w:pPr>
    </w:p>
    <w:p>
      <w:pPr>
        <w:ind w:left="40" w:right="639"/>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42" w:lineRule="exact"/>
        <w:rPr>
          <w:sz w:val="24"/>
          <w:szCs w:val="24"/>
          <w:color w:val="auto"/>
        </w:rPr>
      </w:pPr>
    </w:p>
    <w:p>
      <w:pPr>
        <w:ind w:left="360" w:hanging="250"/>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26" w:lineRule="exact"/>
        <w:rPr>
          <w:rFonts w:ascii="MS PGothic" w:cs="MS PGothic" w:eastAsia="MS PGothic" w:hAnsi="MS PGothic"/>
          <w:sz w:val="16"/>
          <w:szCs w:val="16"/>
          <w:color w:val="auto"/>
        </w:rPr>
      </w:pPr>
    </w:p>
    <w:p>
      <w:pPr>
        <w:ind w:left="360" w:hanging="250"/>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40" w:lineRule="exact"/>
        <w:rPr>
          <w:rFonts w:ascii="MS PGothic" w:cs="MS PGothic" w:eastAsia="MS PGothic" w:hAnsi="MS PGothic"/>
          <w:sz w:val="16"/>
          <w:szCs w:val="16"/>
          <w:color w:val="auto"/>
        </w:rPr>
      </w:pPr>
    </w:p>
    <w:p>
      <w:pPr>
        <w:ind w:left="360" w:hanging="250"/>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40" w:lineRule="exact"/>
        <w:rPr>
          <w:rFonts w:ascii="MS PGothic" w:cs="MS PGothic" w:eastAsia="MS PGothic" w:hAnsi="MS PGothic"/>
          <w:sz w:val="16"/>
          <w:szCs w:val="16"/>
          <w:color w:val="auto"/>
        </w:rPr>
      </w:pPr>
    </w:p>
    <w:p>
      <w:pPr>
        <w:ind w:left="360" w:hanging="250"/>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35" w:lineRule="exact"/>
        <w:rPr>
          <w:sz w:val="24"/>
          <w:szCs w:val="24"/>
          <w:color w:val="auto"/>
        </w:rPr>
      </w:pPr>
    </w:p>
    <w:tbl>
      <w:tblPr>
        <w:tblLayout w:type="fixed"/>
        <w:tblInd w:w="40" w:type="dxa"/>
        <w:tblCellMar>
          <w:top w:w="0" w:type="dxa"/>
          <w:left w:w="0" w:type="dxa"/>
          <w:bottom w:w="0" w:type="dxa"/>
          <w:right w:w="0" w:type="dxa"/>
        </w:tblCellMar>
      </w:tblPr>
      <w:tr>
        <w:trPr>
          <w:trHeight w:val="189"/>
        </w:trPr>
        <w:tc>
          <w:tcPr>
            <w:tcW w:w="3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8"/>
              </w:rPr>
              <w:t>Trading</w:t>
            </w:r>
          </w:p>
        </w:tc>
        <w:tc>
          <w:tcPr>
            <w:tcW w:w="3640" w:type="dxa"/>
            <w:vAlign w:val="bottom"/>
          </w:tcPr>
          <w:p>
            <w:pPr>
              <w:spacing w:after="0"/>
              <w:rPr>
                <w:sz w:val="16"/>
                <w:szCs w:val="16"/>
                <w:color w:val="auto"/>
              </w:rPr>
            </w:pPr>
          </w:p>
        </w:tc>
      </w:tr>
      <w:tr>
        <w:trPr>
          <w:trHeight w:val="203"/>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40" w:type="dxa"/>
            <w:vAlign w:val="bottom"/>
          </w:tcPr>
          <w:p>
            <w:pPr>
              <w:spacing w:after="0"/>
              <w:rPr>
                <w:sz w:val="17"/>
                <w:szCs w:val="17"/>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Symbol(s)</w:t>
            </w:r>
          </w:p>
        </w:tc>
        <w:tc>
          <w:tcPr>
            <w:tcW w:w="40" w:type="dxa"/>
            <w:vAlign w:val="bottom"/>
          </w:tcPr>
          <w:p>
            <w:pPr>
              <w:spacing w:after="0"/>
              <w:rPr>
                <w:sz w:val="17"/>
                <w:szCs w:val="17"/>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195"/>
        </w:trPr>
        <w:tc>
          <w:tcPr>
            <w:tcW w:w="3700" w:type="dxa"/>
            <w:vAlign w:val="bottom"/>
            <w:gridSpan w:val="2"/>
          </w:tcPr>
          <w:p>
            <w:pPr>
              <w:jc w:val="center"/>
              <w:spacing w:after="0"/>
              <w:rPr>
                <w:sz w:val="20"/>
                <w:szCs w:val="20"/>
                <w:color w:val="auto"/>
              </w:rPr>
            </w:pPr>
            <w:r>
              <w:rPr>
                <w:rFonts w:ascii="Arial" w:cs="Arial" w:eastAsia="Arial" w:hAnsi="Arial"/>
                <w:sz w:val="16"/>
                <w:szCs w:val="16"/>
                <w:color w:val="auto"/>
              </w:rPr>
              <w:t>Class A Common Stock, $0.0001 par value per</w:t>
            </w:r>
          </w:p>
        </w:tc>
        <w:tc>
          <w:tcPr>
            <w:tcW w:w="1580" w:type="dxa"/>
            <w:vAlign w:val="bottom"/>
            <w:gridSpan w:val="2"/>
          </w:tcPr>
          <w:p>
            <w:pPr>
              <w:jc w:val="center"/>
              <w:ind w:right="40"/>
              <w:spacing w:after="0"/>
              <w:rPr>
                <w:sz w:val="20"/>
                <w:szCs w:val="20"/>
                <w:color w:val="auto"/>
              </w:rPr>
            </w:pPr>
            <w:r>
              <w:rPr>
                <w:rFonts w:ascii="Arial" w:cs="Arial" w:eastAsia="Arial" w:hAnsi="Arial"/>
                <w:sz w:val="16"/>
                <w:szCs w:val="16"/>
                <w:color w:val="auto"/>
                <w:w w:val="99"/>
              </w:rPr>
              <w:t>GDRX</w:t>
            </w:r>
          </w:p>
        </w:tc>
        <w:tc>
          <w:tcPr>
            <w:tcW w:w="364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r>
      <w:tr>
        <w:trPr>
          <w:trHeight w:val="215"/>
        </w:trPr>
        <w:tc>
          <w:tcPr>
            <w:tcW w:w="3700" w:type="dxa"/>
            <w:vAlign w:val="bottom"/>
            <w:gridSpan w:val="2"/>
          </w:tcPr>
          <w:p>
            <w:pPr>
              <w:jc w:val="center"/>
              <w:ind w:right="20"/>
              <w:spacing w:after="0"/>
              <w:rPr>
                <w:sz w:val="20"/>
                <w:szCs w:val="20"/>
                <w:color w:val="auto"/>
              </w:rPr>
            </w:pPr>
            <w:r>
              <w:rPr>
                <w:rFonts w:ascii="Arial" w:cs="Arial" w:eastAsia="Arial" w:hAnsi="Arial"/>
                <w:sz w:val="16"/>
                <w:szCs w:val="16"/>
                <w:color w:val="auto"/>
                <w:w w:val="99"/>
              </w:rPr>
              <w:t>share</w:t>
            </w:r>
          </w:p>
        </w:tc>
        <w:tc>
          <w:tcPr>
            <w:tcW w:w="1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40" w:type="dxa"/>
            <w:vAlign w:val="bottom"/>
          </w:tcPr>
          <w:p>
            <w:pPr>
              <w:spacing w:after="0"/>
              <w:rPr>
                <w:sz w:val="18"/>
                <w:szCs w:val="18"/>
                <w:color w:val="auto"/>
              </w:rPr>
            </w:pPr>
          </w:p>
        </w:tc>
      </w:tr>
    </w:tbl>
    <w:p>
      <w:pPr>
        <w:spacing w:after="0" w:line="163" w:lineRule="exact"/>
        <w:rPr>
          <w:sz w:val="24"/>
          <w:szCs w:val="24"/>
          <w:color w:val="auto"/>
        </w:rPr>
      </w:pPr>
    </w:p>
    <w:p>
      <w:pPr>
        <w:ind w:left="40" w:right="219"/>
        <w:spacing w:after="0" w:line="30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 w:lineRule="exact"/>
        <w:rPr>
          <w:sz w:val="24"/>
          <w:szCs w:val="24"/>
          <w:color w:val="auto"/>
        </w:rPr>
      </w:pPr>
    </w:p>
    <w:p>
      <w:pPr>
        <w:ind w:left="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62" w:lineRule="exact"/>
        <w:rPr>
          <w:sz w:val="24"/>
          <w:szCs w:val="24"/>
          <w:color w:val="auto"/>
        </w:rPr>
      </w:pPr>
    </w:p>
    <w:p>
      <w:pPr>
        <w:jc w:val="both"/>
        <w:ind w:left="40" w:right="539"/>
        <w:spacing w:after="0" w:line="205"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9019"/>
          </w:cols>
          <w:pgMar w:left="1440" w:top="1297" w:right="1440" w:bottom="1440" w:gutter="0" w:footer="0" w:header="0"/>
        </w:sectPr>
      </w:pPr>
    </w:p>
    <w:bookmarkStart w:id="1" w:name="page2"/>
    <w:bookmarkEnd w:id="1"/>
    <w:p>
      <w:pPr>
        <w:ind w:lef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Item 5.07. Submission of Matters to a Vote of Security Holders</w:t>
      </w:r>
    </w:p>
    <w:p>
      <w:pPr>
        <w:spacing w:after="0" w:line="100" w:lineRule="exact"/>
        <w:rPr>
          <w:sz w:val="20"/>
          <w:szCs w:val="20"/>
          <w:color w:val="auto"/>
        </w:rPr>
      </w:pPr>
    </w:p>
    <w:p>
      <w:pPr>
        <w:ind w:left="40" w:right="39" w:firstLine="441"/>
        <w:spacing w:after="0" w:line="260" w:lineRule="auto"/>
        <w:rPr>
          <w:sz w:val="20"/>
          <w:szCs w:val="20"/>
          <w:color w:val="auto"/>
        </w:rPr>
      </w:pPr>
      <w:r>
        <w:rPr>
          <w:rFonts w:ascii="Arial" w:cs="Arial" w:eastAsia="Arial" w:hAnsi="Arial"/>
          <w:sz w:val="16"/>
          <w:szCs w:val="16"/>
          <w:color w:val="auto"/>
        </w:rPr>
        <w:t>On June 16, 2026, GoodRx Holdings, Inc. (the “Company”) held its Annual Meeting of Stockholders. Holders of the Company’s Class A common stock were entitled to one vote per share held as of the close of business on April 20, 2026 (the “Record Date”) and holders of the Company’s Class B common stock were entitled to ten votes per share held as of the Record Date. A total of 89,932,951 shares of the Company’s Class A common stock and 233,964,187 shares of the Company’s Class B common stock were present in person or represented by proxy at the meeting, representing approximately 99.4% of the combined voting power of the Company’s Class A and Class B common stock as of the Record Date. The following are the final voting results for the proposals considered and voted upon at the meeting, each of which were described in the Company’s Definitive Proxy Statement filed with the Securities and Exchange Commission on April 29, 2026.</w:t>
      </w:r>
    </w:p>
    <w:p>
      <w:pPr>
        <w:spacing w:after="0" w:line="69" w:lineRule="exact"/>
        <w:rPr>
          <w:sz w:val="20"/>
          <w:szCs w:val="20"/>
          <w:color w:val="auto"/>
        </w:rPr>
      </w:pPr>
    </w:p>
    <w:p>
      <w:pPr>
        <w:ind w:left="40" w:right="479" w:firstLine="441"/>
        <w:spacing w:after="0" w:line="275" w:lineRule="auto"/>
        <w:rPr>
          <w:sz w:val="20"/>
          <w:szCs w:val="20"/>
          <w:color w:val="auto"/>
        </w:rPr>
      </w:pPr>
      <w:r>
        <w:rPr>
          <w:rFonts w:ascii="Arial" w:cs="Arial" w:eastAsia="Arial" w:hAnsi="Arial"/>
          <w:sz w:val="16"/>
          <w:szCs w:val="16"/>
          <w:color w:val="auto"/>
        </w:rPr>
        <w:t>Item 1 — Election of three Class III directors for a term of office expiring on the date of the Annual Meeting of Stockholders to be held in 2029 and until their respective successors have been duly elected and qualified or until their respective earlier death, resignation or removal.</w:t>
      </w:r>
    </w:p>
    <w:p>
      <w:pPr>
        <w:spacing w:after="0" w:line="137"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2160" w:type="dxa"/>
            <w:vAlign w:val="bottom"/>
          </w:tcPr>
          <w:p>
            <w:pPr>
              <w:spacing w:after="0"/>
              <w:rPr>
                <w:sz w:val="18"/>
                <w:szCs w:val="18"/>
                <w:color w:val="auto"/>
              </w:rPr>
            </w:pPr>
          </w:p>
        </w:tc>
        <w:tc>
          <w:tcPr>
            <w:tcW w:w="2120" w:type="dxa"/>
            <w:vAlign w:val="bottom"/>
          </w:tcPr>
          <w:p>
            <w:pPr>
              <w:jc w:val="center"/>
              <w:ind w:left="59"/>
              <w:spacing w:after="0"/>
              <w:rPr>
                <w:sz w:val="20"/>
                <w:szCs w:val="20"/>
                <w:color w:val="auto"/>
              </w:rPr>
            </w:pPr>
            <w:r>
              <w:rPr>
                <w:rFonts w:ascii="Arial" w:cs="Arial" w:eastAsia="Arial" w:hAnsi="Arial"/>
                <w:sz w:val="16"/>
                <w:szCs w:val="16"/>
                <w:color w:val="auto"/>
                <w:w w:val="98"/>
              </w:rPr>
              <w:t>Votes FOR</w:t>
            </w:r>
          </w:p>
        </w:tc>
        <w:tc>
          <w:tcPr>
            <w:tcW w:w="2300" w:type="dxa"/>
            <w:vAlign w:val="bottom"/>
          </w:tcPr>
          <w:p>
            <w:pPr>
              <w:ind w:left="460"/>
              <w:spacing w:after="0"/>
              <w:rPr>
                <w:sz w:val="20"/>
                <w:szCs w:val="20"/>
                <w:color w:val="auto"/>
              </w:rPr>
            </w:pPr>
            <w:r>
              <w:rPr>
                <w:rFonts w:ascii="Arial" w:cs="Arial" w:eastAsia="Arial" w:hAnsi="Arial"/>
                <w:sz w:val="16"/>
                <w:szCs w:val="16"/>
                <w:color w:val="auto"/>
              </w:rPr>
              <w:t>Votes WITHHELD</w:t>
            </w:r>
          </w:p>
        </w:tc>
        <w:tc>
          <w:tcPr>
            <w:tcW w:w="1800" w:type="dxa"/>
            <w:vAlign w:val="bottom"/>
          </w:tcPr>
          <w:p>
            <w:pPr>
              <w:jc w:val="center"/>
              <w:ind w:left="439"/>
              <w:spacing w:after="0"/>
              <w:rPr>
                <w:sz w:val="20"/>
                <w:szCs w:val="20"/>
                <w:color w:val="auto"/>
              </w:rPr>
            </w:pPr>
            <w:r>
              <w:rPr>
                <w:rFonts w:ascii="Arial" w:cs="Arial" w:eastAsia="Arial" w:hAnsi="Arial"/>
                <w:sz w:val="16"/>
                <w:szCs w:val="16"/>
                <w:color w:val="auto"/>
              </w:rPr>
              <w:t>Broker Non-Votes</w:t>
            </w:r>
          </w:p>
        </w:tc>
      </w:tr>
      <w:tr>
        <w:trPr>
          <w:trHeight w:val="243"/>
        </w:trPr>
        <w:tc>
          <w:tcPr>
            <w:tcW w:w="2160" w:type="dxa"/>
            <w:vAlign w:val="bottom"/>
          </w:tcPr>
          <w:p>
            <w:pPr>
              <w:spacing w:after="0"/>
              <w:rPr>
                <w:sz w:val="20"/>
                <w:szCs w:val="20"/>
                <w:color w:val="auto"/>
              </w:rPr>
            </w:pPr>
            <w:r>
              <w:rPr>
                <w:rFonts w:ascii="Arial" w:cs="Arial" w:eastAsia="Arial" w:hAnsi="Arial"/>
                <w:sz w:val="16"/>
                <w:szCs w:val="16"/>
                <w:color w:val="auto"/>
              </w:rPr>
              <w:t>Wendy Barnes</w:t>
            </w:r>
          </w:p>
        </w:tc>
        <w:tc>
          <w:tcPr>
            <w:tcW w:w="2120" w:type="dxa"/>
            <w:vAlign w:val="bottom"/>
          </w:tcPr>
          <w:p>
            <w:pPr>
              <w:jc w:val="center"/>
              <w:ind w:left="79"/>
              <w:spacing w:after="0"/>
              <w:rPr>
                <w:sz w:val="20"/>
                <w:szCs w:val="20"/>
                <w:color w:val="auto"/>
              </w:rPr>
            </w:pPr>
            <w:r>
              <w:rPr>
                <w:rFonts w:ascii="Arial" w:cs="Arial" w:eastAsia="Arial" w:hAnsi="Arial"/>
                <w:sz w:val="16"/>
                <w:szCs w:val="16"/>
                <w:color w:val="auto"/>
              </w:rPr>
              <w:t>2,379,952,868</w:t>
            </w:r>
          </w:p>
        </w:tc>
        <w:tc>
          <w:tcPr>
            <w:tcW w:w="2300" w:type="dxa"/>
            <w:vAlign w:val="bottom"/>
          </w:tcPr>
          <w:p>
            <w:pPr>
              <w:jc w:val="center"/>
              <w:ind w:left="119"/>
              <w:spacing w:after="0"/>
              <w:rPr>
                <w:sz w:val="20"/>
                <w:szCs w:val="20"/>
                <w:color w:val="auto"/>
              </w:rPr>
            </w:pPr>
            <w:r>
              <w:rPr>
                <w:rFonts w:ascii="Arial" w:cs="Arial" w:eastAsia="Arial" w:hAnsi="Arial"/>
                <w:sz w:val="16"/>
                <w:szCs w:val="16"/>
                <w:color w:val="auto"/>
              </w:rPr>
              <w:t>10,078,860</w:t>
            </w:r>
          </w:p>
        </w:tc>
        <w:tc>
          <w:tcPr>
            <w:tcW w:w="1800" w:type="dxa"/>
            <w:vAlign w:val="bottom"/>
          </w:tcPr>
          <w:p>
            <w:pPr>
              <w:jc w:val="center"/>
              <w:ind w:left="479"/>
              <w:spacing w:after="0"/>
              <w:rPr>
                <w:sz w:val="20"/>
                <w:szCs w:val="20"/>
                <w:color w:val="auto"/>
              </w:rPr>
            </w:pPr>
            <w:r>
              <w:rPr>
                <w:rFonts w:ascii="Arial" w:cs="Arial" w:eastAsia="Arial" w:hAnsi="Arial"/>
                <w:sz w:val="16"/>
                <w:szCs w:val="16"/>
                <w:color w:val="auto"/>
                <w:w w:val="99"/>
              </w:rPr>
              <w:t>39,543,093</w:t>
            </w:r>
          </w:p>
        </w:tc>
      </w:tr>
      <w:tr>
        <w:trPr>
          <w:trHeight w:val="257"/>
        </w:trPr>
        <w:tc>
          <w:tcPr>
            <w:tcW w:w="2160" w:type="dxa"/>
            <w:vAlign w:val="bottom"/>
          </w:tcPr>
          <w:p>
            <w:pPr>
              <w:spacing w:after="0"/>
              <w:rPr>
                <w:sz w:val="20"/>
                <w:szCs w:val="20"/>
                <w:color w:val="auto"/>
              </w:rPr>
            </w:pPr>
            <w:r>
              <w:rPr>
                <w:rFonts w:ascii="Arial" w:cs="Arial" w:eastAsia="Arial" w:hAnsi="Arial"/>
                <w:sz w:val="16"/>
                <w:szCs w:val="16"/>
                <w:color w:val="auto"/>
              </w:rPr>
              <w:t>Ronald E. Bruehlman</w:t>
            </w:r>
          </w:p>
        </w:tc>
        <w:tc>
          <w:tcPr>
            <w:tcW w:w="2120" w:type="dxa"/>
            <w:vAlign w:val="bottom"/>
          </w:tcPr>
          <w:p>
            <w:pPr>
              <w:jc w:val="center"/>
              <w:ind w:left="79"/>
              <w:spacing w:after="0"/>
              <w:rPr>
                <w:sz w:val="20"/>
                <w:szCs w:val="20"/>
                <w:color w:val="auto"/>
              </w:rPr>
            </w:pPr>
            <w:r>
              <w:rPr>
                <w:rFonts w:ascii="Arial" w:cs="Arial" w:eastAsia="Arial" w:hAnsi="Arial"/>
                <w:sz w:val="16"/>
                <w:szCs w:val="16"/>
                <w:color w:val="auto"/>
              </w:rPr>
              <w:t>2,380,863,641</w:t>
            </w:r>
          </w:p>
        </w:tc>
        <w:tc>
          <w:tcPr>
            <w:tcW w:w="2300" w:type="dxa"/>
            <w:vAlign w:val="bottom"/>
          </w:tcPr>
          <w:p>
            <w:pPr>
              <w:jc w:val="center"/>
              <w:ind w:left="139"/>
              <w:spacing w:after="0"/>
              <w:rPr>
                <w:sz w:val="20"/>
                <w:szCs w:val="20"/>
                <w:color w:val="auto"/>
              </w:rPr>
            </w:pPr>
            <w:r>
              <w:rPr>
                <w:rFonts w:ascii="Arial" w:cs="Arial" w:eastAsia="Arial" w:hAnsi="Arial"/>
                <w:sz w:val="16"/>
                <w:szCs w:val="16"/>
                <w:color w:val="auto"/>
              </w:rPr>
              <w:t>9,168,087</w:t>
            </w:r>
          </w:p>
        </w:tc>
        <w:tc>
          <w:tcPr>
            <w:tcW w:w="1800" w:type="dxa"/>
            <w:vAlign w:val="bottom"/>
          </w:tcPr>
          <w:p>
            <w:pPr>
              <w:jc w:val="center"/>
              <w:ind w:left="479"/>
              <w:spacing w:after="0"/>
              <w:rPr>
                <w:sz w:val="20"/>
                <w:szCs w:val="20"/>
                <w:color w:val="auto"/>
              </w:rPr>
            </w:pPr>
            <w:r>
              <w:rPr>
                <w:rFonts w:ascii="Arial" w:cs="Arial" w:eastAsia="Arial" w:hAnsi="Arial"/>
                <w:sz w:val="16"/>
                <w:szCs w:val="16"/>
                <w:color w:val="auto"/>
                <w:w w:val="99"/>
              </w:rPr>
              <w:t>39,543,093</w:t>
            </w:r>
          </w:p>
        </w:tc>
      </w:tr>
      <w:tr>
        <w:trPr>
          <w:trHeight w:val="257"/>
        </w:trPr>
        <w:tc>
          <w:tcPr>
            <w:tcW w:w="2160" w:type="dxa"/>
            <w:vAlign w:val="bottom"/>
          </w:tcPr>
          <w:p>
            <w:pPr>
              <w:spacing w:after="0"/>
              <w:rPr>
                <w:sz w:val="20"/>
                <w:szCs w:val="20"/>
                <w:color w:val="auto"/>
              </w:rPr>
            </w:pPr>
            <w:r>
              <w:rPr>
                <w:rFonts w:ascii="Arial" w:cs="Arial" w:eastAsia="Arial" w:hAnsi="Arial"/>
                <w:sz w:val="16"/>
                <w:szCs w:val="16"/>
                <w:color w:val="auto"/>
              </w:rPr>
              <w:t>Gregory Mondre</w:t>
            </w:r>
          </w:p>
        </w:tc>
        <w:tc>
          <w:tcPr>
            <w:tcW w:w="2120" w:type="dxa"/>
            <w:vAlign w:val="bottom"/>
          </w:tcPr>
          <w:p>
            <w:pPr>
              <w:jc w:val="center"/>
              <w:ind w:left="79"/>
              <w:spacing w:after="0"/>
              <w:rPr>
                <w:sz w:val="20"/>
                <w:szCs w:val="20"/>
                <w:color w:val="auto"/>
              </w:rPr>
            </w:pPr>
            <w:r>
              <w:rPr>
                <w:rFonts w:ascii="Arial" w:cs="Arial" w:eastAsia="Arial" w:hAnsi="Arial"/>
                <w:sz w:val="16"/>
                <w:szCs w:val="16"/>
                <w:color w:val="auto"/>
              </w:rPr>
              <w:t>2,382,474,121</w:t>
            </w:r>
          </w:p>
        </w:tc>
        <w:tc>
          <w:tcPr>
            <w:tcW w:w="2300" w:type="dxa"/>
            <w:vAlign w:val="bottom"/>
          </w:tcPr>
          <w:p>
            <w:pPr>
              <w:jc w:val="center"/>
              <w:ind w:left="139"/>
              <w:spacing w:after="0"/>
              <w:rPr>
                <w:sz w:val="20"/>
                <w:szCs w:val="20"/>
                <w:color w:val="auto"/>
              </w:rPr>
            </w:pPr>
            <w:r>
              <w:rPr>
                <w:rFonts w:ascii="Arial" w:cs="Arial" w:eastAsia="Arial" w:hAnsi="Arial"/>
                <w:sz w:val="16"/>
                <w:szCs w:val="16"/>
                <w:color w:val="auto"/>
              </w:rPr>
              <w:t>7,557,607</w:t>
            </w:r>
          </w:p>
        </w:tc>
        <w:tc>
          <w:tcPr>
            <w:tcW w:w="1800" w:type="dxa"/>
            <w:vAlign w:val="bottom"/>
          </w:tcPr>
          <w:p>
            <w:pPr>
              <w:jc w:val="center"/>
              <w:ind w:left="479"/>
              <w:spacing w:after="0"/>
              <w:rPr>
                <w:sz w:val="20"/>
                <w:szCs w:val="20"/>
                <w:color w:val="auto"/>
              </w:rPr>
            </w:pPr>
            <w:r>
              <w:rPr>
                <w:rFonts w:ascii="Arial" w:cs="Arial" w:eastAsia="Arial" w:hAnsi="Arial"/>
                <w:sz w:val="16"/>
                <w:szCs w:val="16"/>
                <w:color w:val="auto"/>
                <w:w w:val="99"/>
              </w:rPr>
              <w:t>39,543,093</w:t>
            </w:r>
          </w:p>
        </w:tc>
      </w:tr>
    </w:tbl>
    <w:p>
      <w:pPr>
        <w:spacing w:after="0" w:line="177" w:lineRule="exact"/>
        <w:rPr>
          <w:sz w:val="20"/>
          <w:szCs w:val="20"/>
          <w:color w:val="auto"/>
        </w:rPr>
      </w:pPr>
    </w:p>
    <w:p>
      <w:pPr>
        <w:ind w:left="40" w:right="259" w:firstLine="441"/>
        <w:spacing w:after="0" w:line="286" w:lineRule="auto"/>
        <w:rPr>
          <w:sz w:val="20"/>
          <w:szCs w:val="20"/>
          <w:color w:val="auto"/>
        </w:rPr>
      </w:pPr>
      <w:r>
        <w:rPr>
          <w:rFonts w:ascii="Arial" w:cs="Arial" w:eastAsia="Arial" w:hAnsi="Arial"/>
          <w:sz w:val="16"/>
          <w:szCs w:val="16"/>
          <w:color w:val="auto"/>
        </w:rPr>
        <w:t>Item 2 — Ratification of the appointment of KPMG LLP as the Company’s independent registered public accounting firm for the fiscal year ending December 31, 2026.</w:t>
      </w:r>
    </w:p>
    <w:p>
      <w:pPr>
        <w:sectPr>
          <w:pgSz w:w="11900" w:h="16838" w:orient="portrait"/>
          <w:cols w:equalWidth="0" w:num="1">
            <w:col w:w="9019"/>
          </w:cols>
          <w:pgMar w:left="1440" w:top="1070" w:right="1440" w:bottom="1440" w:gutter="0" w:footer="0" w:header="0"/>
        </w:sectPr>
      </w:pPr>
    </w:p>
    <w:p>
      <w:pPr>
        <w:spacing w:after="0" w:line="223" w:lineRule="exact"/>
        <w:rPr>
          <w:sz w:val="20"/>
          <w:szCs w:val="20"/>
          <w:color w:val="auto"/>
        </w:rPr>
      </w:pPr>
    </w:p>
    <w:p>
      <w:pPr>
        <w:ind w:left="780"/>
        <w:spacing w:after="0"/>
        <w:rPr>
          <w:sz w:val="20"/>
          <w:szCs w:val="20"/>
          <w:color w:val="auto"/>
        </w:rPr>
      </w:pPr>
      <w:r>
        <w:rPr>
          <w:rFonts w:ascii="Arial" w:cs="Arial" w:eastAsia="Arial" w:hAnsi="Arial"/>
          <w:sz w:val="16"/>
          <w:szCs w:val="16"/>
          <w:color w:val="auto"/>
        </w:rPr>
        <w:t>Votes FOR</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Votes AGAINST</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jc w:val="center"/>
        <w:ind w:right="180"/>
        <w:spacing w:after="0"/>
        <w:rPr>
          <w:sz w:val="20"/>
          <w:szCs w:val="20"/>
          <w:color w:val="auto"/>
        </w:rPr>
      </w:pPr>
      <w:r>
        <w:rPr>
          <w:rFonts w:ascii="Arial" w:cs="Arial" w:eastAsia="Arial" w:hAnsi="Arial"/>
          <w:sz w:val="15"/>
          <w:szCs w:val="15"/>
          <w:color w:val="auto"/>
        </w:rPr>
        <w:t>Votes ABSTAINED</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Broker Non-Votes</w:t>
      </w:r>
    </w:p>
    <w:p>
      <w:pPr>
        <w:spacing w:after="0" w:line="59" w:lineRule="exact"/>
        <w:rPr>
          <w:sz w:val="20"/>
          <w:szCs w:val="20"/>
          <w:color w:val="auto"/>
        </w:rPr>
      </w:pPr>
    </w:p>
    <w:p>
      <w:pPr>
        <w:sectPr>
          <w:pgSz w:w="11900" w:h="16838" w:orient="portrait"/>
          <w:cols w:equalWidth="0" w:num="4">
            <w:col w:w="2100" w:space="720"/>
            <w:col w:w="1400" w:space="720"/>
            <w:col w:w="1540" w:space="720"/>
            <w:col w:w="1819"/>
          </w:cols>
          <w:pgMar w:left="1440" w:top="1070" w:right="1440" w:bottom="1440" w:gutter="0" w:footer="0" w:header="0"/>
          <w:type w:val="continuous"/>
        </w:sectPr>
      </w:pPr>
    </w:p>
    <w:p>
      <w:pPr>
        <w:ind w:left="680"/>
        <w:spacing w:after="0"/>
        <w:rPr>
          <w:sz w:val="20"/>
          <w:szCs w:val="20"/>
          <w:color w:val="auto"/>
        </w:rPr>
      </w:pPr>
      <w:r>
        <w:rPr>
          <w:rFonts w:ascii="Arial" w:cs="Arial" w:eastAsia="Arial" w:hAnsi="Arial"/>
          <w:sz w:val="16"/>
          <w:szCs w:val="16"/>
          <w:color w:val="auto"/>
        </w:rPr>
        <w:t>2,429,055,999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335,716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183,106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0</w:t>
      </w:r>
    </w:p>
    <w:p>
      <w:pPr>
        <w:spacing w:after="0" w:line="216" w:lineRule="exact"/>
        <w:rPr>
          <w:sz w:val="20"/>
          <w:szCs w:val="20"/>
          <w:color w:val="auto"/>
        </w:rPr>
      </w:pPr>
    </w:p>
    <w:p>
      <w:pPr>
        <w:sectPr>
          <w:pgSz w:w="11900" w:h="16838" w:orient="portrait"/>
          <w:cols w:equalWidth="0" w:num="4">
            <w:col w:w="2400" w:space="720"/>
            <w:col w:w="1500" w:space="720"/>
            <w:col w:w="1760" w:space="720"/>
            <w:col w:w="1199"/>
          </w:cols>
          <w:pgMar w:left="1440" w:top="1070" w:right="1440" w:bottom="1440" w:gutter="0" w:footer="0" w:header="0"/>
          <w:type w:val="continuous"/>
        </w:sectPr>
      </w:pPr>
    </w:p>
    <w:p>
      <w:pPr>
        <w:ind w:left="40" w:right="499" w:firstLine="441"/>
        <w:spacing w:after="0" w:line="304" w:lineRule="auto"/>
        <w:rPr>
          <w:sz w:val="20"/>
          <w:szCs w:val="20"/>
          <w:color w:val="auto"/>
        </w:rPr>
      </w:pPr>
      <w:r>
        <w:rPr>
          <w:rFonts w:ascii="Arial" w:cs="Arial" w:eastAsia="Arial" w:hAnsi="Arial"/>
          <w:sz w:val="16"/>
          <w:szCs w:val="16"/>
          <w:color w:val="auto"/>
        </w:rPr>
        <w:t>Item 3 — Approval, on an advisory (non-binding) basis, of the compensation of the Company’s named executive officers.</w:t>
      </w:r>
    </w:p>
    <w:p>
      <w:pPr>
        <w:sectPr>
          <w:pgSz w:w="11900" w:h="16838" w:orient="portrait"/>
          <w:cols w:equalWidth="0" w:num="1">
            <w:col w:w="9019"/>
          </w:cols>
          <w:pgMar w:left="1440" w:top="1070" w:right="1440" w:bottom="1440" w:gutter="0" w:footer="0" w:header="0"/>
          <w:type w:val="continuous"/>
        </w:sectPr>
      </w:pPr>
    </w:p>
    <w:p>
      <w:pPr>
        <w:spacing w:after="0" w:line="195" w:lineRule="exact"/>
        <w:rPr>
          <w:sz w:val="20"/>
          <w:szCs w:val="20"/>
          <w:color w:val="auto"/>
        </w:rPr>
      </w:pPr>
    </w:p>
    <w:p>
      <w:pPr>
        <w:ind w:left="780"/>
        <w:spacing w:after="0"/>
        <w:rPr>
          <w:sz w:val="20"/>
          <w:szCs w:val="20"/>
          <w:color w:val="auto"/>
        </w:rPr>
      </w:pPr>
      <w:r>
        <w:rPr>
          <w:rFonts w:ascii="Arial" w:cs="Arial" w:eastAsia="Arial" w:hAnsi="Arial"/>
          <w:sz w:val="16"/>
          <w:szCs w:val="16"/>
          <w:color w:val="auto"/>
        </w:rPr>
        <w:t>Votes FOR</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Votes AGAINST</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center"/>
        <w:ind w:right="180"/>
        <w:spacing w:after="0"/>
        <w:rPr>
          <w:sz w:val="20"/>
          <w:szCs w:val="20"/>
          <w:color w:val="auto"/>
        </w:rPr>
      </w:pPr>
      <w:r>
        <w:rPr>
          <w:rFonts w:ascii="Arial" w:cs="Arial" w:eastAsia="Arial" w:hAnsi="Arial"/>
          <w:sz w:val="15"/>
          <w:szCs w:val="15"/>
          <w:color w:val="auto"/>
        </w:rPr>
        <w:t>Votes ABSTAINED</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Broker Non-Votes</w:t>
      </w:r>
    </w:p>
    <w:p>
      <w:pPr>
        <w:spacing w:after="0" w:line="59" w:lineRule="exact"/>
        <w:rPr>
          <w:sz w:val="20"/>
          <w:szCs w:val="20"/>
          <w:color w:val="auto"/>
        </w:rPr>
      </w:pPr>
    </w:p>
    <w:p>
      <w:pPr>
        <w:sectPr>
          <w:pgSz w:w="11900" w:h="16838" w:orient="portrait"/>
          <w:cols w:equalWidth="0" w:num="4">
            <w:col w:w="2100" w:space="720"/>
            <w:col w:w="1400" w:space="720"/>
            <w:col w:w="1540" w:space="720"/>
            <w:col w:w="1819"/>
          </w:cols>
          <w:pgMar w:left="1440" w:top="1070" w:right="1440" w:bottom="1440" w:gutter="0" w:footer="0" w:header="0"/>
          <w:type w:val="continuous"/>
        </w:sectPr>
      </w:pPr>
    </w:p>
    <w:p>
      <w:pPr>
        <w:ind w:left="680"/>
        <w:spacing w:after="0"/>
        <w:rPr>
          <w:sz w:val="20"/>
          <w:szCs w:val="20"/>
          <w:color w:val="auto"/>
        </w:rPr>
      </w:pPr>
      <w:r>
        <w:rPr>
          <w:rFonts w:ascii="Arial" w:cs="Arial" w:eastAsia="Arial" w:hAnsi="Arial"/>
          <w:sz w:val="16"/>
          <w:szCs w:val="16"/>
          <w:color w:val="auto"/>
        </w:rPr>
        <w:t>2,363,913,370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23,702,520</w:t>
      </w:r>
    </w:p>
    <w:p>
      <w:pPr>
        <w:spacing w:after="0" w:line="20" w:lineRule="exact"/>
        <w:rPr>
          <w:sz w:val="20"/>
          <w:szCs w:val="20"/>
          <w:color w:val="auto"/>
        </w:rPr>
      </w:pPr>
      <w:r>
        <w:rPr>
          <w:sz w:val="20"/>
          <w:szCs w:val="20"/>
          <w:color w:val="auto"/>
        </w:rPr>
        <w:br w:type="column"/>
      </w:r>
    </w:p>
    <w:p>
      <w:pPr>
        <w:jc w:val="center"/>
        <w:ind w:right="740"/>
        <w:spacing w:after="0"/>
        <w:rPr>
          <w:sz w:val="20"/>
          <w:szCs w:val="20"/>
          <w:color w:val="auto"/>
        </w:rPr>
      </w:pPr>
      <w:r>
        <w:rPr>
          <w:rFonts w:ascii="Arial" w:cs="Arial" w:eastAsia="Arial" w:hAnsi="Arial"/>
          <w:sz w:val="16"/>
          <w:szCs w:val="16"/>
          <w:color w:val="auto"/>
        </w:rPr>
        <w:t>2,415,838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39,543,093</w:t>
      </w:r>
    </w:p>
    <w:p>
      <w:pPr>
        <w:spacing w:after="0" w:line="205" w:lineRule="exact"/>
        <w:rPr>
          <w:sz w:val="20"/>
          <w:szCs w:val="20"/>
          <w:color w:val="auto"/>
        </w:rPr>
      </w:pPr>
    </w:p>
    <w:p>
      <w:pPr>
        <w:sectPr>
          <w:pgSz w:w="11900" w:h="16838" w:orient="portrait"/>
          <w:cols w:equalWidth="0" w:num="4">
            <w:col w:w="2280" w:space="720"/>
            <w:col w:w="1560" w:space="720"/>
            <w:col w:w="1460" w:space="720"/>
            <w:col w:w="1559"/>
          </w:cols>
          <w:pgMar w:left="1440" w:top="1070" w:right="1440" w:bottom="1440" w:gutter="0" w:footer="0" w:header="0"/>
          <w:type w:val="continuous"/>
        </w:sectPr>
      </w:pPr>
    </w:p>
    <w:p>
      <w:pPr>
        <w:ind w:left="40" w:right="179" w:firstLine="441"/>
        <w:spacing w:after="0" w:line="265" w:lineRule="auto"/>
        <w:rPr>
          <w:sz w:val="20"/>
          <w:szCs w:val="20"/>
          <w:color w:val="auto"/>
        </w:rPr>
      </w:pPr>
      <w:r>
        <w:rPr>
          <w:rFonts w:ascii="Arial" w:cs="Arial" w:eastAsia="Arial" w:hAnsi="Arial"/>
          <w:sz w:val="16"/>
          <w:szCs w:val="16"/>
          <w:color w:val="auto"/>
        </w:rPr>
        <w:t>Based on the foregoing votes, the Company’s stockholders (i) elected Wendy Barnes, Ronald E. Bruehlman and Gregory Mondre as Class III directors; (ii) ratified the appointment of KPMG LLP as the Company’s independent registered public accounting firm for the fiscal year ending December 31, 2026; and (iii) approved, on an advisory (non-binding) basis, the compensation of the Company’s named executive officers.</w:t>
      </w:r>
    </w:p>
    <w:p>
      <w:pPr>
        <w:sectPr>
          <w:pgSz w:w="11900" w:h="16838" w:orient="portrait"/>
          <w:cols w:equalWidth="0" w:num="1">
            <w:col w:w="9019"/>
          </w:cols>
          <w:pgMar w:left="1440" w:top="1070" w:right="1440" w:bottom="1440" w:gutter="0" w:footer="0" w:header="0"/>
          <w:type w:val="continuous"/>
        </w:sectPr>
      </w:pPr>
    </w:p>
    <w:bookmarkStart w:id="2" w:name="page3"/>
    <w:bookmarkEnd w:id="2"/>
    <w:p>
      <w:pPr>
        <w:jc w:val="center"/>
        <w:ind w:right="3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SIGNATURE</w:t>
      </w:r>
    </w:p>
    <w:p>
      <w:pPr>
        <w:spacing w:after="0" w:line="221" w:lineRule="exact"/>
        <w:rPr>
          <w:sz w:val="20"/>
          <w:szCs w:val="20"/>
          <w:color w:val="auto"/>
        </w:rPr>
      </w:pPr>
    </w:p>
    <w:p>
      <w:pPr>
        <w:ind w:left="40" w:right="39"/>
        <w:spacing w:after="0" w:line="304" w:lineRule="auto"/>
        <w:rPr>
          <w:sz w:val="20"/>
          <w:szCs w:val="20"/>
          <w:color w:val="auto"/>
        </w:rPr>
      </w:pPr>
      <w:r>
        <w:rPr>
          <w:rFonts w:ascii="Arial" w:cs="Arial" w:eastAsia="Arial" w:hAnsi="Arial"/>
          <w:sz w:val="16"/>
          <w:szCs w:val="16"/>
          <w:color w:val="auto"/>
        </w:rPr>
        <w:t>Pursuant to the requirements of the Securities Exchange Act of 1934, as amended, the registrant has duly caused this report to be signed on its behalf by the undersigned hereunto duly authorized.</w:t>
      </w:r>
    </w:p>
    <w:p>
      <w:pPr>
        <w:spacing w:after="0" w:line="236" w:lineRule="exact"/>
        <w:rPr>
          <w:sz w:val="20"/>
          <w:szCs w:val="20"/>
          <w:color w:val="auto"/>
        </w:rPr>
      </w:pPr>
    </w:p>
    <w:p>
      <w:pPr>
        <w:ind w:left="4900"/>
        <w:spacing w:after="0"/>
        <w:rPr>
          <w:sz w:val="20"/>
          <w:szCs w:val="20"/>
          <w:color w:val="auto"/>
        </w:rPr>
      </w:pPr>
      <w:r>
        <w:rPr>
          <w:rFonts w:ascii="Arial" w:cs="Arial" w:eastAsia="Arial" w:hAnsi="Arial"/>
          <w:sz w:val="16"/>
          <w:szCs w:val="16"/>
          <w:color w:val="auto"/>
        </w:rPr>
        <w:t>GOODRX HOLDINGS, INC.</w:t>
      </w:r>
    </w:p>
    <w:p>
      <w:pPr>
        <w:spacing w:after="0" w:line="200" w:lineRule="exact"/>
        <w:rPr>
          <w:sz w:val="20"/>
          <w:szCs w:val="20"/>
          <w:color w:val="auto"/>
        </w:rPr>
      </w:pPr>
    </w:p>
    <w:p>
      <w:pPr>
        <w:spacing w:after="0" w:line="224" w:lineRule="exact"/>
        <w:rPr>
          <w:sz w:val="20"/>
          <w:szCs w:val="20"/>
          <w:color w:val="auto"/>
        </w:rPr>
      </w:pPr>
    </w:p>
    <w:p>
      <w:pPr>
        <w:ind w:left="100"/>
        <w:spacing w:after="0"/>
        <w:tabs>
          <w:tab w:leader="none" w:pos="800" w:val="left"/>
          <w:tab w:leader="none" w:pos="45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18, 2026</w:t>
      </w:r>
      <w:r>
        <w:rPr>
          <w:sz w:val="20"/>
          <w:szCs w:val="20"/>
          <w:color w:val="auto"/>
        </w:rPr>
        <w:tab/>
      </w:r>
      <w:r>
        <w:rPr>
          <w:rFonts w:ascii="Arial" w:cs="Arial" w:eastAsia="Arial" w:hAnsi="Arial"/>
          <w:sz w:val="16"/>
          <w:szCs w:val="16"/>
          <w:color w:val="auto"/>
        </w:rPr>
        <w:t>By:  /s/ Christopher McGinnis</w:t>
      </w:r>
    </w:p>
    <w:p>
      <w:pPr>
        <w:spacing w:after="0" w:line="73" w:lineRule="exact"/>
        <w:rPr>
          <w:sz w:val="20"/>
          <w:szCs w:val="20"/>
          <w:color w:val="auto"/>
        </w:rPr>
      </w:pPr>
    </w:p>
    <w:p>
      <w:pPr>
        <w:ind w:left="4900"/>
        <w:spacing w:after="0"/>
        <w:rPr>
          <w:sz w:val="20"/>
          <w:szCs w:val="20"/>
          <w:color w:val="auto"/>
        </w:rPr>
      </w:pPr>
      <w:r>
        <w:rPr>
          <w:rFonts w:ascii="Arial" w:cs="Arial" w:eastAsia="Arial" w:hAnsi="Arial"/>
          <w:sz w:val="16"/>
          <w:szCs w:val="16"/>
          <w:color w:val="auto"/>
        </w:rPr>
        <w:t>Name: Christopher McGinnis</w:t>
      </w:r>
    </w:p>
    <w:p>
      <w:pPr>
        <w:spacing w:after="0" w:line="21" w:lineRule="exact"/>
        <w:rPr>
          <w:sz w:val="20"/>
          <w:szCs w:val="20"/>
          <w:color w:val="auto"/>
        </w:rPr>
      </w:pPr>
    </w:p>
    <w:p>
      <w:pPr>
        <w:ind w:left="4900"/>
        <w:spacing w:after="0"/>
        <w:rPr>
          <w:sz w:val="20"/>
          <w:szCs w:val="20"/>
          <w:color w:val="auto"/>
        </w:rPr>
      </w:pPr>
      <w:r>
        <w:rPr>
          <w:rFonts w:ascii="Arial" w:cs="Arial" w:eastAsia="Arial" w:hAnsi="Arial"/>
          <w:sz w:val="16"/>
          <w:szCs w:val="16"/>
          <w:color w:val="auto"/>
        </w:rPr>
        <w:t>Title: Chief Financial Officer &amp; Treasurer</w:t>
      </w:r>
    </w:p>
    <w:p>
      <w:pPr>
        <w:sectPr>
          <w:pgSz w:w="11900" w:h="16838" w:orient="portrait"/>
          <w:cols w:equalWidth="0" w:num="1">
            <w:col w:w="9019"/>
          </w:cols>
          <w:pgMar w:left="1440" w:top="1070" w:right="1440"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2026-06-18T15:30:05Z</dcterms:created>
  <dcterms:modified xsi:type="dcterms:W3CDTF">2026-06-18T15:30:05Z</dcterms:modified>
</cp:coreProperties>
</file>