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3582.xml.htm"/>
      <w:bookmarkStart w:id="1" w:name="kswkform4_17842335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McGinnis Christopher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GOODRX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OLYMPIC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GoodRx Holdings, Inc.</w:t>
              </w:r>
            </w:hyperlink>
            <w:r>
              <w:rPr/>
              <w:t xml:space="preserve"> [ </w:t>
            </w:r>
            <w:r>
              <w:rPr>
                <w:rFonts w:ascii="Times;serif" w:hAnsi="Times;serif"/>
                <w:color w:val="0000FF"/>
                <w:sz w:val="24"/>
                <w:shd w:fill="FFFFFF" w:val="clear"/>
              </w:rPr>
              <w:t>GDRX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36,988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214,604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198,310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36,988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369,877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ratably in 12 equal quarterly installments, with the first vesting occurring on April 15, 2026, and subject to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&amp;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Gracye Cheng, Attorney-in-Fact for Christopher A McGinnis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2479" TargetMode="External"/><Relationship Id="rId5" Type="http://schemas.openxmlformats.org/officeDocument/2006/relationships/hyperlink" Target="http://www.sec.gov/cgi-bin/browse-edgar?action=getcompany&amp;CIK=0001809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3528</Characters>
  <CharactersWithSpaces>4100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