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9502728.xml.htm"/>
      <w:bookmarkStart w:id="1" w:name="kswkform4_1789502728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Chan Thomas (TC)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GOODRX HOLDINGS,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2701 OLYMPIC BOULEVARD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SANTA MONICA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90404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GoodRx Holdings,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GDRX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Accounting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09/15/2026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67"/>
        <w:gridCol w:w="903"/>
        <w:gridCol w:w="772"/>
        <w:gridCol w:w="600"/>
        <w:gridCol w:w="352"/>
        <w:gridCol w:w="857"/>
        <w:gridCol w:w="463"/>
        <w:gridCol w:w="677"/>
        <w:gridCol w:w="1178"/>
        <w:gridCol w:w="1008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6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9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6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6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09/15/2026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2,101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15,647</w:t>
            </w:r>
          </w:p>
        </w:tc>
        <w:tc>
          <w:tcPr>
            <w:tcW w:w="100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6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09/15/2026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1,069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3.56</w:t>
            </w:r>
          </w:p>
        </w:tc>
        <w:tc>
          <w:tcPr>
            <w:tcW w:w="117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14,578</w:t>
            </w:r>
          </w:p>
        </w:tc>
        <w:tc>
          <w:tcPr>
            <w:tcW w:w="100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96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276"/>
        <w:gridCol w:w="60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96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09/15/2026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2,101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2,101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12,606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restricted stock unit represents a contingent right to receive one share of Class A common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This restricted stock units award vests with respect to 1/16 of the award in quarterly installments on June 15, 2024 and on each quarterly anniversary thereafter, subject to the Reporting Person's continued service through each applicable vesting date.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Gracye Cheng, Attorney-in-Fact for Thomas (TC) Chan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09/15/2026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131829" TargetMode="External"/><Relationship Id="rId5" Type="http://schemas.openxmlformats.org/officeDocument/2006/relationships/hyperlink" Target="http://www.sec.gov/cgi-bin/browse-edgar?action=getcompany&amp;CIK=000180951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659</Words>
  <Characters>3552</Characters>
  <CharactersWithSpaces>4121</CharactersWithSpaces>
  <Paragraphs>118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